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B7C2C">
      <w:pPr>
        <w:tabs>
          <w:tab w:val="left" w:pos="5715"/>
        </w:tabs>
        <w:adjustRightInd w:val="0"/>
        <w:snapToGrid w:val="0"/>
        <w:spacing w:line="360" w:lineRule="auto"/>
        <w:jc w:val="center"/>
        <w:rPr>
          <w:rFonts w:ascii="Times New Roman" w:hAnsi="Times New Roman"/>
          <w:color w:val="000000"/>
          <w:sz w:val="24"/>
        </w:rPr>
      </w:pPr>
      <w:bookmarkStart w:id="0" w:name="_Hlk113368528"/>
      <w:bookmarkStart w:id="1" w:name="_Toc112582652"/>
      <w:bookmarkStart w:id="2" w:name="_Toc112582658"/>
      <w:bookmarkStart w:id="3" w:name="_Toc112582661"/>
      <w:bookmarkStart w:id="4" w:name="_Hlk112839255"/>
      <w:bookmarkStart w:id="5" w:name="_Toc112582656"/>
      <w:bookmarkStart w:id="6" w:name="_Hlk113906025"/>
      <w:bookmarkStart w:id="7" w:name="_Toc112582660"/>
      <w:bookmarkStart w:id="8" w:name="_Toc112582651"/>
      <w:bookmarkStart w:id="9" w:name="_Toc112582650"/>
      <w:bookmarkStart w:id="10" w:name="_Hlk113957457"/>
      <w:bookmarkStart w:id="114" w:name="_GoBack"/>
      <w:bookmarkEnd w:id="114"/>
      <w:r>
        <w:rPr>
          <w:rFonts w:ascii="Times New Roman" w:hAnsi="Times New Roman"/>
          <w:color w:val="000000"/>
          <w:lang/>
        </w:rPr>
        <w:drawing>
          <wp:anchor distT="0" distB="0" distL="114300" distR="114300" simplePos="0" relativeHeight="251659264" behindDoc="1" locked="0" layoutInCell="1" allowOverlap="1">
            <wp:simplePos x="0" y="0"/>
            <wp:positionH relativeFrom="column">
              <wp:posOffset>-8890</wp:posOffset>
            </wp:positionH>
            <wp:positionV relativeFrom="paragraph">
              <wp:posOffset>15240</wp:posOffset>
            </wp:positionV>
            <wp:extent cx="1676400" cy="481330"/>
            <wp:effectExtent l="0" t="0" r="0" b="6350"/>
            <wp:wrapNone/>
            <wp:docPr id="1" name="图片 35" descr="说明: 启元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descr="说明: 启元标志2"/>
                    <pic:cNvPicPr>
                      <a:picLocks noChangeAspect="1"/>
                    </pic:cNvPicPr>
                  </pic:nvPicPr>
                  <pic:blipFill>
                    <a:blip r:embed="rId7"/>
                    <a:stretch>
                      <a:fillRect/>
                    </a:stretch>
                  </pic:blipFill>
                  <pic:spPr>
                    <a:xfrm>
                      <a:off x="0" y="0"/>
                      <a:ext cx="1676400" cy="481330"/>
                    </a:xfrm>
                    <a:prstGeom prst="rect">
                      <a:avLst/>
                    </a:prstGeom>
                    <a:noFill/>
                    <a:ln>
                      <a:noFill/>
                    </a:ln>
                  </pic:spPr>
                </pic:pic>
              </a:graphicData>
            </a:graphic>
          </wp:anchor>
        </w:drawing>
      </w:r>
    </w:p>
    <w:p w14:paraId="5F2E09DA">
      <w:pPr>
        <w:adjustRightInd w:val="0"/>
        <w:snapToGrid w:val="0"/>
        <w:spacing w:line="360" w:lineRule="auto"/>
        <w:jc w:val="center"/>
        <w:rPr>
          <w:rFonts w:ascii="Times New Roman" w:hAnsi="Times New Roman"/>
          <w:color w:val="000000"/>
          <w:sz w:val="24"/>
        </w:rPr>
      </w:pPr>
    </w:p>
    <w:p w14:paraId="2A18CF3D">
      <w:pPr>
        <w:adjustRightInd w:val="0"/>
        <w:snapToGrid w:val="0"/>
        <w:spacing w:line="360" w:lineRule="auto"/>
        <w:jc w:val="center"/>
        <w:rPr>
          <w:rFonts w:ascii="Times New Roman" w:hAnsi="Times New Roman"/>
          <w:color w:val="000000"/>
          <w:sz w:val="24"/>
        </w:rPr>
      </w:pPr>
    </w:p>
    <w:p w14:paraId="5740D157">
      <w:pPr>
        <w:adjustRightInd w:val="0"/>
        <w:snapToGrid w:val="0"/>
        <w:spacing w:line="360" w:lineRule="auto"/>
        <w:jc w:val="center"/>
        <w:rPr>
          <w:rFonts w:ascii="Times New Roman" w:hAnsi="Times New Roman"/>
          <w:color w:val="000000"/>
          <w:sz w:val="24"/>
        </w:rPr>
      </w:pPr>
    </w:p>
    <w:p w14:paraId="4F58A211">
      <w:pPr>
        <w:autoSpaceDE w:val="0"/>
        <w:autoSpaceDN w:val="0"/>
        <w:adjustRightInd w:val="0"/>
        <w:snapToGrid w:val="0"/>
        <w:spacing w:line="360" w:lineRule="auto"/>
        <w:jc w:val="center"/>
        <w:rPr>
          <w:rFonts w:ascii="Times New Roman" w:hAnsi="Times New Roman"/>
          <w:color w:val="000000"/>
          <w:sz w:val="24"/>
        </w:rPr>
      </w:pPr>
    </w:p>
    <w:p w14:paraId="7D3CC80D">
      <w:pPr>
        <w:autoSpaceDE w:val="0"/>
        <w:autoSpaceDN w:val="0"/>
        <w:adjustRightInd w:val="0"/>
        <w:snapToGrid w:val="0"/>
        <w:spacing w:line="360" w:lineRule="auto"/>
        <w:jc w:val="center"/>
        <w:rPr>
          <w:rFonts w:ascii="Times New Roman" w:hAnsi="Times New Roman"/>
          <w:color w:val="000000"/>
          <w:sz w:val="30"/>
          <w:szCs w:val="30"/>
        </w:rPr>
      </w:pPr>
    </w:p>
    <w:p w14:paraId="4E78C6E6">
      <w:pPr>
        <w:autoSpaceDE w:val="0"/>
        <w:autoSpaceDN w:val="0"/>
        <w:adjustRightInd w:val="0"/>
        <w:spacing w:before="156" w:beforeLines="50" w:line="360" w:lineRule="auto"/>
        <w:jc w:val="center"/>
        <w:rPr>
          <w:rFonts w:ascii="黑体" w:hAnsi="黑体" w:eastAsia="黑体" w:cs="黑体"/>
          <w:b/>
          <w:bCs/>
          <w:sz w:val="36"/>
          <w:szCs w:val="36"/>
        </w:rPr>
      </w:pPr>
      <w:r>
        <w:rPr>
          <w:rFonts w:hint="eastAsia" w:ascii="黑体" w:hAnsi="黑体" w:eastAsia="黑体" w:cs="黑体"/>
          <w:b/>
          <w:bCs/>
          <w:sz w:val="36"/>
          <w:szCs w:val="36"/>
        </w:rPr>
        <w:t>湖南启元律师事务所</w:t>
      </w:r>
    </w:p>
    <w:p w14:paraId="1D31F36D">
      <w:pPr>
        <w:autoSpaceDE w:val="0"/>
        <w:autoSpaceDN w:val="0"/>
        <w:adjustRightInd w:val="0"/>
        <w:spacing w:before="156" w:beforeLines="50" w:line="360" w:lineRule="auto"/>
        <w:jc w:val="center"/>
        <w:rPr>
          <w:rFonts w:ascii="黑体" w:hAnsi="黑体" w:eastAsia="黑体" w:cs="黑体"/>
          <w:b/>
          <w:bCs/>
          <w:sz w:val="36"/>
          <w:szCs w:val="36"/>
        </w:rPr>
      </w:pPr>
      <w:r>
        <w:rPr>
          <w:rFonts w:hint="eastAsia" w:ascii="黑体" w:hAnsi="黑体" w:eastAsia="黑体" w:cs="黑体"/>
          <w:b/>
          <w:bCs/>
          <w:sz w:val="36"/>
          <w:szCs w:val="36"/>
        </w:rPr>
        <w:t>关于</w:t>
      </w:r>
    </w:p>
    <w:p w14:paraId="376B7450">
      <w:pPr>
        <w:autoSpaceDE w:val="0"/>
        <w:autoSpaceDN w:val="0"/>
        <w:adjustRightInd w:val="0"/>
        <w:spacing w:before="156" w:beforeLines="50" w:line="360" w:lineRule="auto"/>
        <w:jc w:val="center"/>
        <w:rPr>
          <w:rFonts w:hint="eastAsia" w:ascii="黑体" w:hAnsi="黑体" w:eastAsia="黑体" w:cs="黑体"/>
          <w:b/>
          <w:bCs/>
          <w:sz w:val="36"/>
          <w:szCs w:val="36"/>
        </w:rPr>
      </w:pPr>
      <w:r>
        <w:rPr>
          <w:rFonts w:hint="eastAsia" w:ascii="黑体" w:hAnsi="黑体" w:eastAsia="黑体" w:cs="黑体"/>
          <w:b/>
          <w:bCs/>
          <w:sz w:val="36"/>
          <w:szCs w:val="36"/>
        </w:rPr>
        <w:t>广东天亿马信息产业股份有限公司</w:t>
      </w:r>
    </w:p>
    <w:p w14:paraId="120DF4E7">
      <w:pPr>
        <w:autoSpaceDE w:val="0"/>
        <w:autoSpaceDN w:val="0"/>
        <w:adjustRightInd w:val="0"/>
        <w:spacing w:before="156" w:beforeLines="50" w:line="360" w:lineRule="auto"/>
        <w:jc w:val="center"/>
        <w:rPr>
          <w:rFonts w:hint="eastAsia" w:ascii="黑体" w:hAnsi="黑体" w:eastAsia="黑体" w:cs="黑体"/>
          <w:b/>
          <w:bCs/>
          <w:sz w:val="36"/>
          <w:szCs w:val="36"/>
        </w:rPr>
      </w:pPr>
      <w:r>
        <w:rPr>
          <w:rFonts w:hint="eastAsia" w:ascii="黑体" w:hAnsi="黑体" w:eastAsia="黑体" w:cs="黑体"/>
          <w:b/>
          <w:bCs/>
          <w:sz w:val="36"/>
          <w:szCs w:val="36"/>
        </w:rPr>
        <w:t>发行股份及支付现金购买资产</w:t>
      </w:r>
    </w:p>
    <w:p w14:paraId="47C80ACD">
      <w:pPr>
        <w:autoSpaceDE w:val="0"/>
        <w:autoSpaceDN w:val="0"/>
        <w:adjustRightInd w:val="0"/>
        <w:spacing w:before="156" w:beforeLines="50" w:line="360" w:lineRule="auto"/>
        <w:jc w:val="center"/>
        <w:rPr>
          <w:rFonts w:hint="eastAsia" w:ascii="黑体" w:hAnsi="黑体" w:eastAsia="黑体" w:cs="黑体"/>
          <w:b/>
          <w:bCs/>
          <w:sz w:val="36"/>
          <w:szCs w:val="36"/>
        </w:rPr>
      </w:pPr>
      <w:r>
        <w:rPr>
          <w:rFonts w:hint="eastAsia" w:ascii="黑体" w:hAnsi="黑体" w:eastAsia="黑体" w:cs="黑体"/>
          <w:b/>
          <w:bCs/>
          <w:sz w:val="36"/>
          <w:szCs w:val="36"/>
        </w:rPr>
        <w:t>并募集配套资金暨关联交易</w:t>
      </w:r>
    </w:p>
    <w:p w14:paraId="6723BA85">
      <w:pPr>
        <w:autoSpaceDE w:val="0"/>
        <w:autoSpaceDN w:val="0"/>
        <w:adjustRightInd w:val="0"/>
        <w:spacing w:before="156" w:beforeLines="50" w:line="360" w:lineRule="auto"/>
        <w:jc w:val="center"/>
        <w:rPr>
          <w:rFonts w:hint="eastAsia" w:ascii="黑体" w:hAnsi="黑体" w:eastAsia="黑体" w:cs="黑体"/>
          <w:b/>
          <w:bCs/>
          <w:sz w:val="36"/>
          <w:szCs w:val="36"/>
        </w:rPr>
      </w:pPr>
      <w:r>
        <w:rPr>
          <w:rFonts w:hint="eastAsia" w:ascii="黑体" w:hAnsi="黑体" w:eastAsia="黑体" w:cs="黑体"/>
          <w:b/>
          <w:bCs/>
          <w:sz w:val="36"/>
          <w:szCs w:val="36"/>
        </w:rPr>
        <w:t>之</w:t>
      </w:r>
    </w:p>
    <w:p w14:paraId="25DB8A6C">
      <w:pPr>
        <w:autoSpaceDE w:val="0"/>
        <w:autoSpaceDN w:val="0"/>
        <w:adjustRightInd w:val="0"/>
        <w:spacing w:before="156" w:beforeLines="50" w:line="360" w:lineRule="auto"/>
        <w:jc w:val="center"/>
        <w:rPr>
          <w:rFonts w:ascii="黑体" w:hAnsi="黑体" w:eastAsia="黑体" w:cs="黑体"/>
          <w:b/>
          <w:bCs/>
          <w:sz w:val="36"/>
          <w:szCs w:val="36"/>
        </w:rPr>
      </w:pPr>
      <w:r>
        <w:rPr>
          <w:rFonts w:hint="eastAsia" w:ascii="黑体" w:hAnsi="黑体" w:eastAsia="黑体" w:cs="黑体"/>
          <w:b/>
          <w:bCs/>
          <w:sz w:val="36"/>
          <w:szCs w:val="36"/>
        </w:rPr>
        <w:t>补充法律意见书（二）</w:t>
      </w:r>
    </w:p>
    <w:p w14:paraId="3EE3BFB6">
      <w:pPr>
        <w:autoSpaceDE w:val="0"/>
        <w:autoSpaceDN w:val="0"/>
        <w:adjustRightInd w:val="0"/>
        <w:spacing w:line="360" w:lineRule="auto"/>
        <w:ind w:firstLine="560" w:firstLineChars="200"/>
        <w:rPr>
          <w:sz w:val="28"/>
          <w:szCs w:val="28"/>
        </w:rPr>
      </w:pPr>
    </w:p>
    <w:p w14:paraId="702E2584">
      <w:pPr>
        <w:autoSpaceDE w:val="0"/>
        <w:autoSpaceDN w:val="0"/>
        <w:adjustRightInd w:val="0"/>
        <w:spacing w:line="360" w:lineRule="auto"/>
        <w:ind w:firstLine="560" w:firstLineChars="200"/>
        <w:rPr>
          <w:sz w:val="28"/>
          <w:szCs w:val="28"/>
        </w:rPr>
      </w:pPr>
    </w:p>
    <w:p w14:paraId="71574E61">
      <w:pPr>
        <w:autoSpaceDE w:val="0"/>
        <w:autoSpaceDN w:val="0"/>
        <w:adjustRightInd w:val="0"/>
        <w:spacing w:line="360" w:lineRule="auto"/>
        <w:ind w:firstLine="560" w:firstLineChars="200"/>
        <w:rPr>
          <w:sz w:val="28"/>
          <w:szCs w:val="28"/>
        </w:rPr>
      </w:pPr>
    </w:p>
    <w:p w14:paraId="5CD79D05">
      <w:pPr>
        <w:autoSpaceDE w:val="0"/>
        <w:autoSpaceDN w:val="0"/>
        <w:adjustRightInd w:val="0"/>
        <w:spacing w:line="360" w:lineRule="auto"/>
        <w:ind w:firstLine="560" w:firstLineChars="200"/>
        <w:rPr>
          <w:sz w:val="28"/>
          <w:szCs w:val="28"/>
        </w:rPr>
      </w:pPr>
    </w:p>
    <w:p w14:paraId="415A0432">
      <w:pPr>
        <w:autoSpaceDE w:val="0"/>
        <w:autoSpaceDN w:val="0"/>
        <w:adjustRightInd w:val="0"/>
        <w:spacing w:line="360" w:lineRule="auto"/>
        <w:rPr>
          <w:sz w:val="28"/>
          <w:szCs w:val="28"/>
        </w:rPr>
      </w:pPr>
    </w:p>
    <w:p w14:paraId="0D016A3F">
      <w:pPr>
        <w:adjustRightInd w:val="0"/>
        <w:snapToGrid w:val="0"/>
        <w:spacing w:before="156" w:beforeLines="50" w:after="156" w:afterLines="50"/>
        <w:jc w:val="center"/>
        <w:rPr>
          <w:rFonts w:eastAsia="黑体"/>
          <w:bCs/>
          <w:sz w:val="28"/>
          <w:szCs w:val="28"/>
        </w:rPr>
      </w:pPr>
      <w:r>
        <w:rPr>
          <w:rFonts w:eastAsia="黑体"/>
          <w:kern w:val="0"/>
          <w:sz w:val="28"/>
          <w:szCs w:val="28"/>
          <w:lang w:bidi="en-US"/>
        </w:rPr>
        <w:t>二〇二</w:t>
      </w:r>
      <w:r>
        <w:rPr>
          <w:rFonts w:hint="eastAsia" w:eastAsia="黑体"/>
          <w:kern w:val="0"/>
          <w:sz w:val="28"/>
          <w:szCs w:val="28"/>
          <w:lang w:bidi="en-US"/>
        </w:rPr>
        <w:t>六</w:t>
      </w:r>
      <w:r>
        <w:rPr>
          <w:rFonts w:eastAsia="黑体"/>
          <w:kern w:val="0"/>
          <w:sz w:val="28"/>
          <w:szCs w:val="28"/>
          <w:lang w:bidi="en-US"/>
        </w:rPr>
        <w:t>年</w:t>
      </w:r>
      <w:r>
        <w:rPr>
          <w:rFonts w:hint="eastAsia" w:eastAsia="黑体"/>
          <w:kern w:val="0"/>
          <w:sz w:val="28"/>
          <w:szCs w:val="28"/>
          <w:lang w:bidi="en-US"/>
        </w:rPr>
        <w:t>三</w:t>
      </w:r>
      <w:r>
        <w:rPr>
          <w:rFonts w:eastAsia="黑体"/>
          <w:kern w:val="0"/>
          <w:sz w:val="28"/>
          <w:szCs w:val="28"/>
          <w:lang w:bidi="en-US"/>
        </w:rPr>
        <w:t>月</w:t>
      </w:r>
    </w:p>
    <w:p w14:paraId="3195227D">
      <w:pPr>
        <w:rPr>
          <w:rFonts w:eastAsia="黑体"/>
          <w:bCs/>
          <w:szCs w:val="16"/>
        </w:rPr>
      </w:pPr>
    </w:p>
    <w:p w14:paraId="0876B619">
      <w:pPr>
        <w:spacing w:before="120"/>
        <w:jc w:val="center"/>
        <w:rPr>
          <w:rFonts w:ascii="Times New Roman" w:hAnsi="Times New Roman"/>
          <w:b/>
          <w:bCs/>
          <w:sz w:val="24"/>
        </w:rPr>
      </w:pPr>
      <w:r>
        <w:rPr>
          <w:rFonts w:ascii="Times New Roman" w:hAnsi="Times New Roman"/>
          <w:b/>
          <w:bCs/>
          <w:sz w:val="24"/>
        </w:rPr>
        <w:t>湖南省长沙市芙蓉区建湘路393号世茂环球金融中心63层</w:t>
      </w:r>
    </w:p>
    <w:p w14:paraId="736DB06C">
      <w:pPr>
        <w:spacing w:before="120"/>
        <w:jc w:val="center"/>
        <w:rPr>
          <w:rFonts w:ascii="Times New Roman" w:hAnsi="Times New Roman"/>
          <w:b/>
          <w:bCs/>
          <w:sz w:val="24"/>
        </w:rPr>
      </w:pPr>
      <w:r>
        <w:rPr>
          <w:rFonts w:ascii="Times New Roman" w:hAnsi="Times New Roman"/>
          <w:b/>
          <w:bCs/>
          <w:sz w:val="24"/>
        </w:rPr>
        <w:t>电话：0731-82953778传真：0731-82953779邮编：410000</w:t>
      </w:r>
    </w:p>
    <w:p w14:paraId="538F8377">
      <w:pPr>
        <w:jc w:val="center"/>
        <w:rPr>
          <w:rFonts w:ascii="Times New Roman" w:hAnsi="Times New Roman"/>
          <w:b/>
          <w:bCs/>
          <w:sz w:val="24"/>
        </w:rPr>
      </w:pPr>
      <w:r>
        <w:rPr>
          <w:rFonts w:ascii="Times New Roman" w:hAnsi="Times New Roman"/>
          <w:b/>
          <w:bCs/>
          <w:sz w:val="24"/>
        </w:rPr>
        <w:drawing>
          <wp:anchor distT="0" distB="0" distL="114300" distR="114300" simplePos="0" relativeHeight="251660288" behindDoc="1" locked="0" layoutInCell="1" allowOverlap="1">
            <wp:simplePos x="0" y="0"/>
            <wp:positionH relativeFrom="column">
              <wp:posOffset>-1132840</wp:posOffset>
            </wp:positionH>
            <wp:positionV relativeFrom="paragraph">
              <wp:posOffset>721995</wp:posOffset>
            </wp:positionV>
            <wp:extent cx="7621270" cy="283845"/>
            <wp:effectExtent l="0" t="0" r="13970" b="5715"/>
            <wp:wrapNone/>
            <wp:docPr id="2" name="图片 2" descr="信纸2"/>
            <wp:cNvGraphicFramePr/>
            <a:graphic xmlns:a="http://schemas.openxmlformats.org/drawingml/2006/main">
              <a:graphicData uri="http://schemas.openxmlformats.org/drawingml/2006/picture">
                <pic:pic xmlns:pic="http://schemas.openxmlformats.org/drawingml/2006/picture">
                  <pic:nvPicPr>
                    <pic:cNvPr id="2" name="图片 2" descr="信纸2"/>
                    <pic:cNvPicPr/>
                  </pic:nvPicPr>
                  <pic:blipFill>
                    <a:blip r:embed="rId8"/>
                    <a:srcRect t="97331"/>
                    <a:stretch>
                      <a:fillRect/>
                    </a:stretch>
                  </pic:blipFill>
                  <pic:spPr>
                    <a:xfrm>
                      <a:off x="0" y="0"/>
                      <a:ext cx="7621270" cy="283845"/>
                    </a:xfrm>
                    <a:prstGeom prst="rect">
                      <a:avLst/>
                    </a:prstGeom>
                    <a:noFill/>
                    <a:ln>
                      <a:noFill/>
                    </a:ln>
                  </pic:spPr>
                </pic:pic>
              </a:graphicData>
            </a:graphic>
          </wp:anchor>
        </w:drawing>
      </w:r>
      <w:r>
        <w:rPr>
          <w:rFonts w:ascii="Times New Roman" w:hAnsi="Times New Roman"/>
          <w:b/>
          <w:bCs/>
          <w:sz w:val="24"/>
        </w:rPr>
        <w:t>网站：www.qiyuan.com</w:t>
      </w:r>
      <w:r>
        <w:rPr>
          <w:rFonts w:ascii="Times New Roman" w:hAnsi="Times New Roman"/>
          <w:b/>
          <w:bCs/>
          <w:sz w:val="24"/>
        </w:rPr>
        <w:tab/>
      </w:r>
    </w:p>
    <w:p w14:paraId="5445D666">
      <w:pPr>
        <w:adjustRightInd w:val="0"/>
        <w:snapToGrid w:val="0"/>
        <w:spacing w:line="360" w:lineRule="auto"/>
        <w:rPr>
          <w:rFonts w:ascii="Times New Roman" w:hAnsi="Times New Roman"/>
          <w:b/>
          <w:color w:val="000000"/>
          <w:kern w:val="0"/>
          <w:sz w:val="24"/>
        </w:rPr>
        <w:sectPr>
          <w:headerReference r:id="rId3" w:type="default"/>
          <w:footerReference r:id="rId4" w:type="default"/>
          <w:pgSz w:w="11906" w:h="16838"/>
          <w:pgMar w:top="1440" w:right="1800" w:bottom="1440" w:left="1800" w:header="851" w:footer="850" w:gutter="0"/>
          <w:pgBorders>
            <w:top w:val="none" w:sz="0" w:space="0"/>
            <w:left w:val="none" w:sz="0" w:space="0"/>
            <w:bottom w:val="none" w:sz="0" w:space="0"/>
            <w:right w:val="none" w:sz="0" w:space="0"/>
          </w:pgBorders>
          <w:pgNumType w:start="1"/>
          <w:cols w:space="720" w:num="1"/>
          <w:docGrid w:type="lines" w:linePitch="312" w:charSpace="0"/>
        </w:sectPr>
      </w:pPr>
    </w:p>
    <w:p w14:paraId="77089329">
      <w:pPr>
        <w:adjustRightInd w:val="0"/>
        <w:snapToGrid w:val="0"/>
        <w:spacing w:line="360" w:lineRule="auto"/>
        <w:rPr>
          <w:rFonts w:hint="eastAsia" w:ascii="Times New Roman" w:hAnsi="Times New Roman"/>
          <w:color w:val="000000"/>
          <w:kern w:val="0"/>
          <w:sz w:val="24"/>
        </w:rPr>
      </w:pPr>
      <w:r>
        <w:rPr>
          <w:rFonts w:ascii="Times New Roman" w:hAnsi="Times New Roman"/>
          <w:b/>
          <w:color w:val="000000"/>
          <w:kern w:val="0"/>
          <w:sz w:val="24"/>
        </w:rPr>
        <w:t>致：</w:t>
      </w:r>
      <w:r>
        <w:rPr>
          <w:rFonts w:hint="eastAsia" w:ascii="Times New Roman" w:hAnsi="Times New Roman"/>
          <w:b/>
          <w:color w:val="000000"/>
          <w:kern w:val="0"/>
          <w:sz w:val="24"/>
        </w:rPr>
        <w:t>广东天亿马信息产业股份有限公司</w:t>
      </w:r>
    </w:p>
    <w:p w14:paraId="29945F63">
      <w:pPr>
        <w:pStyle w:val="46"/>
        <w:ind w:firstLine="480"/>
        <w:rPr>
          <w:color w:val="000000"/>
          <w:kern w:val="0"/>
        </w:rPr>
      </w:pPr>
      <w:bookmarkStart w:id="11" w:name="_Hlk115053832"/>
      <w:r>
        <w:t>湖南启元律师事务所（以下简称</w:t>
      </w:r>
      <w:r>
        <w:rPr>
          <w:rFonts w:hint="eastAsia"/>
        </w:rPr>
        <w:t>“</w:t>
      </w:r>
      <w:r>
        <w:t>本所</w:t>
      </w:r>
      <w:r>
        <w:rPr>
          <w:rFonts w:hint="eastAsia"/>
        </w:rPr>
        <w:t>”</w:t>
      </w:r>
      <w:r>
        <w:t>）接受</w:t>
      </w:r>
      <w:r>
        <w:rPr>
          <w:rFonts w:hint="eastAsia"/>
        </w:rPr>
        <w:t>广东天亿马信息产业股份有限公司</w:t>
      </w:r>
      <w:r>
        <w:t>（以下简称</w:t>
      </w:r>
      <w:r>
        <w:rPr>
          <w:rFonts w:hint="eastAsia"/>
        </w:rPr>
        <w:t>“天亿马”</w:t>
      </w:r>
      <w:r>
        <w:t>）的委托，担任</w:t>
      </w:r>
      <w:r>
        <w:rPr>
          <w:rFonts w:hint="eastAsia"/>
        </w:rPr>
        <w:t>天亿马</w:t>
      </w:r>
      <w:r>
        <w:t>本次</w:t>
      </w:r>
      <w:r>
        <w:rPr>
          <w:rFonts w:hint="eastAsia"/>
        </w:rPr>
        <w:t>发行股份及支付现金购买资产并募集配套资金暨关联交易</w:t>
      </w:r>
      <w:r>
        <w:t>（以下简称</w:t>
      </w:r>
      <w:r>
        <w:rPr>
          <w:rFonts w:hint="eastAsia"/>
        </w:rPr>
        <w:t>“</w:t>
      </w:r>
      <w:r>
        <w:t>本次交易</w:t>
      </w:r>
      <w:r>
        <w:rPr>
          <w:rFonts w:hint="eastAsia"/>
        </w:rPr>
        <w:t>”</w:t>
      </w:r>
      <w:r>
        <w:t>）的专项法律顾问</w:t>
      </w:r>
      <w:r>
        <w:rPr>
          <w:rFonts w:hint="eastAsia"/>
        </w:rPr>
        <w:t>。</w:t>
      </w:r>
    </w:p>
    <w:bookmarkEnd w:id="11"/>
    <w:p w14:paraId="5C3CFA36">
      <w:pPr>
        <w:pStyle w:val="46"/>
        <w:ind w:firstLine="480"/>
        <w:rPr>
          <w:color w:val="000000"/>
        </w:rPr>
      </w:pPr>
      <w:r>
        <w:rPr>
          <w:rFonts w:hint="eastAsia"/>
        </w:rPr>
        <w:t>本所已</w:t>
      </w:r>
      <w:r>
        <w:t>根据《中华人民共和国公司法》《中华人民共和国证券法》《上市公司重大资产重组管理办法》《上市公司监管指引第9号</w:t>
      </w:r>
      <w:r>
        <w:rPr>
          <w:rFonts w:hint="eastAsia"/>
        </w:rPr>
        <w:t>——</w:t>
      </w:r>
      <w:r>
        <w:t>上市公司筹划和实施重大资产重组的监管要求》《公开发行证券的公司信息披露内容与格式准则第26号</w:t>
      </w:r>
      <w:r>
        <w:rPr>
          <w:rFonts w:hint="eastAsia"/>
        </w:rPr>
        <w:t>——</w:t>
      </w:r>
      <w:r>
        <w:t>上市公司重大资产重组》等现行法律、行政法规及中国</w:t>
      </w:r>
      <w:r>
        <w:rPr>
          <w:rFonts w:hint="eastAsia"/>
        </w:rPr>
        <w:t>证券监督管理委员会</w:t>
      </w:r>
      <w:r>
        <w:t>相关文件的规定，为</w:t>
      </w:r>
      <w:r>
        <w:rPr>
          <w:rFonts w:hint="eastAsia"/>
        </w:rPr>
        <w:t>天亿马本次交易</w:t>
      </w:r>
      <w:r>
        <w:t>出具</w:t>
      </w:r>
      <w:r>
        <w:rPr>
          <w:rFonts w:hint="eastAsia"/>
        </w:rPr>
        <w:t>了</w:t>
      </w:r>
      <w:r>
        <w:t>《湖南启元律师事务所关于</w:t>
      </w:r>
      <w:r>
        <w:rPr>
          <w:rFonts w:hint="eastAsia"/>
        </w:rPr>
        <w:t>广东天亿马信息产业股份有限公司发行股份及支付现金购买资产并募集配套资金暨关联交易之</w:t>
      </w:r>
      <w:r>
        <w:t>法律意见书》（以下简称</w:t>
      </w:r>
      <w:r>
        <w:rPr>
          <w:rFonts w:hint="eastAsia"/>
        </w:rPr>
        <w:t>“《</w:t>
      </w:r>
      <w:r>
        <w:t>法律意见书</w:t>
      </w:r>
      <w:r>
        <w:rPr>
          <w:rFonts w:hint="eastAsia"/>
        </w:rPr>
        <w:t>》”</w:t>
      </w:r>
      <w:r>
        <w:t>）</w:t>
      </w:r>
      <w:r>
        <w:rPr>
          <w:rFonts w:hint="eastAsia"/>
          <w:color w:val="000000"/>
        </w:rPr>
        <w:t>和</w:t>
      </w:r>
      <w:r>
        <w:rPr>
          <w:color w:val="000000"/>
        </w:rPr>
        <w:t>《湖南启元律师事务所关于</w:t>
      </w:r>
      <w:r>
        <w:rPr>
          <w:rFonts w:hint="eastAsia"/>
          <w:color w:val="000000"/>
        </w:rPr>
        <w:t>广东天亿马信息产业股份有限公司发行股份及支付现金购买资产并募集配套资金暨关联交易之</w:t>
      </w:r>
      <w:r>
        <w:rPr>
          <w:color w:val="000000"/>
        </w:rPr>
        <w:t>补充法律意见书（一）》（以下简称</w:t>
      </w:r>
      <w:r>
        <w:rPr>
          <w:rFonts w:hint="eastAsia"/>
          <w:color w:val="000000"/>
        </w:rPr>
        <w:t>“</w:t>
      </w:r>
      <w:r>
        <w:rPr>
          <w:rFonts w:hint="eastAsia"/>
        </w:rPr>
        <w:t>《补充</w:t>
      </w:r>
      <w:r>
        <w:t>法律意见书</w:t>
      </w:r>
      <w:r>
        <w:rPr>
          <w:rFonts w:hint="eastAsia"/>
        </w:rPr>
        <w:t>（一）》</w:t>
      </w:r>
      <w:r>
        <w:rPr>
          <w:rFonts w:hint="eastAsia"/>
          <w:color w:val="000000"/>
        </w:rPr>
        <w:t>”</w:t>
      </w:r>
      <w:r>
        <w:rPr>
          <w:color w:val="000000"/>
        </w:rPr>
        <w:t>）。</w:t>
      </w:r>
    </w:p>
    <w:p w14:paraId="00DEB26F">
      <w:pPr>
        <w:autoSpaceDE w:val="0"/>
        <w:autoSpaceDN w:val="0"/>
        <w:adjustRightInd w:val="0"/>
        <w:snapToGrid w:val="0"/>
        <w:spacing w:line="360" w:lineRule="auto"/>
        <w:ind w:firstLine="480" w:firstLineChars="200"/>
        <w:rPr>
          <w:rFonts w:ascii="Times New Roman" w:hAnsi="Times New Roman"/>
          <w:color w:val="000000"/>
          <w:sz w:val="24"/>
        </w:rPr>
      </w:pPr>
      <w:r>
        <w:rPr>
          <w:rFonts w:ascii="Times New Roman" w:hAnsi="Times New Roman"/>
          <w:color w:val="000000"/>
          <w:sz w:val="24"/>
        </w:rPr>
        <w:t>现本所律师按照律师行业公认的业务标准、道德规范和勤勉尽责精神，对</w:t>
      </w:r>
      <w:r>
        <w:rPr>
          <w:rFonts w:hint="eastAsia" w:ascii="Times New Roman" w:hAnsi="Times New Roman"/>
          <w:color w:val="000000"/>
          <w:sz w:val="24"/>
        </w:rPr>
        <w:t>上市公司</w:t>
      </w:r>
      <w:r>
        <w:rPr>
          <w:rFonts w:ascii="Times New Roman" w:hAnsi="Times New Roman"/>
          <w:color w:val="000000"/>
          <w:sz w:val="24"/>
        </w:rPr>
        <w:t>自2025年</w:t>
      </w:r>
      <w:r>
        <w:rPr>
          <w:rFonts w:hint="eastAsia" w:ascii="Times New Roman" w:hAnsi="Times New Roman"/>
          <w:color w:val="000000"/>
          <w:sz w:val="24"/>
        </w:rPr>
        <w:t>7</w:t>
      </w:r>
      <w:r>
        <w:rPr>
          <w:rFonts w:ascii="Times New Roman" w:hAnsi="Times New Roman"/>
          <w:color w:val="000000"/>
          <w:sz w:val="24"/>
        </w:rPr>
        <w:t>月</w:t>
      </w:r>
      <w:r>
        <w:rPr>
          <w:rFonts w:hint="eastAsia" w:ascii="Times New Roman" w:hAnsi="Times New Roman"/>
          <w:color w:val="000000"/>
          <w:sz w:val="24"/>
        </w:rPr>
        <w:t>1</w:t>
      </w:r>
      <w:r>
        <w:rPr>
          <w:rFonts w:ascii="Times New Roman" w:hAnsi="Times New Roman"/>
          <w:color w:val="000000"/>
          <w:sz w:val="24"/>
        </w:rPr>
        <w:t>日及/或《法律意见书》出具日至2025年</w:t>
      </w:r>
      <w:r>
        <w:rPr>
          <w:rFonts w:hint="eastAsia" w:ascii="Times New Roman" w:hAnsi="Times New Roman"/>
          <w:color w:val="000000"/>
          <w:sz w:val="24"/>
        </w:rPr>
        <w:t>12</w:t>
      </w:r>
      <w:r>
        <w:rPr>
          <w:rFonts w:ascii="Times New Roman" w:hAnsi="Times New Roman"/>
          <w:color w:val="000000"/>
          <w:sz w:val="24"/>
        </w:rPr>
        <w:t>月3</w:t>
      </w:r>
      <w:r>
        <w:rPr>
          <w:rFonts w:hint="eastAsia" w:ascii="Times New Roman" w:hAnsi="Times New Roman"/>
          <w:color w:val="000000"/>
          <w:sz w:val="24"/>
        </w:rPr>
        <w:t>1</w:t>
      </w:r>
      <w:r>
        <w:rPr>
          <w:rFonts w:ascii="Times New Roman" w:hAnsi="Times New Roman"/>
          <w:color w:val="000000"/>
          <w:sz w:val="24"/>
        </w:rPr>
        <w:t>日及/或至本补充法律意见书出具日（以下称</w:t>
      </w:r>
      <w:r>
        <w:rPr>
          <w:rFonts w:hint="eastAsia" w:ascii="Times New Roman" w:hAnsi="Times New Roman"/>
          <w:color w:val="000000"/>
          <w:sz w:val="24"/>
        </w:rPr>
        <w:t>“</w:t>
      </w:r>
      <w:r>
        <w:rPr>
          <w:rFonts w:ascii="Times New Roman" w:hAnsi="Times New Roman"/>
          <w:color w:val="000000"/>
          <w:sz w:val="24"/>
        </w:rPr>
        <w:t>补充核查期间</w:t>
      </w:r>
      <w:r>
        <w:rPr>
          <w:rFonts w:hint="eastAsia" w:ascii="Times New Roman" w:hAnsi="Times New Roman"/>
          <w:color w:val="000000"/>
          <w:sz w:val="24"/>
        </w:rPr>
        <w:t>”</w:t>
      </w:r>
      <w:r>
        <w:rPr>
          <w:rFonts w:ascii="Times New Roman" w:hAnsi="Times New Roman"/>
          <w:color w:val="000000"/>
          <w:sz w:val="24"/>
        </w:rPr>
        <w:t>）与本次交易相关变化所涉及的法律事项进行补充核查，并出具</w:t>
      </w:r>
      <w:r>
        <w:rPr>
          <w:rFonts w:ascii="Times New Roman" w:hAnsi="Times New Roman"/>
          <w:color w:val="000000"/>
          <w:sz w:val="24"/>
          <w:lang w:eastAsia="zh-Hans"/>
        </w:rPr>
        <w:t>《湖南启元律师事务所关于</w:t>
      </w:r>
      <w:r>
        <w:rPr>
          <w:rFonts w:hint="eastAsia" w:ascii="Times New Roman" w:hAnsi="Times New Roman"/>
          <w:color w:val="000000"/>
          <w:sz w:val="24"/>
        </w:rPr>
        <w:t>广东天亿马信息产业股份有限公司发行股份及支付现金购买资产并募集配套资金暨关联交易</w:t>
      </w:r>
      <w:r>
        <w:rPr>
          <w:rFonts w:ascii="Times New Roman" w:hAnsi="Times New Roman"/>
          <w:color w:val="000000"/>
          <w:sz w:val="24"/>
          <w:lang w:eastAsia="zh-Hans"/>
        </w:rPr>
        <w:t>之补充法律意见书（</w:t>
      </w:r>
      <w:r>
        <w:rPr>
          <w:rFonts w:ascii="Times New Roman" w:hAnsi="Times New Roman"/>
          <w:color w:val="000000"/>
          <w:sz w:val="24"/>
        </w:rPr>
        <w:t>二</w:t>
      </w:r>
      <w:r>
        <w:rPr>
          <w:rFonts w:ascii="Times New Roman" w:hAnsi="Times New Roman"/>
          <w:color w:val="000000"/>
          <w:sz w:val="24"/>
          <w:lang w:eastAsia="zh-Hans"/>
        </w:rPr>
        <w:t>）》</w:t>
      </w:r>
      <w:r>
        <w:rPr>
          <w:rFonts w:ascii="Times New Roman" w:hAnsi="Times New Roman"/>
          <w:color w:val="000000"/>
          <w:sz w:val="24"/>
        </w:rPr>
        <w:t>（以下简称</w:t>
      </w:r>
      <w:r>
        <w:rPr>
          <w:rFonts w:hint="eastAsia" w:ascii="Times New Roman" w:hAnsi="Times New Roman"/>
          <w:color w:val="000000"/>
          <w:sz w:val="24"/>
        </w:rPr>
        <w:t>“</w:t>
      </w:r>
      <w:r>
        <w:rPr>
          <w:rFonts w:ascii="Times New Roman" w:hAnsi="Times New Roman"/>
          <w:color w:val="000000"/>
          <w:sz w:val="24"/>
        </w:rPr>
        <w:t>本补充法律意见书</w:t>
      </w:r>
      <w:r>
        <w:rPr>
          <w:rFonts w:hint="eastAsia" w:ascii="Times New Roman" w:hAnsi="Times New Roman"/>
          <w:color w:val="000000"/>
          <w:sz w:val="24"/>
        </w:rPr>
        <w:t>”</w:t>
      </w:r>
      <w:r>
        <w:rPr>
          <w:rFonts w:ascii="Times New Roman" w:hAnsi="Times New Roman"/>
          <w:color w:val="000000"/>
          <w:sz w:val="24"/>
        </w:rPr>
        <w:t>）。</w:t>
      </w:r>
    </w:p>
    <w:p w14:paraId="41A41213">
      <w:pPr>
        <w:autoSpaceDE w:val="0"/>
        <w:autoSpaceDN w:val="0"/>
        <w:adjustRightInd w:val="0"/>
        <w:snapToGrid w:val="0"/>
        <w:spacing w:line="360" w:lineRule="auto"/>
        <w:ind w:firstLine="480" w:firstLineChars="200"/>
        <w:rPr>
          <w:rFonts w:ascii="Times New Roman" w:hAnsi="Times New Roman"/>
          <w:color w:val="000000"/>
          <w:kern w:val="0"/>
          <w:sz w:val="24"/>
          <w:lang w:eastAsia="zh-Hans"/>
        </w:rPr>
      </w:pPr>
      <w:r>
        <w:rPr>
          <w:rFonts w:ascii="Times New Roman" w:hAnsi="Times New Roman"/>
          <w:color w:val="000000"/>
          <w:kern w:val="0"/>
          <w:sz w:val="24"/>
          <w:lang w:eastAsia="zh-Hans"/>
        </w:rPr>
        <w:t>为出具本补充法律意见书，本所（包括本所指派经办本次交易的签字律师）特作如下声明：</w:t>
      </w:r>
    </w:p>
    <w:p w14:paraId="3198A30E">
      <w:pPr>
        <w:autoSpaceDE w:val="0"/>
        <w:autoSpaceDN w:val="0"/>
        <w:adjustRightInd w:val="0"/>
        <w:snapToGrid w:val="0"/>
        <w:spacing w:line="360" w:lineRule="auto"/>
        <w:ind w:firstLine="480" w:firstLineChars="200"/>
        <w:rPr>
          <w:rFonts w:ascii="Times New Roman" w:hAnsi="Times New Roman"/>
          <w:color w:val="000000"/>
          <w:kern w:val="0"/>
          <w:sz w:val="24"/>
          <w:lang w:eastAsia="zh-Hans"/>
        </w:rPr>
      </w:pPr>
      <w:r>
        <w:rPr>
          <w:rFonts w:ascii="Times New Roman" w:hAnsi="Times New Roman"/>
          <w:color w:val="000000"/>
          <w:kern w:val="0"/>
          <w:sz w:val="24"/>
          <w:lang w:eastAsia="zh-Hans"/>
        </w:rPr>
        <w:t>一、本补充法律意见书为《法律意见书》《补充法律意见书（一）》之补充性文件，应与《法律意见书》《补充法律意见书（一）》一起使用，如本补充法律意见书与《法律意见书》《补充法律意见书（一）》内容有不一致之处，则以本补充法律意见书为准。</w:t>
      </w:r>
    </w:p>
    <w:p w14:paraId="0876CB82">
      <w:pPr>
        <w:autoSpaceDE w:val="0"/>
        <w:autoSpaceDN w:val="0"/>
        <w:adjustRightInd w:val="0"/>
        <w:snapToGrid w:val="0"/>
        <w:spacing w:line="360" w:lineRule="auto"/>
        <w:ind w:firstLine="480" w:firstLineChars="200"/>
        <w:rPr>
          <w:rFonts w:ascii="Times New Roman" w:hAnsi="Times New Roman"/>
          <w:color w:val="000000"/>
          <w:kern w:val="0"/>
          <w:sz w:val="24"/>
          <w:lang w:eastAsia="zh-Hans"/>
        </w:rPr>
      </w:pPr>
      <w:r>
        <w:rPr>
          <w:rFonts w:ascii="Times New Roman" w:hAnsi="Times New Roman"/>
          <w:color w:val="000000"/>
          <w:kern w:val="0"/>
          <w:sz w:val="24"/>
          <w:lang w:eastAsia="zh-Hans"/>
        </w:rPr>
        <w:t>二、本所律师出具本补充法律意见书是对《法律意见书》《补充法律意见书（一）》有关内容进行的补充与调整，对于上述文件中未发生变化的内容、关系，本所律师将不在本补充法律意见书中重复描述或披露并重复发表法律意见。</w:t>
      </w:r>
    </w:p>
    <w:p w14:paraId="19E516E7">
      <w:pPr>
        <w:autoSpaceDE w:val="0"/>
        <w:autoSpaceDN w:val="0"/>
        <w:adjustRightInd w:val="0"/>
        <w:snapToGrid w:val="0"/>
        <w:spacing w:line="360" w:lineRule="auto"/>
        <w:ind w:firstLine="480" w:firstLineChars="200"/>
        <w:rPr>
          <w:rFonts w:ascii="Times New Roman" w:hAnsi="Times New Roman"/>
          <w:color w:val="000000"/>
          <w:kern w:val="0"/>
          <w:sz w:val="24"/>
          <w:lang w:eastAsia="zh-Hans"/>
        </w:rPr>
      </w:pPr>
      <w:r>
        <w:rPr>
          <w:rFonts w:ascii="Times New Roman" w:hAnsi="Times New Roman"/>
          <w:color w:val="000000"/>
          <w:kern w:val="0"/>
          <w:sz w:val="24"/>
          <w:lang w:eastAsia="zh-Hans"/>
        </w:rPr>
        <w:t>三、除本补充法律意见书另有特别说明外，本所在《法律意见书》《补充法律意见书（一）》作出的声明及释义同样适用于本补充法律意见书。</w:t>
      </w:r>
      <w:bookmarkEnd w:id="0"/>
    </w:p>
    <w:p w14:paraId="533E3270">
      <w:pPr>
        <w:spacing w:after="156" w:afterLines="50" w:line="360" w:lineRule="auto"/>
        <w:ind w:firstLine="480" w:firstLineChars="200"/>
        <w:rPr>
          <w:rFonts w:ascii="Times New Roman" w:hAnsi="Times New Roman" w:cs="Times New Roman Regular"/>
          <w:sz w:val="24"/>
        </w:rPr>
      </w:pPr>
      <w:r>
        <w:rPr>
          <w:rFonts w:ascii="Times New Roman" w:hAnsi="Times New Roman" w:cs="Times New Roman Regular"/>
          <w:sz w:val="24"/>
        </w:rPr>
        <w:t>四、本所同意将本补充法律意见书</w:t>
      </w:r>
      <w:r>
        <w:rPr>
          <w:rFonts w:hint="eastAsia" w:ascii="Times New Roman" w:hAnsi="Times New Roman" w:cs="Times New Roman Regular"/>
          <w:sz w:val="24"/>
        </w:rPr>
        <w:t>作为天亿马本次交易</w:t>
      </w:r>
      <w:r>
        <w:rPr>
          <w:rFonts w:ascii="Times New Roman" w:hAnsi="Times New Roman" w:cs="Times New Roman Regular"/>
          <w:sz w:val="24"/>
        </w:rPr>
        <w:t>必备</w:t>
      </w:r>
      <w:r>
        <w:rPr>
          <w:rFonts w:hint="eastAsia" w:ascii="Times New Roman" w:hAnsi="Times New Roman" w:cs="Times New Roman Regular"/>
          <w:sz w:val="24"/>
        </w:rPr>
        <w:t>的</w:t>
      </w:r>
      <w:r>
        <w:rPr>
          <w:rFonts w:ascii="Times New Roman" w:hAnsi="Times New Roman" w:cs="Times New Roman Regular"/>
          <w:sz w:val="24"/>
        </w:rPr>
        <w:t>法律文件，随同其他材料一起上报和公告。</w:t>
      </w:r>
    </w:p>
    <w:p w14:paraId="6FC50BF8">
      <w:pPr>
        <w:spacing w:after="156" w:afterLines="50" w:line="360" w:lineRule="auto"/>
        <w:ind w:firstLine="480" w:firstLineChars="200"/>
        <w:rPr>
          <w:rFonts w:ascii="Times New Roman" w:hAnsi="Times New Roman"/>
          <w:sz w:val="24"/>
        </w:rPr>
      </w:pPr>
      <w:r>
        <w:rPr>
          <w:rFonts w:ascii="Times New Roman" w:hAnsi="Times New Roman" w:cs="Times New Roman Regular"/>
          <w:sz w:val="24"/>
        </w:rPr>
        <w:t>五、本补充法律意见书仅供</w:t>
      </w:r>
      <w:r>
        <w:rPr>
          <w:rFonts w:hint="eastAsia" w:ascii="Times New Roman" w:hAnsi="Times New Roman" w:cs="Times New Roman Regular"/>
          <w:sz w:val="24"/>
        </w:rPr>
        <w:t>天亿马为本次交易</w:t>
      </w:r>
      <w:r>
        <w:rPr>
          <w:rFonts w:ascii="Times New Roman" w:hAnsi="Times New Roman" w:cs="Times New Roman Regular"/>
          <w:sz w:val="24"/>
        </w:rPr>
        <w:t>之目的使用，</w:t>
      </w:r>
      <w:r>
        <w:rPr>
          <w:rFonts w:ascii="Times New Roman" w:hAnsi="Times New Roman"/>
          <w:sz w:val="24"/>
        </w:rPr>
        <w:t>不得直接或间接用作任何其他目的。</w:t>
      </w:r>
    </w:p>
    <w:p w14:paraId="155285A2">
      <w:pPr>
        <w:autoSpaceDE w:val="0"/>
        <w:autoSpaceDN w:val="0"/>
        <w:adjustRightInd w:val="0"/>
        <w:snapToGrid w:val="0"/>
        <w:spacing w:line="360" w:lineRule="auto"/>
        <w:jc w:val="center"/>
        <w:rPr>
          <w:rFonts w:ascii="Times New Roman" w:hAnsi="Times New Roman"/>
          <w:b/>
          <w:bCs/>
          <w:sz w:val="28"/>
          <w:szCs w:val="28"/>
        </w:rPr>
      </w:pPr>
      <w:r>
        <w:rPr>
          <w:rFonts w:ascii="Times New Roman" w:hAnsi="Times New Roman"/>
          <w:sz w:val="24"/>
        </w:rPr>
        <w:br w:type="page"/>
      </w:r>
      <w:r>
        <w:rPr>
          <w:rFonts w:ascii="Times New Roman" w:hAnsi="Times New Roman"/>
          <w:b/>
          <w:bCs/>
          <w:sz w:val="28"/>
          <w:szCs w:val="28"/>
        </w:rPr>
        <w:t>目  录</w:t>
      </w:r>
    </w:p>
    <w:p w14:paraId="0E04EE96">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rPr>
        <w:fldChar w:fldCharType="begin"/>
      </w:r>
      <w:r>
        <w:rPr>
          <w:rFonts w:ascii="Times New Roman" w:hAnsi="Times New Roman"/>
          <w:color w:val="000000"/>
          <w:sz w:val="24"/>
        </w:rPr>
        <w:instrText xml:space="preserve">TOC \o "1-1" \h \u </w:instrText>
      </w:r>
      <w:r>
        <w:rPr>
          <w:rFonts w:ascii="Times New Roman" w:hAnsi="Times New Roman"/>
          <w:color w:val="000000"/>
          <w:sz w:val="24"/>
        </w:rPr>
        <w:fldChar w:fldCharType="separate"/>
      </w:r>
      <w:r>
        <w:rPr>
          <w:rFonts w:ascii="Times New Roman" w:hAnsi="Times New Roman"/>
          <w:color w:val="000000"/>
          <w:sz w:val="24"/>
          <w:lang/>
        </w:rPr>
        <w:fldChar w:fldCharType="begin"/>
      </w:r>
      <w:r>
        <w:rPr>
          <w:rFonts w:ascii="Times New Roman" w:hAnsi="Times New Roman"/>
          <w:sz w:val="24"/>
          <w:lang/>
        </w:rPr>
        <w:instrText xml:space="preserve"> HYPERLINK \l _Toc7297 </w:instrText>
      </w:r>
      <w:r>
        <w:rPr>
          <w:rFonts w:ascii="Times New Roman" w:hAnsi="Times New Roman"/>
          <w:sz w:val="24"/>
          <w:lang/>
        </w:rPr>
        <w:fldChar w:fldCharType="separate"/>
      </w:r>
      <w:r>
        <w:rPr>
          <w:rFonts w:ascii="Times New Roman" w:hAnsi="Times New Roman"/>
          <w:bCs/>
          <w:kern w:val="0"/>
          <w:sz w:val="24"/>
          <w:lang/>
        </w:rPr>
        <w:t>一、</w:t>
      </w:r>
      <w:r>
        <w:rPr>
          <w:rFonts w:ascii="Times New Roman" w:hAnsi="Times New Roman"/>
          <w:bCs/>
          <w:kern w:val="0"/>
          <w:sz w:val="24"/>
          <w:lang w:eastAsia="zh"/>
        </w:rPr>
        <w:t>本次交易</w:t>
      </w:r>
      <w:r>
        <w:rPr>
          <w:rFonts w:ascii="Times New Roman" w:hAnsi="Times New Roman"/>
          <w:bCs/>
          <w:kern w:val="0"/>
          <w:sz w:val="24"/>
          <w:lang/>
        </w:rPr>
        <w:t>的方案</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_Toc7297 \h </w:instrText>
      </w:r>
      <w:r>
        <w:rPr>
          <w:rFonts w:ascii="Times New Roman" w:hAnsi="Times New Roman"/>
          <w:sz w:val="24"/>
          <w:lang/>
        </w:rPr>
        <w:fldChar w:fldCharType="separate"/>
      </w:r>
      <w:r>
        <w:rPr>
          <w:rFonts w:ascii="Times New Roman" w:hAnsi="Times New Roman"/>
          <w:sz w:val="24"/>
          <w:lang/>
        </w:rPr>
        <w:t>4</w:t>
      </w:r>
      <w:r>
        <w:rPr>
          <w:rFonts w:ascii="Times New Roman" w:hAnsi="Times New Roman"/>
          <w:sz w:val="24"/>
          <w:lang/>
        </w:rPr>
        <w:fldChar w:fldCharType="end"/>
      </w:r>
      <w:r>
        <w:rPr>
          <w:rFonts w:ascii="Times New Roman" w:hAnsi="Times New Roman"/>
          <w:color w:val="000000"/>
          <w:sz w:val="24"/>
          <w:lang/>
        </w:rPr>
        <w:fldChar w:fldCharType="end"/>
      </w:r>
    </w:p>
    <w:p w14:paraId="393C0E9C">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_Toc8655 </w:instrText>
      </w:r>
      <w:r>
        <w:rPr>
          <w:rFonts w:ascii="Times New Roman" w:hAnsi="Times New Roman"/>
          <w:sz w:val="24"/>
          <w:lang/>
        </w:rPr>
        <w:fldChar w:fldCharType="separate"/>
      </w:r>
      <w:r>
        <w:rPr>
          <w:rFonts w:ascii="Times New Roman" w:hAnsi="Times New Roman"/>
          <w:bCs/>
          <w:kern w:val="0"/>
          <w:sz w:val="24"/>
          <w:lang/>
        </w:rPr>
        <w:t>二、本次交易各方的主体资格</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_Toc8655 \h </w:instrText>
      </w:r>
      <w:r>
        <w:rPr>
          <w:rFonts w:ascii="Times New Roman" w:hAnsi="Times New Roman"/>
          <w:sz w:val="24"/>
          <w:lang/>
        </w:rPr>
        <w:fldChar w:fldCharType="separate"/>
      </w:r>
      <w:r>
        <w:rPr>
          <w:rFonts w:ascii="Times New Roman" w:hAnsi="Times New Roman"/>
          <w:sz w:val="24"/>
          <w:lang/>
        </w:rPr>
        <w:t>4</w:t>
      </w:r>
      <w:r>
        <w:rPr>
          <w:rFonts w:ascii="Times New Roman" w:hAnsi="Times New Roman"/>
          <w:sz w:val="24"/>
          <w:lang/>
        </w:rPr>
        <w:fldChar w:fldCharType="end"/>
      </w:r>
      <w:r>
        <w:rPr>
          <w:rFonts w:ascii="Times New Roman" w:hAnsi="Times New Roman"/>
          <w:color w:val="000000"/>
          <w:sz w:val="24"/>
          <w:lang/>
        </w:rPr>
        <w:fldChar w:fldCharType="end"/>
      </w:r>
    </w:p>
    <w:p w14:paraId="4889B5CD">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_Toc11652 </w:instrText>
      </w:r>
      <w:r>
        <w:rPr>
          <w:rFonts w:ascii="Times New Roman" w:hAnsi="Times New Roman"/>
          <w:sz w:val="24"/>
          <w:lang/>
        </w:rPr>
        <w:fldChar w:fldCharType="separate"/>
      </w:r>
      <w:r>
        <w:rPr>
          <w:rFonts w:ascii="Times New Roman" w:hAnsi="Times New Roman"/>
          <w:bCs/>
          <w:kern w:val="0"/>
          <w:sz w:val="24"/>
          <w:lang/>
        </w:rPr>
        <w:t>三、本次交易的批准和授权</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_Toc11652 \h </w:instrText>
      </w:r>
      <w:r>
        <w:rPr>
          <w:rFonts w:ascii="Times New Roman" w:hAnsi="Times New Roman"/>
          <w:sz w:val="24"/>
          <w:lang/>
        </w:rPr>
        <w:fldChar w:fldCharType="separate"/>
      </w:r>
      <w:r>
        <w:rPr>
          <w:rFonts w:ascii="Times New Roman" w:hAnsi="Times New Roman"/>
          <w:sz w:val="24"/>
          <w:lang/>
        </w:rPr>
        <w:t>6</w:t>
      </w:r>
      <w:r>
        <w:rPr>
          <w:rFonts w:ascii="Times New Roman" w:hAnsi="Times New Roman"/>
          <w:sz w:val="24"/>
          <w:lang/>
        </w:rPr>
        <w:fldChar w:fldCharType="end"/>
      </w:r>
      <w:r>
        <w:rPr>
          <w:rFonts w:ascii="Times New Roman" w:hAnsi="Times New Roman"/>
          <w:color w:val="000000"/>
          <w:sz w:val="24"/>
          <w:lang/>
        </w:rPr>
        <w:fldChar w:fldCharType="end"/>
      </w:r>
    </w:p>
    <w:p w14:paraId="12C16241">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_Toc14899 </w:instrText>
      </w:r>
      <w:r>
        <w:rPr>
          <w:rFonts w:ascii="Times New Roman" w:hAnsi="Times New Roman"/>
          <w:sz w:val="24"/>
          <w:lang/>
        </w:rPr>
        <w:fldChar w:fldCharType="separate"/>
      </w:r>
      <w:r>
        <w:rPr>
          <w:rFonts w:ascii="Times New Roman" w:hAnsi="Times New Roman"/>
          <w:bCs/>
          <w:kern w:val="0"/>
          <w:sz w:val="24"/>
          <w:lang/>
        </w:rPr>
        <w:t>四、本次交易的相关协议</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_Toc14899 \h </w:instrText>
      </w:r>
      <w:r>
        <w:rPr>
          <w:rFonts w:ascii="Times New Roman" w:hAnsi="Times New Roman"/>
          <w:sz w:val="24"/>
          <w:lang/>
        </w:rPr>
        <w:fldChar w:fldCharType="separate"/>
      </w:r>
      <w:r>
        <w:rPr>
          <w:rFonts w:ascii="Times New Roman" w:hAnsi="Times New Roman"/>
          <w:sz w:val="24"/>
          <w:lang/>
        </w:rPr>
        <w:t>7</w:t>
      </w:r>
      <w:r>
        <w:rPr>
          <w:rFonts w:ascii="Times New Roman" w:hAnsi="Times New Roman"/>
          <w:sz w:val="24"/>
          <w:lang/>
        </w:rPr>
        <w:fldChar w:fldCharType="end"/>
      </w:r>
      <w:r>
        <w:rPr>
          <w:rFonts w:ascii="Times New Roman" w:hAnsi="Times New Roman"/>
          <w:color w:val="000000"/>
          <w:sz w:val="24"/>
          <w:lang/>
        </w:rPr>
        <w:fldChar w:fldCharType="end"/>
      </w:r>
    </w:p>
    <w:p w14:paraId="74A3051D">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_Toc15534 </w:instrText>
      </w:r>
      <w:r>
        <w:rPr>
          <w:rFonts w:ascii="Times New Roman" w:hAnsi="Times New Roman"/>
          <w:sz w:val="24"/>
          <w:lang/>
        </w:rPr>
        <w:fldChar w:fldCharType="separate"/>
      </w:r>
      <w:r>
        <w:rPr>
          <w:rFonts w:ascii="Times New Roman" w:hAnsi="Times New Roman"/>
          <w:bCs/>
          <w:kern w:val="0"/>
          <w:sz w:val="24"/>
          <w:lang/>
        </w:rPr>
        <w:t>五、</w:t>
      </w:r>
      <w:r>
        <w:rPr>
          <w:rFonts w:ascii="Times New Roman" w:hAnsi="Times New Roman"/>
          <w:sz w:val="24"/>
          <w:lang/>
        </w:rPr>
        <w:t>本次交易的标的资产</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_Toc15534 \h </w:instrText>
      </w:r>
      <w:r>
        <w:rPr>
          <w:rFonts w:ascii="Times New Roman" w:hAnsi="Times New Roman"/>
          <w:sz w:val="24"/>
          <w:lang/>
        </w:rPr>
        <w:fldChar w:fldCharType="separate"/>
      </w:r>
      <w:r>
        <w:rPr>
          <w:rFonts w:ascii="Times New Roman" w:hAnsi="Times New Roman"/>
          <w:sz w:val="24"/>
          <w:lang/>
        </w:rPr>
        <w:t>7</w:t>
      </w:r>
      <w:r>
        <w:rPr>
          <w:rFonts w:ascii="Times New Roman" w:hAnsi="Times New Roman"/>
          <w:sz w:val="24"/>
          <w:lang/>
        </w:rPr>
        <w:fldChar w:fldCharType="end"/>
      </w:r>
      <w:r>
        <w:rPr>
          <w:rFonts w:ascii="Times New Roman" w:hAnsi="Times New Roman"/>
          <w:color w:val="000000"/>
          <w:sz w:val="24"/>
          <w:lang/>
        </w:rPr>
        <w:fldChar w:fldCharType="end"/>
      </w:r>
    </w:p>
    <w:p w14:paraId="2F50213E">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_Toc21460 </w:instrText>
      </w:r>
      <w:r>
        <w:rPr>
          <w:rFonts w:ascii="Times New Roman" w:hAnsi="Times New Roman"/>
          <w:sz w:val="24"/>
          <w:lang/>
        </w:rPr>
        <w:fldChar w:fldCharType="separate"/>
      </w:r>
      <w:r>
        <w:rPr>
          <w:rFonts w:ascii="Times New Roman" w:hAnsi="Times New Roman"/>
          <w:bCs/>
          <w:sz w:val="24"/>
          <w:lang/>
        </w:rPr>
        <w:t>六、本次交易涉及的债权债务处理及员工安置</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_Toc21460 \h </w:instrText>
      </w:r>
      <w:r>
        <w:rPr>
          <w:rFonts w:ascii="Times New Roman" w:hAnsi="Times New Roman"/>
          <w:sz w:val="24"/>
          <w:lang/>
        </w:rPr>
        <w:fldChar w:fldCharType="separate"/>
      </w:r>
      <w:r>
        <w:rPr>
          <w:rFonts w:ascii="Times New Roman" w:hAnsi="Times New Roman"/>
          <w:sz w:val="24"/>
          <w:lang/>
        </w:rPr>
        <w:t>20</w:t>
      </w:r>
      <w:r>
        <w:rPr>
          <w:rFonts w:ascii="Times New Roman" w:hAnsi="Times New Roman"/>
          <w:sz w:val="24"/>
          <w:lang/>
        </w:rPr>
        <w:fldChar w:fldCharType="end"/>
      </w:r>
      <w:r>
        <w:rPr>
          <w:rFonts w:ascii="Times New Roman" w:hAnsi="Times New Roman"/>
          <w:color w:val="000000"/>
          <w:sz w:val="24"/>
          <w:lang/>
        </w:rPr>
        <w:fldChar w:fldCharType="end"/>
      </w:r>
    </w:p>
    <w:p w14:paraId="1F26F3FD">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_Toc10766 </w:instrText>
      </w:r>
      <w:r>
        <w:rPr>
          <w:rFonts w:ascii="Times New Roman" w:hAnsi="Times New Roman"/>
          <w:sz w:val="24"/>
          <w:lang/>
        </w:rPr>
        <w:fldChar w:fldCharType="separate"/>
      </w:r>
      <w:r>
        <w:rPr>
          <w:rFonts w:ascii="Times New Roman" w:hAnsi="Times New Roman"/>
          <w:bCs/>
          <w:sz w:val="24"/>
          <w:lang/>
        </w:rPr>
        <w:t>七、关联交易与同业竞争</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_Toc10766 \h </w:instrText>
      </w:r>
      <w:r>
        <w:rPr>
          <w:rFonts w:ascii="Times New Roman" w:hAnsi="Times New Roman"/>
          <w:sz w:val="24"/>
          <w:lang/>
        </w:rPr>
        <w:fldChar w:fldCharType="separate"/>
      </w:r>
      <w:r>
        <w:rPr>
          <w:rFonts w:ascii="Times New Roman" w:hAnsi="Times New Roman"/>
          <w:sz w:val="24"/>
          <w:lang/>
        </w:rPr>
        <w:t>20</w:t>
      </w:r>
      <w:r>
        <w:rPr>
          <w:rFonts w:ascii="Times New Roman" w:hAnsi="Times New Roman"/>
          <w:sz w:val="24"/>
          <w:lang/>
        </w:rPr>
        <w:fldChar w:fldCharType="end"/>
      </w:r>
      <w:r>
        <w:rPr>
          <w:rFonts w:ascii="Times New Roman" w:hAnsi="Times New Roman"/>
          <w:color w:val="000000"/>
          <w:sz w:val="24"/>
          <w:lang/>
        </w:rPr>
        <w:fldChar w:fldCharType="end"/>
      </w:r>
    </w:p>
    <w:p w14:paraId="0958DCF4">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_Toc11793 </w:instrText>
      </w:r>
      <w:r>
        <w:rPr>
          <w:rFonts w:ascii="Times New Roman" w:hAnsi="Times New Roman"/>
          <w:sz w:val="24"/>
          <w:lang/>
        </w:rPr>
        <w:fldChar w:fldCharType="separate"/>
      </w:r>
      <w:r>
        <w:rPr>
          <w:rFonts w:ascii="Times New Roman" w:hAnsi="Times New Roman"/>
          <w:bCs/>
          <w:sz w:val="24"/>
          <w:lang/>
        </w:rPr>
        <w:t>八、信息披露</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_Toc11793 \h </w:instrText>
      </w:r>
      <w:r>
        <w:rPr>
          <w:rFonts w:ascii="Times New Roman" w:hAnsi="Times New Roman"/>
          <w:sz w:val="24"/>
          <w:lang/>
        </w:rPr>
        <w:fldChar w:fldCharType="separate"/>
      </w:r>
      <w:r>
        <w:rPr>
          <w:rFonts w:ascii="Times New Roman" w:hAnsi="Times New Roman"/>
          <w:sz w:val="24"/>
          <w:lang/>
        </w:rPr>
        <w:t>20</w:t>
      </w:r>
      <w:r>
        <w:rPr>
          <w:rFonts w:ascii="Times New Roman" w:hAnsi="Times New Roman"/>
          <w:sz w:val="24"/>
          <w:lang/>
        </w:rPr>
        <w:fldChar w:fldCharType="end"/>
      </w:r>
      <w:r>
        <w:rPr>
          <w:rFonts w:ascii="Times New Roman" w:hAnsi="Times New Roman"/>
          <w:color w:val="000000"/>
          <w:sz w:val="24"/>
          <w:lang/>
        </w:rPr>
        <w:fldChar w:fldCharType="end"/>
      </w:r>
    </w:p>
    <w:p w14:paraId="098401A7">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_Toc16615 </w:instrText>
      </w:r>
      <w:r>
        <w:rPr>
          <w:rFonts w:ascii="Times New Roman" w:hAnsi="Times New Roman"/>
          <w:sz w:val="24"/>
          <w:lang/>
        </w:rPr>
        <w:fldChar w:fldCharType="separate"/>
      </w:r>
      <w:r>
        <w:rPr>
          <w:rFonts w:ascii="Times New Roman" w:hAnsi="Times New Roman"/>
          <w:bCs/>
          <w:sz w:val="24"/>
          <w:lang/>
        </w:rPr>
        <w:t>九、本次交易的实质条件</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_Toc16615 \h </w:instrText>
      </w:r>
      <w:r>
        <w:rPr>
          <w:rFonts w:ascii="Times New Roman" w:hAnsi="Times New Roman"/>
          <w:sz w:val="24"/>
          <w:lang/>
        </w:rPr>
        <w:fldChar w:fldCharType="separate"/>
      </w:r>
      <w:r>
        <w:rPr>
          <w:rFonts w:ascii="Times New Roman" w:hAnsi="Times New Roman"/>
          <w:sz w:val="24"/>
          <w:lang/>
        </w:rPr>
        <w:t>21</w:t>
      </w:r>
      <w:r>
        <w:rPr>
          <w:rFonts w:ascii="Times New Roman" w:hAnsi="Times New Roman"/>
          <w:sz w:val="24"/>
          <w:lang/>
        </w:rPr>
        <w:fldChar w:fldCharType="end"/>
      </w:r>
      <w:r>
        <w:rPr>
          <w:rFonts w:ascii="Times New Roman" w:hAnsi="Times New Roman"/>
          <w:color w:val="000000"/>
          <w:sz w:val="24"/>
          <w:lang/>
        </w:rPr>
        <w:fldChar w:fldCharType="end"/>
      </w:r>
    </w:p>
    <w:p w14:paraId="684C2B56">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_Toc21236 </w:instrText>
      </w:r>
      <w:r>
        <w:rPr>
          <w:rFonts w:ascii="Times New Roman" w:hAnsi="Times New Roman"/>
          <w:sz w:val="24"/>
          <w:lang/>
        </w:rPr>
        <w:fldChar w:fldCharType="separate"/>
      </w:r>
      <w:r>
        <w:rPr>
          <w:rFonts w:ascii="Times New Roman" w:hAnsi="Times New Roman"/>
          <w:bCs/>
          <w:sz w:val="24"/>
          <w:lang/>
        </w:rPr>
        <w:t>十、参与本次交易的证券服务机构</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_Toc21236 \h </w:instrText>
      </w:r>
      <w:r>
        <w:rPr>
          <w:rFonts w:ascii="Times New Roman" w:hAnsi="Times New Roman"/>
          <w:sz w:val="24"/>
          <w:lang/>
        </w:rPr>
        <w:fldChar w:fldCharType="separate"/>
      </w:r>
      <w:r>
        <w:rPr>
          <w:rFonts w:ascii="Times New Roman" w:hAnsi="Times New Roman"/>
          <w:sz w:val="24"/>
          <w:lang/>
        </w:rPr>
        <w:t>26</w:t>
      </w:r>
      <w:r>
        <w:rPr>
          <w:rFonts w:ascii="Times New Roman" w:hAnsi="Times New Roman"/>
          <w:sz w:val="24"/>
          <w:lang/>
        </w:rPr>
        <w:fldChar w:fldCharType="end"/>
      </w:r>
      <w:r>
        <w:rPr>
          <w:rFonts w:ascii="Times New Roman" w:hAnsi="Times New Roman"/>
          <w:color w:val="000000"/>
          <w:sz w:val="24"/>
          <w:lang/>
        </w:rPr>
        <w:fldChar w:fldCharType="end"/>
      </w:r>
    </w:p>
    <w:p w14:paraId="0B94A1F0">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_Toc1934 </w:instrText>
      </w:r>
      <w:r>
        <w:rPr>
          <w:rFonts w:ascii="Times New Roman" w:hAnsi="Times New Roman"/>
          <w:sz w:val="24"/>
          <w:lang/>
        </w:rPr>
        <w:fldChar w:fldCharType="separate"/>
      </w:r>
      <w:r>
        <w:rPr>
          <w:rFonts w:ascii="Times New Roman" w:hAnsi="Times New Roman"/>
          <w:bCs/>
          <w:kern w:val="0"/>
          <w:sz w:val="24"/>
          <w:lang/>
        </w:rPr>
        <w:t>十一、内幕信息知情人登记制度以及本次交易相关方买卖股票的情况</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_Toc1934 \h </w:instrText>
      </w:r>
      <w:r>
        <w:rPr>
          <w:rFonts w:ascii="Times New Roman" w:hAnsi="Times New Roman"/>
          <w:sz w:val="24"/>
          <w:lang/>
        </w:rPr>
        <w:fldChar w:fldCharType="separate"/>
      </w:r>
      <w:r>
        <w:rPr>
          <w:rFonts w:ascii="Times New Roman" w:hAnsi="Times New Roman"/>
          <w:sz w:val="24"/>
          <w:lang/>
        </w:rPr>
        <w:t>27</w:t>
      </w:r>
      <w:r>
        <w:rPr>
          <w:rFonts w:ascii="Times New Roman" w:hAnsi="Times New Roman"/>
          <w:sz w:val="24"/>
          <w:lang/>
        </w:rPr>
        <w:fldChar w:fldCharType="end"/>
      </w:r>
      <w:r>
        <w:rPr>
          <w:rFonts w:ascii="Times New Roman" w:hAnsi="Times New Roman"/>
          <w:color w:val="000000"/>
          <w:sz w:val="24"/>
          <w:lang/>
        </w:rPr>
        <w:fldChar w:fldCharType="end"/>
      </w:r>
    </w:p>
    <w:p w14:paraId="4F2A7019">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_Toc2608 </w:instrText>
      </w:r>
      <w:r>
        <w:rPr>
          <w:rFonts w:ascii="Times New Roman" w:hAnsi="Times New Roman"/>
          <w:sz w:val="24"/>
          <w:lang/>
        </w:rPr>
        <w:fldChar w:fldCharType="separate"/>
      </w:r>
      <w:r>
        <w:rPr>
          <w:rFonts w:ascii="Times New Roman" w:hAnsi="Times New Roman"/>
          <w:bCs/>
          <w:kern w:val="0"/>
          <w:sz w:val="24"/>
          <w:lang/>
        </w:rPr>
        <w:t>十二、律师认为需要说明的其他事项</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_Toc2608 \h </w:instrText>
      </w:r>
      <w:r>
        <w:rPr>
          <w:rFonts w:ascii="Times New Roman" w:hAnsi="Times New Roman"/>
          <w:sz w:val="24"/>
          <w:lang/>
        </w:rPr>
        <w:fldChar w:fldCharType="separate"/>
      </w:r>
      <w:r>
        <w:rPr>
          <w:rFonts w:ascii="Times New Roman" w:hAnsi="Times New Roman"/>
          <w:sz w:val="24"/>
          <w:lang/>
        </w:rPr>
        <w:t>27</w:t>
      </w:r>
      <w:r>
        <w:rPr>
          <w:rFonts w:ascii="Times New Roman" w:hAnsi="Times New Roman"/>
          <w:sz w:val="24"/>
          <w:lang/>
        </w:rPr>
        <w:fldChar w:fldCharType="end"/>
      </w:r>
      <w:r>
        <w:rPr>
          <w:rFonts w:ascii="Times New Roman" w:hAnsi="Times New Roman"/>
          <w:color w:val="000000"/>
          <w:sz w:val="24"/>
          <w:lang/>
        </w:rPr>
        <w:fldChar w:fldCharType="end"/>
      </w:r>
    </w:p>
    <w:p w14:paraId="3FB0CDBA">
      <w:pPr>
        <w:pStyle w:val="13"/>
        <w:tabs>
          <w:tab w:val="right" w:leader="dot" w:pos="8306"/>
        </w:tabs>
        <w:spacing w:before="156" w:beforeLines="50" w:line="360" w:lineRule="auto"/>
        <w:rPr>
          <w:rFonts w:ascii="Times New Roman" w:hAnsi="Times New Roman"/>
          <w:sz w:val="24"/>
          <w:lang/>
        </w:rPr>
      </w:pPr>
      <w:r>
        <w:rPr>
          <w:rFonts w:ascii="Times New Roman" w:hAnsi="Times New Roman"/>
          <w:color w:val="000000"/>
          <w:sz w:val="24"/>
          <w:lang/>
        </w:rPr>
        <w:fldChar w:fldCharType="begin"/>
      </w:r>
      <w:r>
        <w:rPr>
          <w:rFonts w:ascii="Times New Roman" w:hAnsi="Times New Roman"/>
          <w:sz w:val="24"/>
          <w:lang/>
        </w:rPr>
        <w:instrText xml:space="preserve"> HYPERLINK \l _Toc16109 </w:instrText>
      </w:r>
      <w:r>
        <w:rPr>
          <w:rFonts w:ascii="Times New Roman" w:hAnsi="Times New Roman"/>
          <w:sz w:val="24"/>
          <w:lang/>
        </w:rPr>
        <w:fldChar w:fldCharType="separate"/>
      </w:r>
      <w:r>
        <w:rPr>
          <w:rFonts w:ascii="Times New Roman" w:hAnsi="Times New Roman"/>
          <w:bCs/>
          <w:kern w:val="0"/>
          <w:sz w:val="24"/>
          <w:lang/>
        </w:rPr>
        <w:t>十三、结论意见</w:t>
      </w:r>
      <w:r>
        <w:rPr>
          <w:rFonts w:ascii="Times New Roman" w:hAnsi="Times New Roman"/>
          <w:sz w:val="24"/>
          <w:lang/>
        </w:rPr>
        <w:tab/>
      </w:r>
      <w:r>
        <w:rPr>
          <w:rFonts w:ascii="Times New Roman" w:hAnsi="Times New Roman"/>
          <w:sz w:val="24"/>
          <w:lang/>
        </w:rPr>
        <w:fldChar w:fldCharType="begin"/>
      </w:r>
      <w:r>
        <w:rPr>
          <w:rFonts w:ascii="Times New Roman" w:hAnsi="Times New Roman"/>
          <w:sz w:val="24"/>
          <w:lang/>
        </w:rPr>
        <w:instrText xml:space="preserve"> PAGEREF _Toc16109 \h </w:instrText>
      </w:r>
      <w:r>
        <w:rPr>
          <w:rFonts w:ascii="Times New Roman" w:hAnsi="Times New Roman"/>
          <w:sz w:val="24"/>
          <w:lang/>
        </w:rPr>
        <w:fldChar w:fldCharType="separate"/>
      </w:r>
      <w:r>
        <w:rPr>
          <w:rFonts w:ascii="Times New Roman" w:hAnsi="Times New Roman"/>
          <w:sz w:val="24"/>
          <w:lang/>
        </w:rPr>
        <w:t>27</w:t>
      </w:r>
      <w:r>
        <w:rPr>
          <w:rFonts w:ascii="Times New Roman" w:hAnsi="Times New Roman"/>
          <w:sz w:val="24"/>
          <w:lang/>
        </w:rPr>
        <w:fldChar w:fldCharType="end"/>
      </w:r>
      <w:r>
        <w:rPr>
          <w:rFonts w:ascii="Times New Roman" w:hAnsi="Times New Roman"/>
          <w:color w:val="000000"/>
          <w:sz w:val="24"/>
          <w:lang/>
        </w:rPr>
        <w:fldChar w:fldCharType="end"/>
      </w:r>
    </w:p>
    <w:p w14:paraId="6F77E6D5">
      <w:pPr>
        <w:adjustRightInd w:val="0"/>
        <w:snapToGrid w:val="0"/>
        <w:spacing w:before="156" w:beforeLines="50" w:line="360" w:lineRule="auto"/>
        <w:rPr>
          <w:rFonts w:ascii="Times New Roman" w:hAnsi="Times New Roman"/>
          <w:color w:val="000000"/>
          <w:sz w:val="24"/>
        </w:rPr>
      </w:pPr>
      <w:r>
        <w:rPr>
          <w:rFonts w:ascii="Times New Roman" w:hAnsi="Times New Roman"/>
          <w:color w:val="000000"/>
          <w:sz w:val="24"/>
        </w:rPr>
        <w:fldChar w:fldCharType="end"/>
      </w:r>
    </w:p>
    <w:p w14:paraId="4A678F4B">
      <w:pPr>
        <w:adjustRightInd w:val="0"/>
        <w:snapToGrid w:val="0"/>
        <w:spacing w:line="360" w:lineRule="auto"/>
        <w:rPr>
          <w:rFonts w:ascii="Times New Roman" w:hAnsi="Times New Roman"/>
          <w:color w:val="000000"/>
        </w:rPr>
      </w:pPr>
    </w:p>
    <w:p w14:paraId="49CEEC53">
      <w:pPr>
        <w:pStyle w:val="39"/>
        <w:adjustRightInd w:val="0"/>
        <w:snapToGrid w:val="0"/>
        <w:ind w:firstLine="0" w:firstLineChars="0"/>
        <w:jc w:val="center"/>
        <w:rPr>
          <w:b/>
          <w:bCs/>
          <w:color w:val="000000"/>
          <w:kern w:val="0"/>
          <w:sz w:val="28"/>
          <w:szCs w:val="28"/>
        </w:rPr>
      </w:pPr>
      <w:bookmarkStart w:id="12" w:name="_Toc7279"/>
      <w:bookmarkStart w:id="13" w:name="_Toc2993"/>
      <w:bookmarkStart w:id="14" w:name="_Toc5627"/>
      <w:bookmarkStart w:id="15" w:name="_Toc128351369"/>
      <w:bookmarkStart w:id="16" w:name="_Toc166188760"/>
      <w:bookmarkStart w:id="17" w:name="_Toc6643"/>
      <w:r>
        <w:rPr>
          <w:b/>
          <w:bCs/>
          <w:color w:val="000000"/>
        </w:rPr>
        <w:br w:type="page"/>
      </w:r>
      <w:bookmarkEnd w:id="1"/>
      <w:bookmarkEnd w:id="2"/>
      <w:bookmarkEnd w:id="3"/>
      <w:bookmarkEnd w:id="4"/>
      <w:bookmarkEnd w:id="5"/>
      <w:bookmarkEnd w:id="6"/>
      <w:bookmarkEnd w:id="7"/>
      <w:bookmarkEnd w:id="8"/>
      <w:bookmarkEnd w:id="9"/>
      <w:bookmarkEnd w:id="10"/>
      <w:bookmarkEnd w:id="12"/>
      <w:bookmarkEnd w:id="13"/>
      <w:bookmarkEnd w:id="14"/>
      <w:bookmarkEnd w:id="15"/>
      <w:bookmarkEnd w:id="16"/>
      <w:bookmarkEnd w:id="17"/>
      <w:bookmarkStart w:id="18" w:name="_Toc15833"/>
      <w:r>
        <w:rPr>
          <w:b/>
          <w:bCs/>
          <w:color w:val="000000"/>
          <w:kern w:val="0"/>
          <w:sz w:val="28"/>
          <w:szCs w:val="28"/>
        </w:rPr>
        <w:t>正  文</w:t>
      </w:r>
      <w:bookmarkEnd w:id="18"/>
    </w:p>
    <w:p w14:paraId="5A885730">
      <w:pPr>
        <w:widowControl/>
        <w:adjustRightInd w:val="0"/>
        <w:snapToGrid w:val="0"/>
        <w:spacing w:before="156" w:beforeLines="50" w:after="156" w:afterLines="50" w:line="360" w:lineRule="auto"/>
        <w:ind w:firstLine="482" w:firstLineChars="200"/>
        <w:outlineLvl w:val="0"/>
        <w:rPr>
          <w:rFonts w:ascii="Times New Roman" w:hAnsi="Times New Roman"/>
          <w:b/>
          <w:bCs/>
          <w:color w:val="000000"/>
          <w:kern w:val="0"/>
          <w:sz w:val="24"/>
        </w:rPr>
      </w:pPr>
      <w:bookmarkStart w:id="19" w:name="_Toc7297"/>
      <w:bookmarkStart w:id="20" w:name="_Toc16414"/>
      <w:r>
        <w:rPr>
          <w:rFonts w:ascii="Times New Roman" w:hAnsi="Times New Roman"/>
          <w:b/>
          <w:bCs/>
          <w:color w:val="000000"/>
          <w:kern w:val="0"/>
          <w:sz w:val="24"/>
        </w:rPr>
        <w:t>一、</w:t>
      </w:r>
      <w:r>
        <w:rPr>
          <w:rFonts w:ascii="Times New Roman" w:hAnsi="Times New Roman"/>
          <w:b/>
          <w:bCs/>
          <w:color w:val="000000"/>
          <w:kern w:val="0"/>
          <w:sz w:val="24"/>
          <w:lang w:eastAsia="zh"/>
        </w:rPr>
        <w:t>本次交易</w:t>
      </w:r>
      <w:r>
        <w:rPr>
          <w:rFonts w:ascii="Times New Roman" w:hAnsi="Times New Roman"/>
          <w:b/>
          <w:bCs/>
          <w:color w:val="000000"/>
          <w:kern w:val="0"/>
          <w:sz w:val="24"/>
        </w:rPr>
        <w:t>的方案</w:t>
      </w:r>
      <w:bookmarkEnd w:id="19"/>
      <w:bookmarkEnd w:id="20"/>
    </w:p>
    <w:p w14:paraId="3A894A8D">
      <w:pPr>
        <w:widowControl/>
        <w:adjustRightInd w:val="0"/>
        <w:snapToGrid w:val="0"/>
        <w:spacing w:before="156" w:beforeLines="50" w:after="156" w:afterLines="50" w:line="360" w:lineRule="auto"/>
        <w:ind w:firstLine="482" w:firstLineChars="200"/>
        <w:outlineLvl w:val="1"/>
        <w:rPr>
          <w:rFonts w:ascii="Times New Roman" w:hAnsi="Times New Roman"/>
          <w:b/>
          <w:bCs/>
          <w:color w:val="000000"/>
          <w:kern w:val="0"/>
          <w:sz w:val="24"/>
        </w:rPr>
      </w:pPr>
      <w:bookmarkStart w:id="21" w:name="_Toc1735749492"/>
      <w:bookmarkStart w:id="22" w:name="_Toc1430512956"/>
      <w:r>
        <w:rPr>
          <w:rFonts w:ascii="Times New Roman" w:hAnsi="Times New Roman"/>
          <w:b/>
          <w:bCs/>
          <w:color w:val="000000"/>
          <w:kern w:val="0"/>
          <w:sz w:val="24"/>
        </w:rPr>
        <w:t>（一）</w:t>
      </w:r>
      <w:bookmarkEnd w:id="21"/>
      <w:bookmarkEnd w:id="22"/>
      <w:r>
        <w:rPr>
          <w:rFonts w:ascii="Times New Roman" w:hAnsi="Times New Roman"/>
          <w:b/>
          <w:bCs/>
          <w:kern w:val="0"/>
          <w:sz w:val="24"/>
          <w:lang w:eastAsia="zh"/>
        </w:rPr>
        <w:t>本次交易</w:t>
      </w:r>
      <w:r>
        <w:rPr>
          <w:rFonts w:ascii="Times New Roman" w:hAnsi="Times New Roman"/>
          <w:b/>
          <w:bCs/>
          <w:kern w:val="0"/>
          <w:sz w:val="24"/>
        </w:rPr>
        <w:t>方案概述</w:t>
      </w:r>
    </w:p>
    <w:p w14:paraId="6CB67034">
      <w:pPr>
        <w:widowControl/>
        <w:adjustRightInd w:val="0"/>
        <w:snapToGrid w:val="0"/>
        <w:spacing w:before="156" w:beforeLines="50" w:after="156" w:afterLines="50" w:line="360" w:lineRule="auto"/>
        <w:ind w:firstLine="468" w:firstLineChars="200"/>
        <w:rPr>
          <w:rFonts w:ascii="Times New Roman" w:hAnsi="Times New Roman"/>
          <w:color w:val="000000"/>
          <w:kern w:val="0"/>
          <w:sz w:val="24"/>
        </w:rPr>
      </w:pPr>
      <w:r>
        <w:rPr>
          <w:rFonts w:ascii="Times New Roman" w:hAnsi="Times New Roman"/>
          <w:spacing w:val="-3"/>
          <w:sz w:val="24"/>
        </w:rPr>
        <w:t>本所律师已在《法律意见书》</w:t>
      </w:r>
      <w:r>
        <w:rPr>
          <w:rFonts w:ascii="Times New Roman" w:hAnsi="Times New Roman"/>
          <w:spacing w:val="-4"/>
          <w:sz w:val="24"/>
        </w:rPr>
        <w:t>中披露本次交易的</w:t>
      </w:r>
      <w:r>
        <w:rPr>
          <w:rFonts w:hint="eastAsia" w:ascii="Times New Roman" w:hAnsi="Times New Roman"/>
          <w:spacing w:val="-4"/>
          <w:sz w:val="24"/>
        </w:rPr>
        <w:t>方案概述</w:t>
      </w:r>
      <w:r>
        <w:rPr>
          <w:rFonts w:ascii="Times New Roman" w:hAnsi="Times New Roman"/>
          <w:spacing w:val="2"/>
          <w:sz w:val="24"/>
        </w:rPr>
        <w:t>。经核查，截至本补充法律意见书出具日，本次交易的</w:t>
      </w:r>
      <w:r>
        <w:rPr>
          <w:rFonts w:hint="eastAsia" w:ascii="Times New Roman" w:hAnsi="Times New Roman"/>
          <w:spacing w:val="-4"/>
          <w:sz w:val="24"/>
        </w:rPr>
        <w:t>方案概述</w:t>
      </w:r>
      <w:r>
        <w:rPr>
          <w:rFonts w:ascii="Times New Roman" w:hAnsi="Times New Roman"/>
          <w:spacing w:val="2"/>
          <w:sz w:val="24"/>
        </w:rPr>
        <w:t>未发生变化。</w:t>
      </w:r>
    </w:p>
    <w:p w14:paraId="7C6B9904">
      <w:pPr>
        <w:widowControl/>
        <w:numPr>
          <w:ilvl w:val="0"/>
          <w:numId w:val="1"/>
        </w:numPr>
        <w:adjustRightInd w:val="0"/>
        <w:snapToGrid w:val="0"/>
        <w:spacing w:before="156" w:beforeLines="50" w:after="156" w:afterLines="50" w:line="360" w:lineRule="auto"/>
        <w:ind w:left="0" w:firstLine="420"/>
        <w:outlineLvl w:val="1"/>
        <w:rPr>
          <w:rFonts w:ascii="Times New Roman" w:hAnsi="Times New Roman"/>
          <w:b/>
          <w:bCs/>
          <w:color w:val="000000"/>
          <w:kern w:val="0"/>
          <w:sz w:val="24"/>
        </w:rPr>
      </w:pPr>
      <w:bookmarkStart w:id="23" w:name="_Toc1551823327"/>
      <w:bookmarkStart w:id="24" w:name="_Toc1323851196"/>
      <w:r>
        <w:rPr>
          <w:rFonts w:ascii="Times New Roman" w:hAnsi="Times New Roman"/>
          <w:b/>
          <w:bCs/>
          <w:color w:val="000000"/>
          <w:kern w:val="0"/>
          <w:sz w:val="24"/>
        </w:rPr>
        <w:t>本次</w:t>
      </w:r>
      <w:bookmarkEnd w:id="23"/>
      <w:bookmarkEnd w:id="24"/>
      <w:r>
        <w:rPr>
          <w:rFonts w:hint="eastAsia" w:ascii="Times New Roman" w:hAnsi="Times New Roman"/>
          <w:b/>
          <w:bCs/>
          <w:color w:val="000000"/>
          <w:kern w:val="0"/>
          <w:sz w:val="24"/>
        </w:rPr>
        <w:t>交易的具体方案</w:t>
      </w:r>
    </w:p>
    <w:p w14:paraId="645C39F3">
      <w:pPr>
        <w:widowControl/>
        <w:adjustRightInd w:val="0"/>
        <w:snapToGrid w:val="0"/>
        <w:spacing w:before="156" w:beforeLines="50" w:after="156" w:afterLines="50" w:line="360" w:lineRule="auto"/>
        <w:ind w:firstLine="468" w:firstLineChars="200"/>
        <w:rPr>
          <w:rFonts w:ascii="Times New Roman" w:hAnsi="Times New Roman"/>
          <w:b/>
          <w:bCs/>
          <w:color w:val="000000"/>
          <w:kern w:val="0"/>
          <w:sz w:val="24"/>
        </w:rPr>
      </w:pPr>
      <w:r>
        <w:rPr>
          <w:rFonts w:ascii="Times New Roman" w:hAnsi="Times New Roman"/>
          <w:spacing w:val="-3"/>
          <w:sz w:val="24"/>
        </w:rPr>
        <w:t>本所律师已在《法律意见书》</w:t>
      </w:r>
      <w:r>
        <w:rPr>
          <w:rFonts w:ascii="Times New Roman" w:hAnsi="Times New Roman"/>
          <w:spacing w:val="-4"/>
          <w:sz w:val="24"/>
        </w:rPr>
        <w:t>中披露</w:t>
      </w:r>
      <w:r>
        <w:rPr>
          <w:rFonts w:hint="eastAsia" w:ascii="Times New Roman" w:hAnsi="Times New Roman"/>
          <w:spacing w:val="-4"/>
          <w:sz w:val="24"/>
        </w:rPr>
        <w:t>本次交易</w:t>
      </w:r>
      <w:r>
        <w:rPr>
          <w:rFonts w:ascii="Times New Roman" w:hAnsi="Times New Roman"/>
          <w:spacing w:val="-4"/>
          <w:sz w:val="24"/>
        </w:rPr>
        <w:t>的</w:t>
      </w:r>
      <w:r>
        <w:rPr>
          <w:rFonts w:hint="eastAsia" w:ascii="Times New Roman" w:hAnsi="Times New Roman"/>
          <w:spacing w:val="-4"/>
          <w:sz w:val="24"/>
        </w:rPr>
        <w:t>具体方案</w:t>
      </w:r>
      <w:r>
        <w:rPr>
          <w:rFonts w:ascii="Times New Roman" w:hAnsi="Times New Roman"/>
          <w:spacing w:val="2"/>
          <w:sz w:val="24"/>
        </w:rPr>
        <w:t>。经核查，截至本补充法律意见书出具日，本次交易的</w:t>
      </w:r>
      <w:r>
        <w:rPr>
          <w:rFonts w:hint="eastAsia" w:ascii="Times New Roman" w:hAnsi="Times New Roman"/>
          <w:spacing w:val="2"/>
          <w:sz w:val="24"/>
        </w:rPr>
        <w:t>具体</w:t>
      </w:r>
      <w:r>
        <w:rPr>
          <w:rFonts w:ascii="Times New Roman" w:hAnsi="Times New Roman"/>
          <w:spacing w:val="2"/>
          <w:sz w:val="24"/>
        </w:rPr>
        <w:t>方案未发生变化。</w:t>
      </w:r>
    </w:p>
    <w:p w14:paraId="04298078">
      <w:pPr>
        <w:widowControl/>
        <w:adjustRightInd w:val="0"/>
        <w:snapToGrid w:val="0"/>
        <w:spacing w:before="156" w:beforeLines="50" w:after="156" w:afterLines="50" w:line="360" w:lineRule="auto"/>
        <w:ind w:firstLine="482" w:firstLineChars="200"/>
        <w:outlineLvl w:val="1"/>
        <w:rPr>
          <w:rFonts w:ascii="Times New Roman" w:hAnsi="Times New Roman"/>
          <w:b/>
          <w:bCs/>
          <w:color w:val="000000"/>
          <w:kern w:val="0"/>
          <w:sz w:val="24"/>
        </w:rPr>
      </w:pPr>
      <w:r>
        <w:rPr>
          <w:rFonts w:ascii="Times New Roman" w:hAnsi="Times New Roman"/>
          <w:b/>
          <w:bCs/>
          <w:color w:val="000000"/>
          <w:kern w:val="0"/>
          <w:sz w:val="24"/>
        </w:rPr>
        <w:t>（</w:t>
      </w:r>
      <w:r>
        <w:rPr>
          <w:rFonts w:hint="eastAsia" w:ascii="Times New Roman" w:hAnsi="Times New Roman"/>
          <w:b/>
          <w:bCs/>
          <w:color w:val="000000"/>
          <w:kern w:val="0"/>
          <w:sz w:val="24"/>
        </w:rPr>
        <w:t>三</w:t>
      </w:r>
      <w:r>
        <w:rPr>
          <w:rFonts w:ascii="Times New Roman" w:hAnsi="Times New Roman"/>
          <w:b/>
          <w:bCs/>
          <w:color w:val="000000"/>
          <w:kern w:val="0"/>
          <w:sz w:val="24"/>
        </w:rPr>
        <w:t>）本次交易的性质</w:t>
      </w:r>
    </w:p>
    <w:p w14:paraId="3D7E3DDC">
      <w:pPr>
        <w:widowControl/>
        <w:adjustRightInd w:val="0"/>
        <w:snapToGrid w:val="0"/>
        <w:spacing w:before="156" w:beforeLines="50" w:after="156" w:afterLines="50" w:line="360" w:lineRule="auto"/>
        <w:ind w:firstLine="468" w:firstLineChars="200"/>
        <w:rPr>
          <w:rFonts w:ascii="Times New Roman" w:hAnsi="Times New Roman"/>
          <w:color w:val="000000"/>
          <w:kern w:val="0"/>
          <w:sz w:val="24"/>
        </w:rPr>
      </w:pPr>
      <w:r>
        <w:rPr>
          <w:rFonts w:ascii="Times New Roman" w:hAnsi="Times New Roman"/>
          <w:spacing w:val="-3"/>
          <w:sz w:val="24"/>
        </w:rPr>
        <w:t>本所律师已在《法律意见书》</w:t>
      </w:r>
      <w:r>
        <w:rPr>
          <w:rFonts w:ascii="Times New Roman" w:hAnsi="Times New Roman"/>
          <w:spacing w:val="-4"/>
          <w:sz w:val="24"/>
        </w:rPr>
        <w:t>中披露本次交易</w:t>
      </w:r>
      <w:r>
        <w:rPr>
          <w:rFonts w:hint="eastAsia" w:ascii="Times New Roman" w:hAnsi="Times New Roman"/>
          <w:spacing w:val="-4"/>
          <w:sz w:val="24"/>
        </w:rPr>
        <w:t>的</w:t>
      </w:r>
      <w:r>
        <w:rPr>
          <w:rFonts w:ascii="Times New Roman" w:hAnsi="Times New Roman"/>
          <w:spacing w:val="-4"/>
          <w:sz w:val="24"/>
        </w:rPr>
        <w:t>性质</w:t>
      </w:r>
      <w:r>
        <w:rPr>
          <w:rFonts w:ascii="Times New Roman" w:hAnsi="Times New Roman"/>
          <w:spacing w:val="2"/>
          <w:sz w:val="24"/>
        </w:rPr>
        <w:t>。经核查，截至本补充法律意见书出具日，</w:t>
      </w:r>
      <w:r>
        <w:rPr>
          <w:rFonts w:ascii="Times New Roman" w:hAnsi="Times New Roman"/>
          <w:color w:val="000000"/>
          <w:kern w:val="0"/>
          <w:sz w:val="24"/>
        </w:rPr>
        <w:t>本次交易仍构成关联交易</w:t>
      </w:r>
      <w:r>
        <w:rPr>
          <w:rFonts w:hint="eastAsia" w:ascii="Times New Roman" w:hAnsi="Times New Roman"/>
          <w:color w:val="000000"/>
          <w:kern w:val="0"/>
          <w:sz w:val="24"/>
        </w:rPr>
        <w:t>，构成</w:t>
      </w:r>
      <w:r>
        <w:rPr>
          <w:rFonts w:ascii="Times New Roman" w:hAnsi="Times New Roman"/>
          <w:color w:val="000000"/>
          <w:kern w:val="0"/>
          <w:sz w:val="24"/>
        </w:rPr>
        <w:t>重大资产重组</w:t>
      </w:r>
      <w:r>
        <w:rPr>
          <w:rFonts w:hint="eastAsia" w:ascii="Times New Roman" w:hAnsi="Times New Roman"/>
          <w:color w:val="000000"/>
          <w:kern w:val="0"/>
          <w:sz w:val="24"/>
        </w:rPr>
        <w:t>，但不构成</w:t>
      </w:r>
      <w:r>
        <w:rPr>
          <w:rFonts w:ascii="Times New Roman" w:hAnsi="Times New Roman"/>
          <w:color w:val="000000"/>
          <w:kern w:val="0"/>
          <w:sz w:val="24"/>
        </w:rPr>
        <w:t>重组上市</w:t>
      </w:r>
      <w:r>
        <w:rPr>
          <w:rFonts w:hint="eastAsia" w:ascii="Times New Roman" w:hAnsi="Times New Roman"/>
          <w:color w:val="000000"/>
          <w:kern w:val="0"/>
          <w:sz w:val="24"/>
        </w:rPr>
        <w:t>，本次交易的性质未发生变化</w:t>
      </w:r>
      <w:r>
        <w:rPr>
          <w:rFonts w:ascii="Times New Roman" w:hAnsi="Times New Roman"/>
          <w:color w:val="000000"/>
          <w:kern w:val="0"/>
          <w:sz w:val="24"/>
        </w:rPr>
        <w:t>。</w:t>
      </w:r>
    </w:p>
    <w:p w14:paraId="44B06B06">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综上，本所认为：</w:t>
      </w:r>
    </w:p>
    <w:p w14:paraId="7828B014">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截至本补充法律意见书出具日，本次交易方案的内容符合</w:t>
      </w:r>
      <w:r>
        <w:rPr>
          <w:rFonts w:ascii="Times New Roman" w:hAnsi="Times New Roman"/>
          <w:b/>
          <w:bCs/>
          <w:kern w:val="0"/>
          <w:sz w:val="24"/>
        </w:rPr>
        <w:t>《重组管理办法》等相关法律、行政法规、规章及规范性文件的规定；本次交易构成关联交易，构成重大资产重组，但不构成重组上市</w:t>
      </w:r>
      <w:r>
        <w:rPr>
          <w:rFonts w:ascii="Times New Roman" w:hAnsi="Times New Roman"/>
          <w:b/>
          <w:bCs/>
          <w:sz w:val="24"/>
        </w:rPr>
        <w:t>。</w:t>
      </w:r>
    </w:p>
    <w:p w14:paraId="3617298E">
      <w:pPr>
        <w:widowControl/>
        <w:adjustRightInd w:val="0"/>
        <w:snapToGrid w:val="0"/>
        <w:spacing w:before="156" w:beforeLines="50" w:after="156" w:afterLines="50" w:line="360" w:lineRule="auto"/>
        <w:ind w:firstLine="480" w:firstLineChars="200"/>
        <w:rPr>
          <w:rFonts w:ascii="Times New Roman" w:hAnsi="Times New Roman"/>
          <w:color w:val="000000"/>
          <w:kern w:val="0"/>
          <w:sz w:val="24"/>
        </w:rPr>
      </w:pPr>
    </w:p>
    <w:p w14:paraId="6E587293">
      <w:pPr>
        <w:widowControl/>
        <w:adjustRightInd w:val="0"/>
        <w:snapToGrid w:val="0"/>
        <w:spacing w:before="156" w:beforeLines="50" w:after="156" w:afterLines="50" w:line="360" w:lineRule="auto"/>
        <w:ind w:firstLine="482" w:firstLineChars="200"/>
        <w:outlineLvl w:val="0"/>
        <w:rPr>
          <w:rFonts w:ascii="Times New Roman" w:hAnsi="Times New Roman"/>
          <w:b/>
          <w:bCs/>
          <w:color w:val="000000"/>
          <w:kern w:val="0"/>
          <w:sz w:val="24"/>
        </w:rPr>
      </w:pPr>
      <w:bookmarkStart w:id="25" w:name="_Toc8655"/>
      <w:r>
        <w:rPr>
          <w:rFonts w:ascii="Times New Roman" w:hAnsi="Times New Roman"/>
          <w:b/>
          <w:bCs/>
          <w:color w:val="000000"/>
          <w:kern w:val="0"/>
          <w:sz w:val="24"/>
        </w:rPr>
        <w:t>二、本次交易各方的主体资格</w:t>
      </w:r>
      <w:bookmarkEnd w:id="25"/>
    </w:p>
    <w:p w14:paraId="1E0ED1BC">
      <w:pPr>
        <w:widowControl/>
        <w:adjustRightInd w:val="0"/>
        <w:snapToGrid w:val="0"/>
        <w:spacing w:before="156" w:beforeLines="50" w:after="156" w:afterLines="50" w:line="360" w:lineRule="auto"/>
        <w:ind w:firstLine="482" w:firstLineChars="200"/>
        <w:outlineLvl w:val="1"/>
        <w:rPr>
          <w:rFonts w:ascii="Times New Roman" w:hAnsi="Times New Roman"/>
          <w:b/>
          <w:bCs/>
          <w:color w:val="000000"/>
          <w:kern w:val="0"/>
          <w:sz w:val="24"/>
        </w:rPr>
      </w:pPr>
      <w:bookmarkStart w:id="26" w:name="_Toc2120862163"/>
      <w:bookmarkStart w:id="27" w:name="_Toc1056261485"/>
      <w:r>
        <w:rPr>
          <w:rFonts w:ascii="Times New Roman" w:hAnsi="Times New Roman"/>
          <w:b/>
          <w:bCs/>
          <w:color w:val="000000"/>
          <w:kern w:val="0"/>
          <w:sz w:val="24"/>
        </w:rPr>
        <w:t>（一）</w:t>
      </w:r>
      <w:bookmarkEnd w:id="26"/>
      <w:bookmarkEnd w:id="27"/>
      <w:r>
        <w:rPr>
          <w:rFonts w:hint="eastAsia" w:ascii="Times New Roman" w:hAnsi="Times New Roman"/>
          <w:b/>
          <w:bCs/>
          <w:color w:val="000000"/>
          <w:kern w:val="0"/>
          <w:sz w:val="24"/>
        </w:rPr>
        <w:t>天亿马</w:t>
      </w:r>
      <w:r>
        <w:rPr>
          <w:rFonts w:ascii="Times New Roman" w:hAnsi="Times New Roman"/>
          <w:b/>
          <w:bCs/>
          <w:color w:val="000000"/>
          <w:kern w:val="0"/>
          <w:sz w:val="24"/>
        </w:rPr>
        <w:t>的主体资格</w:t>
      </w:r>
    </w:p>
    <w:p w14:paraId="397FD78D">
      <w:pPr>
        <w:widowControl/>
        <w:adjustRightInd w:val="0"/>
        <w:snapToGrid w:val="0"/>
        <w:spacing w:before="156" w:beforeLines="50" w:after="156" w:afterLines="50" w:line="360" w:lineRule="auto"/>
        <w:ind w:firstLine="482" w:firstLineChars="200"/>
        <w:outlineLvl w:val="2"/>
        <w:rPr>
          <w:rFonts w:ascii="Times New Roman" w:hAnsi="Times New Roman"/>
          <w:b/>
          <w:bCs/>
          <w:color w:val="000000"/>
          <w:kern w:val="0"/>
          <w:sz w:val="24"/>
        </w:rPr>
      </w:pPr>
      <w:r>
        <w:rPr>
          <w:rFonts w:ascii="Times New Roman" w:hAnsi="Times New Roman"/>
          <w:b/>
          <w:bCs/>
          <w:color w:val="000000"/>
          <w:kern w:val="0"/>
          <w:sz w:val="24"/>
        </w:rPr>
        <w:t>1、基本情况</w:t>
      </w:r>
    </w:p>
    <w:p w14:paraId="2944E855">
      <w:pPr>
        <w:pStyle w:val="39"/>
        <w:adjustRightInd w:val="0"/>
        <w:snapToGrid w:val="0"/>
        <w:spacing w:before="156" w:beforeLines="50" w:after="156" w:afterLines="50"/>
        <w:ind w:firstLine="468"/>
        <w:rPr>
          <w:color w:val="000000"/>
          <w:kern w:val="0"/>
          <w:szCs w:val="24"/>
        </w:rPr>
      </w:pPr>
      <w:r>
        <w:rPr>
          <w:spacing w:val="-3"/>
          <w:szCs w:val="24"/>
        </w:rPr>
        <w:t>本所律师已在《法律意见书》</w:t>
      </w:r>
      <w:r>
        <w:rPr>
          <w:spacing w:val="-4"/>
          <w:szCs w:val="24"/>
        </w:rPr>
        <w:t>中披露</w:t>
      </w:r>
      <w:r>
        <w:rPr>
          <w:rFonts w:hint="eastAsia"/>
          <w:spacing w:val="-4"/>
          <w:szCs w:val="24"/>
        </w:rPr>
        <w:t>天亿马</w:t>
      </w:r>
      <w:r>
        <w:rPr>
          <w:spacing w:val="-4"/>
          <w:szCs w:val="24"/>
        </w:rPr>
        <w:t>的基本情况</w:t>
      </w:r>
      <w:r>
        <w:rPr>
          <w:spacing w:val="2"/>
          <w:szCs w:val="24"/>
        </w:rPr>
        <w:t>。经核查，</w:t>
      </w:r>
      <w:r>
        <w:rPr>
          <w:rFonts w:hint="eastAsia"/>
          <w:spacing w:val="2"/>
          <w:szCs w:val="24"/>
        </w:rPr>
        <w:t>截至本补充法律意见书出具日，</w:t>
      </w:r>
      <w:r>
        <w:rPr>
          <w:rFonts w:hint="eastAsia"/>
          <w:spacing w:val="-4"/>
          <w:szCs w:val="24"/>
        </w:rPr>
        <w:t>天亿马</w:t>
      </w:r>
      <w:r>
        <w:rPr>
          <w:spacing w:val="-4"/>
          <w:szCs w:val="24"/>
        </w:rPr>
        <w:t>的基本情况未发生变化</w:t>
      </w:r>
      <w:r>
        <w:rPr>
          <w:color w:val="000000"/>
          <w:kern w:val="0"/>
          <w:szCs w:val="24"/>
        </w:rPr>
        <w:t>。</w:t>
      </w:r>
    </w:p>
    <w:p w14:paraId="0B73CF70">
      <w:pPr>
        <w:widowControl/>
        <w:adjustRightInd w:val="0"/>
        <w:snapToGrid w:val="0"/>
        <w:spacing w:before="156" w:beforeLines="50" w:after="156" w:afterLines="50" w:line="360" w:lineRule="auto"/>
        <w:ind w:firstLine="482" w:firstLineChars="200"/>
        <w:outlineLvl w:val="2"/>
        <w:rPr>
          <w:rFonts w:ascii="Times New Roman" w:hAnsi="Times New Roman"/>
          <w:b/>
          <w:bCs/>
          <w:color w:val="000000"/>
          <w:kern w:val="0"/>
          <w:sz w:val="24"/>
        </w:rPr>
      </w:pPr>
      <w:r>
        <w:rPr>
          <w:rFonts w:ascii="Times New Roman" w:hAnsi="Times New Roman"/>
          <w:b/>
          <w:bCs/>
          <w:color w:val="000000"/>
          <w:kern w:val="0"/>
          <w:sz w:val="24"/>
        </w:rPr>
        <w:t>2、前十大股东情况</w:t>
      </w:r>
    </w:p>
    <w:p w14:paraId="4130640D">
      <w:pPr>
        <w:pStyle w:val="39"/>
        <w:adjustRightInd w:val="0"/>
        <w:snapToGrid w:val="0"/>
        <w:spacing w:before="156" w:beforeLines="50" w:after="156" w:afterLines="50"/>
        <w:ind w:firstLine="480"/>
        <w:rPr>
          <w:color w:val="000000"/>
          <w:kern w:val="0"/>
          <w:szCs w:val="24"/>
        </w:rPr>
      </w:pPr>
      <w:r>
        <w:rPr>
          <w:color w:val="000000"/>
          <w:kern w:val="0"/>
          <w:szCs w:val="24"/>
        </w:rPr>
        <w:t>根据</w:t>
      </w:r>
      <w:r>
        <w:rPr>
          <w:rFonts w:hint="eastAsia"/>
          <w:color w:val="000000"/>
          <w:kern w:val="0"/>
          <w:szCs w:val="24"/>
        </w:rPr>
        <w:t>天亿马</w:t>
      </w:r>
      <w:r>
        <w:rPr>
          <w:color w:val="000000"/>
          <w:kern w:val="0"/>
          <w:szCs w:val="24"/>
        </w:rPr>
        <w:t>2025年年度报告，截至2025年</w:t>
      </w:r>
      <w:r>
        <w:rPr>
          <w:rFonts w:hint="eastAsia"/>
          <w:color w:val="000000"/>
          <w:kern w:val="0"/>
          <w:szCs w:val="24"/>
        </w:rPr>
        <w:t>12</w:t>
      </w:r>
      <w:r>
        <w:rPr>
          <w:color w:val="000000"/>
          <w:kern w:val="0"/>
          <w:szCs w:val="24"/>
        </w:rPr>
        <w:t>月3</w:t>
      </w:r>
      <w:r>
        <w:rPr>
          <w:rFonts w:hint="eastAsia"/>
          <w:color w:val="000000"/>
          <w:kern w:val="0"/>
          <w:szCs w:val="24"/>
        </w:rPr>
        <w:t>1</w:t>
      </w:r>
      <w:r>
        <w:rPr>
          <w:color w:val="000000"/>
          <w:kern w:val="0"/>
          <w:szCs w:val="24"/>
        </w:rPr>
        <w:t>日，</w:t>
      </w:r>
      <w:r>
        <w:rPr>
          <w:rFonts w:hint="eastAsia"/>
          <w:color w:val="000000"/>
          <w:kern w:val="0"/>
          <w:szCs w:val="24"/>
        </w:rPr>
        <w:t>天亿马</w:t>
      </w:r>
      <w:r>
        <w:rPr>
          <w:color w:val="000000"/>
          <w:kern w:val="0"/>
          <w:szCs w:val="24"/>
        </w:rPr>
        <w:t>的前十大股东持股数量和比例如下：</w:t>
      </w:r>
    </w:p>
    <w:tbl>
      <w:tblPr>
        <w:tblStyle w:val="21"/>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15" w:type="dxa"/>
          <w:left w:w="15" w:type="dxa"/>
          <w:bottom w:w="15" w:type="dxa"/>
          <w:right w:w="15" w:type="dxa"/>
        </w:tblCellMar>
      </w:tblPr>
      <w:tblGrid>
        <w:gridCol w:w="1032"/>
        <w:gridCol w:w="3931"/>
        <w:gridCol w:w="1667"/>
        <w:gridCol w:w="1703"/>
      </w:tblGrid>
      <w:tr w14:paraId="6C9A07F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tblHeader/>
          <w:jc w:val="center"/>
        </w:trPr>
        <w:tc>
          <w:tcPr>
            <w:tcW w:w="619" w:type="pct"/>
            <w:noWrap w:val="0"/>
            <w:vAlign w:val="center"/>
          </w:tcPr>
          <w:p w14:paraId="04987709">
            <w:pPr>
              <w:jc w:val="center"/>
              <w:rPr>
                <w:rFonts w:ascii="Times New Roman" w:hAnsi="Times New Roman"/>
                <w:b/>
                <w:bCs/>
                <w:color w:val="000000"/>
                <w:szCs w:val="21"/>
              </w:rPr>
            </w:pPr>
            <w:r>
              <w:rPr>
                <w:rFonts w:ascii="Times New Roman" w:hAnsi="Times New Roman"/>
                <w:b/>
                <w:bCs/>
                <w:color w:val="000000"/>
                <w:szCs w:val="21"/>
              </w:rPr>
              <w:t>序号</w:t>
            </w:r>
          </w:p>
        </w:tc>
        <w:tc>
          <w:tcPr>
            <w:tcW w:w="2358" w:type="pct"/>
            <w:noWrap w:val="0"/>
            <w:vAlign w:val="center"/>
          </w:tcPr>
          <w:p w14:paraId="3E3554C8">
            <w:pPr>
              <w:jc w:val="center"/>
              <w:rPr>
                <w:rFonts w:ascii="Times New Roman" w:hAnsi="Times New Roman"/>
                <w:b/>
                <w:bCs/>
                <w:color w:val="000000"/>
                <w:szCs w:val="21"/>
              </w:rPr>
            </w:pPr>
            <w:r>
              <w:rPr>
                <w:rFonts w:ascii="Times New Roman" w:hAnsi="Times New Roman"/>
                <w:b/>
                <w:bCs/>
                <w:color w:val="000000"/>
                <w:szCs w:val="21"/>
              </w:rPr>
              <w:t>股东姓名/名称</w:t>
            </w:r>
          </w:p>
        </w:tc>
        <w:tc>
          <w:tcPr>
            <w:tcW w:w="1000" w:type="pct"/>
            <w:noWrap w:val="0"/>
            <w:vAlign w:val="center"/>
          </w:tcPr>
          <w:p w14:paraId="591063E0">
            <w:pPr>
              <w:jc w:val="center"/>
              <w:rPr>
                <w:rFonts w:ascii="Times New Roman" w:hAnsi="Times New Roman"/>
                <w:b/>
                <w:bCs/>
                <w:color w:val="000000"/>
                <w:szCs w:val="21"/>
              </w:rPr>
            </w:pPr>
            <w:r>
              <w:rPr>
                <w:rFonts w:ascii="Times New Roman" w:hAnsi="Times New Roman"/>
                <w:b/>
                <w:bCs/>
                <w:color w:val="000000"/>
                <w:szCs w:val="21"/>
              </w:rPr>
              <w:t>持股数量（股）</w:t>
            </w:r>
          </w:p>
        </w:tc>
        <w:tc>
          <w:tcPr>
            <w:tcW w:w="1021" w:type="pct"/>
            <w:noWrap w:val="0"/>
            <w:vAlign w:val="center"/>
          </w:tcPr>
          <w:p w14:paraId="4CEBD4FA">
            <w:pPr>
              <w:jc w:val="center"/>
              <w:rPr>
                <w:rFonts w:ascii="Times New Roman" w:hAnsi="Times New Roman"/>
                <w:b/>
                <w:bCs/>
                <w:color w:val="000000"/>
                <w:szCs w:val="21"/>
              </w:rPr>
            </w:pPr>
            <w:r>
              <w:rPr>
                <w:rFonts w:ascii="Times New Roman" w:hAnsi="Times New Roman"/>
                <w:b/>
                <w:bCs/>
                <w:color w:val="000000"/>
                <w:szCs w:val="21"/>
              </w:rPr>
              <w:t>持股比例（%）</w:t>
            </w:r>
          </w:p>
        </w:tc>
      </w:tr>
      <w:tr w14:paraId="7E45FC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4D58A92D">
            <w:pPr>
              <w:jc w:val="center"/>
              <w:rPr>
                <w:rFonts w:ascii="Times New Roman" w:hAnsi="Times New Roman"/>
                <w:color w:val="000000"/>
                <w:szCs w:val="21"/>
              </w:rPr>
            </w:pPr>
            <w:r>
              <w:rPr>
                <w:rFonts w:ascii="Times New Roman" w:hAnsi="Times New Roman"/>
                <w:color w:val="000000"/>
                <w:szCs w:val="21"/>
              </w:rPr>
              <w:t>1</w:t>
            </w:r>
          </w:p>
        </w:tc>
        <w:tc>
          <w:tcPr>
            <w:tcW w:w="2358" w:type="pct"/>
            <w:noWrap w:val="0"/>
            <w:vAlign w:val="center"/>
          </w:tcPr>
          <w:p w14:paraId="4789E826">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林明玲</w:t>
            </w:r>
          </w:p>
        </w:tc>
        <w:tc>
          <w:tcPr>
            <w:tcW w:w="1000" w:type="pct"/>
            <w:noWrap w:val="0"/>
            <w:vAlign w:val="center"/>
          </w:tcPr>
          <w:p w14:paraId="3069835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19,199,824</w:t>
            </w:r>
          </w:p>
        </w:tc>
        <w:tc>
          <w:tcPr>
            <w:tcW w:w="1021" w:type="pct"/>
            <w:noWrap w:val="0"/>
            <w:vAlign w:val="center"/>
          </w:tcPr>
          <w:p w14:paraId="307ECF22">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28.72</w:t>
            </w:r>
          </w:p>
        </w:tc>
      </w:tr>
      <w:tr w14:paraId="0C56C9B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614F4199">
            <w:pPr>
              <w:jc w:val="center"/>
              <w:rPr>
                <w:rFonts w:ascii="Times New Roman" w:hAnsi="Times New Roman"/>
                <w:color w:val="000000"/>
                <w:szCs w:val="21"/>
              </w:rPr>
            </w:pPr>
            <w:r>
              <w:rPr>
                <w:rFonts w:ascii="Times New Roman" w:hAnsi="Times New Roman"/>
                <w:color w:val="000000"/>
                <w:szCs w:val="21"/>
              </w:rPr>
              <w:t>2</w:t>
            </w:r>
          </w:p>
        </w:tc>
        <w:tc>
          <w:tcPr>
            <w:tcW w:w="2358" w:type="pct"/>
            <w:noWrap w:val="0"/>
            <w:vAlign w:val="center"/>
          </w:tcPr>
          <w:p w14:paraId="2B9C488F">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马学沛</w:t>
            </w:r>
          </w:p>
        </w:tc>
        <w:tc>
          <w:tcPr>
            <w:tcW w:w="1000" w:type="pct"/>
            <w:noWrap w:val="0"/>
            <w:vAlign w:val="center"/>
          </w:tcPr>
          <w:p w14:paraId="32E68EC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4,054,120</w:t>
            </w:r>
          </w:p>
        </w:tc>
        <w:tc>
          <w:tcPr>
            <w:tcW w:w="1021" w:type="pct"/>
            <w:noWrap w:val="0"/>
            <w:vAlign w:val="center"/>
          </w:tcPr>
          <w:p w14:paraId="2F68E914">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6.06</w:t>
            </w:r>
          </w:p>
        </w:tc>
      </w:tr>
      <w:tr w14:paraId="272152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03B02898">
            <w:pPr>
              <w:jc w:val="center"/>
              <w:rPr>
                <w:rFonts w:ascii="Times New Roman" w:hAnsi="Times New Roman"/>
                <w:color w:val="000000"/>
                <w:szCs w:val="21"/>
              </w:rPr>
            </w:pPr>
            <w:r>
              <w:rPr>
                <w:rFonts w:ascii="Times New Roman" w:hAnsi="Times New Roman"/>
                <w:color w:val="000000"/>
                <w:szCs w:val="21"/>
              </w:rPr>
              <w:t>3</w:t>
            </w:r>
          </w:p>
        </w:tc>
        <w:tc>
          <w:tcPr>
            <w:tcW w:w="2358" w:type="pct"/>
            <w:noWrap w:val="0"/>
            <w:vAlign w:val="center"/>
          </w:tcPr>
          <w:p w14:paraId="2D8879D6">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南京优志投资管理合伙企业（有限合伙）</w:t>
            </w:r>
          </w:p>
        </w:tc>
        <w:tc>
          <w:tcPr>
            <w:tcW w:w="1000" w:type="pct"/>
            <w:noWrap w:val="0"/>
            <w:vAlign w:val="center"/>
          </w:tcPr>
          <w:p w14:paraId="59D81C0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2,017,000</w:t>
            </w:r>
          </w:p>
        </w:tc>
        <w:tc>
          <w:tcPr>
            <w:tcW w:w="1021" w:type="pct"/>
            <w:noWrap w:val="0"/>
            <w:vAlign w:val="center"/>
          </w:tcPr>
          <w:p w14:paraId="6FAC3650">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3.02</w:t>
            </w:r>
          </w:p>
        </w:tc>
      </w:tr>
      <w:tr w14:paraId="6B05C4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444629CB">
            <w:pPr>
              <w:jc w:val="center"/>
              <w:rPr>
                <w:rFonts w:ascii="Times New Roman" w:hAnsi="Times New Roman"/>
                <w:color w:val="000000"/>
                <w:szCs w:val="21"/>
              </w:rPr>
            </w:pPr>
            <w:r>
              <w:rPr>
                <w:rFonts w:ascii="Times New Roman" w:hAnsi="Times New Roman"/>
                <w:color w:val="000000"/>
                <w:szCs w:val="21"/>
              </w:rPr>
              <w:t>4</w:t>
            </w:r>
          </w:p>
        </w:tc>
        <w:tc>
          <w:tcPr>
            <w:tcW w:w="2358" w:type="pct"/>
            <w:noWrap w:val="0"/>
            <w:vAlign w:val="center"/>
          </w:tcPr>
          <w:p w14:paraId="1D13772B">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陈前平</w:t>
            </w:r>
          </w:p>
        </w:tc>
        <w:tc>
          <w:tcPr>
            <w:tcW w:w="1000" w:type="pct"/>
            <w:noWrap w:val="0"/>
            <w:vAlign w:val="center"/>
          </w:tcPr>
          <w:p w14:paraId="40827883">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800,000</w:t>
            </w:r>
          </w:p>
        </w:tc>
        <w:tc>
          <w:tcPr>
            <w:tcW w:w="1021" w:type="pct"/>
            <w:noWrap w:val="0"/>
            <w:vAlign w:val="center"/>
          </w:tcPr>
          <w:p w14:paraId="4AD73B83">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1.20</w:t>
            </w:r>
          </w:p>
        </w:tc>
      </w:tr>
      <w:tr w14:paraId="165811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3A8EE46D">
            <w:pPr>
              <w:jc w:val="center"/>
              <w:rPr>
                <w:rFonts w:ascii="Times New Roman" w:hAnsi="Times New Roman"/>
                <w:color w:val="000000"/>
                <w:szCs w:val="21"/>
              </w:rPr>
            </w:pPr>
            <w:r>
              <w:rPr>
                <w:rFonts w:ascii="Times New Roman" w:hAnsi="Times New Roman"/>
                <w:color w:val="000000"/>
                <w:szCs w:val="21"/>
              </w:rPr>
              <w:t>5</w:t>
            </w:r>
          </w:p>
        </w:tc>
        <w:tc>
          <w:tcPr>
            <w:tcW w:w="2358" w:type="pct"/>
            <w:noWrap w:val="0"/>
            <w:vAlign w:val="center"/>
          </w:tcPr>
          <w:p w14:paraId="3DBF1A1F">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王松</w:t>
            </w:r>
          </w:p>
        </w:tc>
        <w:tc>
          <w:tcPr>
            <w:tcW w:w="1000" w:type="pct"/>
            <w:noWrap w:val="0"/>
            <w:vAlign w:val="center"/>
          </w:tcPr>
          <w:p w14:paraId="55EBDDB4">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627,621</w:t>
            </w:r>
          </w:p>
        </w:tc>
        <w:tc>
          <w:tcPr>
            <w:tcW w:w="1021" w:type="pct"/>
            <w:noWrap w:val="0"/>
            <w:vAlign w:val="center"/>
          </w:tcPr>
          <w:p w14:paraId="7487E7A3">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0.94</w:t>
            </w:r>
          </w:p>
        </w:tc>
      </w:tr>
      <w:tr w14:paraId="4929A5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5F6DDAC4">
            <w:pPr>
              <w:jc w:val="center"/>
              <w:rPr>
                <w:rFonts w:ascii="Times New Roman" w:hAnsi="Times New Roman"/>
                <w:color w:val="000000"/>
                <w:szCs w:val="21"/>
              </w:rPr>
            </w:pPr>
            <w:r>
              <w:rPr>
                <w:rFonts w:ascii="Times New Roman" w:hAnsi="Times New Roman"/>
                <w:color w:val="000000"/>
                <w:szCs w:val="21"/>
              </w:rPr>
              <w:t>6</w:t>
            </w:r>
          </w:p>
        </w:tc>
        <w:tc>
          <w:tcPr>
            <w:tcW w:w="2358" w:type="pct"/>
            <w:noWrap w:val="0"/>
            <w:vAlign w:val="center"/>
          </w:tcPr>
          <w:p w14:paraId="57FD230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广东天亿马信息产业股份有限公司－2023年员工持股计划</w:t>
            </w:r>
          </w:p>
        </w:tc>
        <w:tc>
          <w:tcPr>
            <w:tcW w:w="1000" w:type="pct"/>
            <w:noWrap w:val="0"/>
            <w:vAlign w:val="center"/>
          </w:tcPr>
          <w:p w14:paraId="54B662CD">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472,400</w:t>
            </w:r>
          </w:p>
        </w:tc>
        <w:tc>
          <w:tcPr>
            <w:tcW w:w="1021" w:type="pct"/>
            <w:noWrap w:val="0"/>
            <w:vAlign w:val="center"/>
          </w:tcPr>
          <w:p w14:paraId="36A0144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0.71</w:t>
            </w:r>
          </w:p>
        </w:tc>
      </w:tr>
      <w:tr w14:paraId="51D4C66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699C7FA7">
            <w:pPr>
              <w:jc w:val="center"/>
              <w:rPr>
                <w:rFonts w:ascii="Times New Roman" w:hAnsi="Times New Roman"/>
                <w:color w:val="000000"/>
                <w:szCs w:val="21"/>
              </w:rPr>
            </w:pPr>
            <w:r>
              <w:rPr>
                <w:rFonts w:ascii="Times New Roman" w:hAnsi="Times New Roman"/>
                <w:color w:val="000000"/>
                <w:szCs w:val="21"/>
              </w:rPr>
              <w:t>7</w:t>
            </w:r>
          </w:p>
        </w:tc>
        <w:tc>
          <w:tcPr>
            <w:tcW w:w="2358" w:type="pct"/>
            <w:noWrap w:val="0"/>
            <w:vAlign w:val="center"/>
          </w:tcPr>
          <w:p w14:paraId="4A578156">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徐静娴</w:t>
            </w:r>
          </w:p>
        </w:tc>
        <w:tc>
          <w:tcPr>
            <w:tcW w:w="1000" w:type="pct"/>
            <w:noWrap w:val="0"/>
            <w:vAlign w:val="center"/>
          </w:tcPr>
          <w:p w14:paraId="2BAD1499">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457,500</w:t>
            </w:r>
          </w:p>
        </w:tc>
        <w:tc>
          <w:tcPr>
            <w:tcW w:w="1021" w:type="pct"/>
            <w:noWrap w:val="0"/>
            <w:vAlign w:val="center"/>
          </w:tcPr>
          <w:p w14:paraId="40F853A4">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0.68</w:t>
            </w:r>
          </w:p>
        </w:tc>
      </w:tr>
      <w:tr w14:paraId="1D4593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54397482">
            <w:pPr>
              <w:jc w:val="center"/>
              <w:rPr>
                <w:rFonts w:ascii="Times New Roman" w:hAnsi="Times New Roman"/>
                <w:color w:val="000000"/>
                <w:szCs w:val="21"/>
              </w:rPr>
            </w:pPr>
            <w:r>
              <w:rPr>
                <w:rFonts w:ascii="Times New Roman" w:hAnsi="Times New Roman"/>
                <w:color w:val="000000"/>
                <w:szCs w:val="21"/>
              </w:rPr>
              <w:t>8</w:t>
            </w:r>
          </w:p>
        </w:tc>
        <w:tc>
          <w:tcPr>
            <w:tcW w:w="2358" w:type="pct"/>
            <w:noWrap w:val="0"/>
            <w:vAlign w:val="center"/>
          </w:tcPr>
          <w:p w14:paraId="6B4FD596">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谢亮</w:t>
            </w:r>
          </w:p>
        </w:tc>
        <w:tc>
          <w:tcPr>
            <w:tcW w:w="1000" w:type="pct"/>
            <w:noWrap w:val="0"/>
            <w:vAlign w:val="center"/>
          </w:tcPr>
          <w:p w14:paraId="757102CA">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383,000</w:t>
            </w:r>
          </w:p>
        </w:tc>
        <w:tc>
          <w:tcPr>
            <w:tcW w:w="1021" w:type="pct"/>
            <w:noWrap w:val="0"/>
            <w:vAlign w:val="center"/>
          </w:tcPr>
          <w:p w14:paraId="06A50254">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0.57</w:t>
            </w:r>
          </w:p>
        </w:tc>
      </w:tr>
      <w:tr w14:paraId="5735F6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4128BD6B">
            <w:pPr>
              <w:jc w:val="center"/>
              <w:rPr>
                <w:rFonts w:ascii="Times New Roman" w:hAnsi="Times New Roman"/>
                <w:color w:val="000000"/>
                <w:szCs w:val="21"/>
              </w:rPr>
            </w:pPr>
            <w:r>
              <w:rPr>
                <w:rFonts w:ascii="Times New Roman" w:hAnsi="Times New Roman"/>
                <w:color w:val="000000"/>
                <w:szCs w:val="21"/>
              </w:rPr>
              <w:t>9</w:t>
            </w:r>
          </w:p>
        </w:tc>
        <w:tc>
          <w:tcPr>
            <w:tcW w:w="2358" w:type="pct"/>
            <w:noWrap w:val="0"/>
            <w:vAlign w:val="center"/>
          </w:tcPr>
          <w:p w14:paraId="1E1854B7">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戈长弓</w:t>
            </w:r>
          </w:p>
        </w:tc>
        <w:tc>
          <w:tcPr>
            <w:tcW w:w="1000" w:type="pct"/>
            <w:noWrap w:val="0"/>
            <w:vAlign w:val="center"/>
          </w:tcPr>
          <w:p w14:paraId="2244378F">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373,000</w:t>
            </w:r>
          </w:p>
        </w:tc>
        <w:tc>
          <w:tcPr>
            <w:tcW w:w="1021" w:type="pct"/>
            <w:noWrap w:val="0"/>
            <w:vAlign w:val="center"/>
          </w:tcPr>
          <w:p w14:paraId="097A6D43">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0.56</w:t>
            </w:r>
          </w:p>
        </w:tc>
      </w:tr>
      <w:tr w14:paraId="1FA52D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619" w:type="pct"/>
            <w:noWrap w:val="0"/>
            <w:vAlign w:val="center"/>
          </w:tcPr>
          <w:p w14:paraId="261781D6">
            <w:pPr>
              <w:jc w:val="center"/>
              <w:rPr>
                <w:rFonts w:ascii="Times New Roman" w:hAnsi="Times New Roman"/>
                <w:color w:val="000000"/>
                <w:szCs w:val="21"/>
              </w:rPr>
            </w:pPr>
            <w:r>
              <w:rPr>
                <w:rFonts w:ascii="Times New Roman" w:hAnsi="Times New Roman"/>
                <w:color w:val="000000"/>
                <w:szCs w:val="21"/>
              </w:rPr>
              <w:t>10</w:t>
            </w:r>
          </w:p>
        </w:tc>
        <w:tc>
          <w:tcPr>
            <w:tcW w:w="2358" w:type="pct"/>
            <w:noWrap w:val="0"/>
            <w:vAlign w:val="center"/>
          </w:tcPr>
          <w:p w14:paraId="00B2A879">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薛皓月</w:t>
            </w:r>
          </w:p>
        </w:tc>
        <w:tc>
          <w:tcPr>
            <w:tcW w:w="1000" w:type="pct"/>
            <w:noWrap w:val="0"/>
            <w:vAlign w:val="center"/>
          </w:tcPr>
          <w:p w14:paraId="7EE53976">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334,400</w:t>
            </w:r>
          </w:p>
        </w:tc>
        <w:tc>
          <w:tcPr>
            <w:tcW w:w="1021" w:type="pct"/>
            <w:noWrap w:val="0"/>
            <w:vAlign w:val="center"/>
          </w:tcPr>
          <w:p w14:paraId="0E86A81E">
            <w:pPr>
              <w:widowControl/>
              <w:autoSpaceDE w:val="0"/>
              <w:autoSpaceDN w:val="0"/>
              <w:adjustRightInd w:val="0"/>
              <w:snapToGrid w:val="0"/>
              <w:jc w:val="center"/>
              <w:textAlignment w:val="center"/>
              <w:rPr>
                <w:rFonts w:ascii="Times New Roman" w:hAnsi="Times New Roman"/>
                <w:kern w:val="0"/>
                <w:szCs w:val="21"/>
                <w:lang w:bidi="ar"/>
              </w:rPr>
            </w:pPr>
            <w:r>
              <w:rPr>
                <w:rFonts w:hint="eastAsia" w:ascii="Times New Roman" w:hAnsi="Times New Roman"/>
                <w:kern w:val="0"/>
                <w:szCs w:val="21"/>
                <w:lang w:bidi="ar"/>
              </w:rPr>
              <w:t>0.50</w:t>
            </w:r>
          </w:p>
        </w:tc>
      </w:tr>
      <w:tr w14:paraId="19CE7C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4964" w:type="dxa"/>
            <w:gridSpan w:val="2"/>
            <w:noWrap w:val="0"/>
            <w:vAlign w:val="center"/>
          </w:tcPr>
          <w:p w14:paraId="45DCC27B">
            <w:pPr>
              <w:widowControl/>
              <w:autoSpaceDE w:val="0"/>
              <w:autoSpaceDN w:val="0"/>
              <w:adjustRightInd w:val="0"/>
              <w:snapToGrid w:val="0"/>
              <w:jc w:val="center"/>
              <w:textAlignment w:val="center"/>
              <w:rPr>
                <w:rFonts w:hint="eastAsia" w:ascii="Times New Roman" w:hAnsi="Times New Roman"/>
                <w:kern w:val="0"/>
                <w:szCs w:val="21"/>
                <w:lang w:bidi="ar"/>
              </w:rPr>
            </w:pPr>
            <w:r>
              <w:rPr>
                <w:rFonts w:ascii="Times New Roman" w:hAnsi="Times New Roman"/>
                <w:kern w:val="0"/>
                <w:szCs w:val="21"/>
                <w:lang w:bidi="ar"/>
              </w:rPr>
              <w:t>合计</w:t>
            </w:r>
          </w:p>
        </w:tc>
        <w:tc>
          <w:tcPr>
            <w:tcW w:w="1667" w:type="dxa"/>
            <w:noWrap w:val="0"/>
            <w:vAlign w:val="center"/>
          </w:tcPr>
          <w:p w14:paraId="5E333D64">
            <w:pPr>
              <w:widowControl/>
              <w:autoSpaceDE w:val="0"/>
              <w:autoSpaceDN w:val="0"/>
              <w:adjustRightInd w:val="0"/>
              <w:snapToGrid w:val="0"/>
              <w:jc w:val="center"/>
              <w:textAlignment w:val="center"/>
              <w:rPr>
                <w:rFonts w:hint="eastAsia" w:ascii="Times New Roman" w:hAnsi="Times New Roman"/>
                <w:kern w:val="0"/>
                <w:szCs w:val="21"/>
                <w:lang w:bidi="ar"/>
              </w:rPr>
            </w:pPr>
            <w:r>
              <w:rPr>
                <w:rFonts w:ascii="Times New Roman" w:hAnsi="Times New Roman"/>
                <w:kern w:val="0"/>
                <w:szCs w:val="21"/>
                <w:lang w:bidi="ar"/>
              </w:rPr>
              <w:t>28,718,865.00</w:t>
            </w:r>
          </w:p>
        </w:tc>
        <w:tc>
          <w:tcPr>
            <w:tcW w:w="1702" w:type="dxa"/>
            <w:noWrap w:val="0"/>
            <w:vAlign w:val="center"/>
          </w:tcPr>
          <w:p w14:paraId="5678910A">
            <w:pPr>
              <w:widowControl/>
              <w:autoSpaceDE w:val="0"/>
              <w:autoSpaceDN w:val="0"/>
              <w:adjustRightInd w:val="0"/>
              <w:snapToGrid w:val="0"/>
              <w:jc w:val="center"/>
              <w:textAlignment w:val="center"/>
              <w:rPr>
                <w:rFonts w:hint="eastAsia" w:ascii="Times New Roman" w:hAnsi="Times New Roman"/>
                <w:kern w:val="0"/>
                <w:szCs w:val="21"/>
                <w:lang w:bidi="ar"/>
              </w:rPr>
            </w:pPr>
            <w:r>
              <w:rPr>
                <w:rFonts w:hint="eastAsia" w:ascii="Times New Roman" w:hAnsi="Times New Roman"/>
                <w:kern w:val="0"/>
                <w:szCs w:val="21"/>
                <w:lang w:bidi="ar"/>
              </w:rPr>
              <w:t>42.96%</w:t>
            </w:r>
          </w:p>
        </w:tc>
      </w:tr>
    </w:tbl>
    <w:p w14:paraId="1C050479">
      <w:pPr>
        <w:adjustRightInd w:val="0"/>
        <w:snapToGrid w:val="0"/>
        <w:ind w:firstLine="420" w:firstLineChars="200"/>
        <w:rPr>
          <w:rFonts w:hint="eastAsia" w:ascii="Times New Roman" w:hAnsi="Times New Roman"/>
          <w:b/>
          <w:bCs/>
          <w:sz w:val="24"/>
        </w:rPr>
      </w:pPr>
      <w:r>
        <w:rPr>
          <w:rFonts w:ascii="Times New Roman" w:hAnsi="Times New Roman"/>
          <w:kern w:val="0"/>
          <w:szCs w:val="21"/>
        </w:rPr>
        <w:t>注：</w:t>
      </w:r>
      <w:r>
        <w:rPr>
          <w:rFonts w:ascii="Times New Roman" w:hAnsi="Times New Roman"/>
          <w:szCs w:val="21"/>
        </w:rPr>
        <w:t>天亿马回购专用证券账户持有公司股份数当1,224,140股，根据相关规定，公司回购专户不纳入前10名股东列示</w:t>
      </w:r>
      <w:r>
        <w:rPr>
          <w:rFonts w:hint="eastAsia" w:ascii="Times New Roman" w:hAnsi="Times New Roman"/>
          <w:szCs w:val="21"/>
        </w:rPr>
        <w:t>。</w:t>
      </w:r>
    </w:p>
    <w:p w14:paraId="620DF986">
      <w:pPr>
        <w:pStyle w:val="39"/>
        <w:adjustRightInd w:val="0"/>
        <w:snapToGrid w:val="0"/>
        <w:spacing w:before="156" w:beforeLines="50" w:after="156" w:afterLines="50"/>
        <w:ind w:firstLine="482"/>
        <w:outlineLvl w:val="2"/>
        <w:rPr>
          <w:b/>
          <w:bCs/>
          <w:szCs w:val="24"/>
        </w:rPr>
      </w:pPr>
      <w:r>
        <w:rPr>
          <w:b/>
          <w:bCs/>
          <w:szCs w:val="24"/>
        </w:rPr>
        <w:t>3、</w:t>
      </w:r>
      <w:r>
        <w:rPr>
          <w:rFonts w:hint="eastAsia"/>
          <w:b/>
          <w:bCs/>
          <w:szCs w:val="24"/>
        </w:rPr>
        <w:t>天亿马</w:t>
      </w:r>
      <w:r>
        <w:rPr>
          <w:b/>
          <w:bCs/>
          <w:szCs w:val="24"/>
        </w:rPr>
        <w:t>的主要历史沿革</w:t>
      </w:r>
    </w:p>
    <w:p w14:paraId="517D3350">
      <w:pPr>
        <w:pStyle w:val="39"/>
        <w:adjustRightInd w:val="0"/>
        <w:snapToGrid w:val="0"/>
        <w:spacing w:before="156" w:beforeLines="50" w:after="156" w:afterLines="50"/>
        <w:ind w:firstLine="468"/>
        <w:rPr>
          <w:color w:val="000000"/>
          <w:kern w:val="0"/>
          <w:szCs w:val="24"/>
        </w:rPr>
      </w:pPr>
      <w:r>
        <w:rPr>
          <w:spacing w:val="-3"/>
          <w:szCs w:val="24"/>
        </w:rPr>
        <w:t>本所律师已在《法律意见书》</w:t>
      </w:r>
      <w:r>
        <w:rPr>
          <w:spacing w:val="-4"/>
          <w:szCs w:val="24"/>
        </w:rPr>
        <w:t>中披露了</w:t>
      </w:r>
      <w:r>
        <w:rPr>
          <w:rFonts w:hint="eastAsia"/>
          <w:spacing w:val="-4"/>
          <w:szCs w:val="24"/>
        </w:rPr>
        <w:t>天亿马</w:t>
      </w:r>
      <w:r>
        <w:rPr>
          <w:spacing w:val="-4"/>
          <w:szCs w:val="24"/>
        </w:rPr>
        <w:t>的主要历史沿革情况</w:t>
      </w:r>
      <w:r>
        <w:rPr>
          <w:spacing w:val="2"/>
          <w:szCs w:val="24"/>
        </w:rPr>
        <w:t>。经核查，</w:t>
      </w:r>
      <w:r>
        <w:rPr>
          <w:rFonts w:hint="eastAsia"/>
          <w:spacing w:val="2"/>
          <w:szCs w:val="24"/>
        </w:rPr>
        <w:t>截至本补充法律意见书出具日，天亿马</w:t>
      </w:r>
      <w:r>
        <w:rPr>
          <w:spacing w:val="-4"/>
          <w:szCs w:val="24"/>
        </w:rPr>
        <w:t>的主要历史沿革情况未发生变化</w:t>
      </w:r>
      <w:r>
        <w:rPr>
          <w:color w:val="000000"/>
          <w:kern w:val="0"/>
          <w:szCs w:val="24"/>
        </w:rPr>
        <w:t>。</w:t>
      </w:r>
    </w:p>
    <w:p w14:paraId="464E9B66">
      <w:pPr>
        <w:pStyle w:val="39"/>
        <w:adjustRightInd w:val="0"/>
        <w:snapToGrid w:val="0"/>
        <w:spacing w:before="156" w:beforeLines="50" w:after="156" w:afterLines="50"/>
        <w:ind w:firstLine="482"/>
        <w:outlineLvl w:val="2"/>
        <w:rPr>
          <w:rFonts w:hint="eastAsia"/>
          <w:b/>
          <w:bCs/>
          <w:szCs w:val="24"/>
        </w:rPr>
      </w:pPr>
      <w:r>
        <w:rPr>
          <w:rFonts w:hint="eastAsia"/>
          <w:b/>
          <w:bCs/>
          <w:szCs w:val="24"/>
        </w:rPr>
        <w:t>4、持续经营</w:t>
      </w:r>
    </w:p>
    <w:p w14:paraId="280EA42C">
      <w:pPr>
        <w:pStyle w:val="39"/>
        <w:adjustRightInd w:val="0"/>
        <w:snapToGrid w:val="0"/>
        <w:spacing w:before="156" w:beforeLines="50" w:after="156" w:afterLines="50"/>
        <w:ind w:firstLine="468"/>
        <w:rPr>
          <w:color w:val="000000"/>
          <w:kern w:val="0"/>
          <w:szCs w:val="24"/>
        </w:rPr>
      </w:pPr>
      <w:r>
        <w:rPr>
          <w:spacing w:val="-3"/>
          <w:szCs w:val="24"/>
        </w:rPr>
        <w:t>本所律师已在《法律意见书</w:t>
      </w:r>
      <w:r>
        <w:rPr>
          <w:spacing w:val="-4"/>
          <w:szCs w:val="24"/>
        </w:rPr>
        <w:t>》中披露了</w:t>
      </w:r>
      <w:r>
        <w:rPr>
          <w:rFonts w:hint="eastAsia"/>
          <w:spacing w:val="-4"/>
          <w:szCs w:val="24"/>
        </w:rPr>
        <w:t>天亿马</w:t>
      </w:r>
      <w:r>
        <w:rPr>
          <w:spacing w:val="-4"/>
          <w:szCs w:val="24"/>
        </w:rPr>
        <w:t>的</w:t>
      </w:r>
      <w:r>
        <w:rPr>
          <w:rFonts w:hint="eastAsia"/>
          <w:spacing w:val="-4"/>
          <w:szCs w:val="24"/>
        </w:rPr>
        <w:t>持续经营</w:t>
      </w:r>
      <w:r>
        <w:rPr>
          <w:spacing w:val="-4"/>
          <w:szCs w:val="24"/>
        </w:rPr>
        <w:t>情况。经核查，天亿马依法存续并持续经营，截至本</w:t>
      </w:r>
      <w:r>
        <w:rPr>
          <w:rFonts w:hint="eastAsia"/>
          <w:spacing w:val="-4"/>
          <w:szCs w:val="24"/>
        </w:rPr>
        <w:t>补充</w:t>
      </w:r>
      <w:r>
        <w:rPr>
          <w:spacing w:val="-4"/>
          <w:szCs w:val="24"/>
        </w:rPr>
        <w:t>法律意见书出具日，不存在《股票上市规则》等法律法规规定的需要退市的情形，亦不存在《公司法》等法律法规规定的需要解散、清算的情形</w:t>
      </w:r>
      <w:r>
        <w:rPr>
          <w:rFonts w:hint="eastAsia"/>
          <w:spacing w:val="-4"/>
          <w:szCs w:val="24"/>
        </w:rPr>
        <w:t>。</w:t>
      </w:r>
    </w:p>
    <w:p w14:paraId="5B4B1039">
      <w:pPr>
        <w:pStyle w:val="39"/>
        <w:adjustRightInd w:val="0"/>
        <w:snapToGrid w:val="0"/>
        <w:spacing w:before="156" w:beforeLines="50" w:after="156" w:afterLines="50"/>
        <w:ind w:firstLine="482"/>
        <w:outlineLvl w:val="1"/>
        <w:rPr>
          <w:b/>
          <w:bCs/>
          <w:color w:val="000000"/>
          <w:kern w:val="0"/>
          <w:szCs w:val="24"/>
        </w:rPr>
      </w:pPr>
      <w:r>
        <w:rPr>
          <w:b/>
          <w:bCs/>
          <w:color w:val="000000"/>
          <w:kern w:val="0"/>
          <w:szCs w:val="24"/>
        </w:rPr>
        <w:t>（二）交易对方的主体资格</w:t>
      </w:r>
    </w:p>
    <w:p w14:paraId="07B1B73B">
      <w:pPr>
        <w:pStyle w:val="39"/>
        <w:adjustRightInd w:val="0"/>
        <w:snapToGrid w:val="0"/>
        <w:spacing w:before="156" w:beforeLines="50" w:after="156" w:afterLines="50"/>
        <w:ind w:firstLine="468"/>
        <w:rPr>
          <w:rFonts w:hint="eastAsia"/>
          <w:color w:val="000000"/>
          <w:kern w:val="0"/>
          <w:szCs w:val="24"/>
        </w:rPr>
      </w:pPr>
      <w:r>
        <w:rPr>
          <w:spacing w:val="-3"/>
          <w:szCs w:val="24"/>
        </w:rPr>
        <w:t>本所律师已在《法律意见书》</w:t>
      </w:r>
      <w:r>
        <w:rPr>
          <w:spacing w:val="-4"/>
          <w:szCs w:val="24"/>
        </w:rPr>
        <w:t>中披露了交易对方的主体资格</w:t>
      </w:r>
      <w:r>
        <w:rPr>
          <w:spacing w:val="2"/>
          <w:szCs w:val="24"/>
        </w:rPr>
        <w:t>。经核查，</w:t>
      </w:r>
      <w:r>
        <w:rPr>
          <w:rFonts w:hint="eastAsia"/>
          <w:spacing w:val="2"/>
          <w:szCs w:val="24"/>
        </w:rPr>
        <w:t>截至本补充法律意见书出具日，参与本次交易的</w:t>
      </w:r>
      <w:r>
        <w:rPr>
          <w:spacing w:val="2"/>
          <w:szCs w:val="24"/>
        </w:rPr>
        <w:t>自然人交易对方</w:t>
      </w:r>
      <w:r>
        <w:rPr>
          <w:rFonts w:hint="eastAsia"/>
          <w:spacing w:val="2"/>
          <w:szCs w:val="24"/>
        </w:rPr>
        <w:t>仍</w:t>
      </w:r>
      <w:r>
        <w:rPr>
          <w:spacing w:val="2"/>
          <w:szCs w:val="24"/>
        </w:rPr>
        <w:t>具有中国国籍</w:t>
      </w:r>
      <w:r>
        <w:rPr>
          <w:rFonts w:hint="eastAsia"/>
          <w:spacing w:val="2"/>
          <w:szCs w:val="24"/>
        </w:rPr>
        <w:t>，</w:t>
      </w:r>
      <w:r>
        <w:rPr>
          <w:spacing w:val="2"/>
          <w:szCs w:val="24"/>
        </w:rPr>
        <w:t>且具有完全民事权利能力和民事行为能力</w:t>
      </w:r>
      <w:r>
        <w:rPr>
          <w:rFonts w:hint="eastAsia"/>
          <w:spacing w:val="2"/>
          <w:szCs w:val="24"/>
        </w:rPr>
        <w:t>；参与本次交易的</w:t>
      </w:r>
      <w:r>
        <w:rPr>
          <w:spacing w:val="2"/>
          <w:szCs w:val="24"/>
        </w:rPr>
        <w:t>非自然人交易对方</w:t>
      </w:r>
      <w:r>
        <w:rPr>
          <w:rFonts w:hint="eastAsia"/>
          <w:spacing w:val="2"/>
          <w:szCs w:val="24"/>
        </w:rPr>
        <w:t>仍</w:t>
      </w:r>
      <w:r>
        <w:rPr>
          <w:spacing w:val="2"/>
          <w:szCs w:val="24"/>
        </w:rPr>
        <w:t>为依法设立、有效存续的企业，不存在根据法律、行政法规及规范性文件应终止或解散的情形；上述主体仍具备参与本次交易的主体资格</w:t>
      </w:r>
      <w:r>
        <w:rPr>
          <w:rFonts w:hint="eastAsia"/>
          <w:spacing w:val="2"/>
          <w:szCs w:val="24"/>
        </w:rPr>
        <w:t>。</w:t>
      </w:r>
    </w:p>
    <w:p w14:paraId="34224694">
      <w:pPr>
        <w:pStyle w:val="39"/>
        <w:adjustRightInd w:val="0"/>
        <w:snapToGrid w:val="0"/>
        <w:spacing w:before="156" w:beforeLines="50" w:after="156" w:afterLines="50"/>
        <w:ind w:firstLine="482"/>
        <w:outlineLvl w:val="1"/>
        <w:rPr>
          <w:b/>
          <w:bCs/>
          <w:color w:val="000000"/>
          <w:kern w:val="0"/>
          <w:szCs w:val="24"/>
        </w:rPr>
      </w:pPr>
      <w:r>
        <w:rPr>
          <w:rFonts w:hint="eastAsia"/>
          <w:b/>
          <w:bCs/>
          <w:color w:val="000000"/>
          <w:kern w:val="0"/>
          <w:szCs w:val="24"/>
        </w:rPr>
        <w:t>（三）交易对方穿透计算后的股东数量</w:t>
      </w:r>
    </w:p>
    <w:p w14:paraId="1840DF37">
      <w:pPr>
        <w:pStyle w:val="39"/>
        <w:adjustRightInd w:val="0"/>
        <w:snapToGrid w:val="0"/>
        <w:spacing w:before="156" w:beforeLines="50" w:after="156" w:afterLines="50"/>
        <w:ind w:firstLine="480"/>
        <w:rPr>
          <w:rFonts w:hint="eastAsia"/>
          <w:b/>
          <w:bCs/>
          <w:color w:val="000000"/>
          <w:kern w:val="0"/>
          <w:szCs w:val="24"/>
        </w:rPr>
      </w:pPr>
      <w:r>
        <w:rPr>
          <w:color w:val="000000"/>
          <w:kern w:val="0"/>
          <w:szCs w:val="24"/>
        </w:rPr>
        <w:t>本所律师已在《法律意见书》中披露了</w:t>
      </w:r>
      <w:r>
        <w:rPr>
          <w:rFonts w:hint="eastAsia"/>
          <w:color w:val="000000"/>
          <w:kern w:val="0"/>
          <w:szCs w:val="24"/>
        </w:rPr>
        <w:t>交易对方穿透计算后的股东数量</w:t>
      </w:r>
      <w:r>
        <w:rPr>
          <w:color w:val="000000"/>
          <w:kern w:val="0"/>
          <w:szCs w:val="24"/>
        </w:rPr>
        <w:t>。经核查，</w:t>
      </w:r>
      <w:r>
        <w:rPr>
          <w:rFonts w:hint="eastAsia"/>
          <w:spacing w:val="2"/>
          <w:szCs w:val="24"/>
        </w:rPr>
        <w:t>截至本补充法律意见书出具日，</w:t>
      </w:r>
      <w:r>
        <w:rPr>
          <w:rFonts w:hint="eastAsia"/>
          <w:color w:val="000000"/>
          <w:kern w:val="0"/>
          <w:szCs w:val="24"/>
        </w:rPr>
        <w:t>交易对方穿透计算后的股东数量</w:t>
      </w:r>
      <w:r>
        <w:rPr>
          <w:color w:val="000000"/>
          <w:kern w:val="0"/>
          <w:szCs w:val="24"/>
        </w:rPr>
        <w:t>未发生变化</w:t>
      </w:r>
      <w:r>
        <w:rPr>
          <w:rFonts w:hint="eastAsia"/>
          <w:color w:val="000000"/>
          <w:kern w:val="0"/>
          <w:szCs w:val="24"/>
        </w:rPr>
        <w:t>。</w:t>
      </w:r>
    </w:p>
    <w:p w14:paraId="1EBE38AE">
      <w:pPr>
        <w:pStyle w:val="39"/>
        <w:adjustRightInd w:val="0"/>
        <w:snapToGrid w:val="0"/>
        <w:spacing w:before="156" w:beforeLines="50" w:after="156" w:afterLines="50"/>
        <w:ind w:firstLine="482"/>
        <w:outlineLvl w:val="1"/>
        <w:rPr>
          <w:b/>
          <w:bCs/>
          <w:color w:val="000000"/>
          <w:kern w:val="0"/>
          <w:szCs w:val="24"/>
        </w:rPr>
      </w:pPr>
      <w:r>
        <w:rPr>
          <w:rFonts w:hint="eastAsia"/>
          <w:b/>
          <w:bCs/>
          <w:color w:val="000000"/>
          <w:kern w:val="0"/>
          <w:szCs w:val="24"/>
        </w:rPr>
        <w:t>（四）</w:t>
      </w:r>
      <w:r>
        <w:rPr>
          <w:b/>
          <w:bCs/>
          <w:color w:val="000000"/>
          <w:kern w:val="0"/>
          <w:szCs w:val="24"/>
        </w:rPr>
        <w:t>交易对方之间的主要关联关系</w:t>
      </w:r>
    </w:p>
    <w:p w14:paraId="7A549A04">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本所律师已在《法律意见书》中披露了交易对方之间的主要关联关系。经核查，</w:t>
      </w:r>
      <w:r>
        <w:rPr>
          <w:rFonts w:hint="eastAsia"/>
          <w:spacing w:val="2"/>
          <w:szCs w:val="24"/>
        </w:rPr>
        <w:t>截至本补充法律意见书出具日，</w:t>
      </w:r>
      <w:r>
        <w:rPr>
          <w:color w:val="000000"/>
          <w:kern w:val="0"/>
          <w:szCs w:val="24"/>
        </w:rPr>
        <w:t>交易对方之间的主要关联关系未发生变化。</w:t>
      </w:r>
    </w:p>
    <w:p w14:paraId="2B9314EA">
      <w:pPr>
        <w:tabs>
          <w:tab w:val="left" w:pos="709"/>
        </w:tabs>
        <w:snapToGrid w:val="0"/>
        <w:spacing w:before="156" w:beforeLines="50" w:after="156" w:afterLines="50" w:line="360" w:lineRule="auto"/>
        <w:ind w:firstLine="482" w:firstLineChars="200"/>
        <w:rPr>
          <w:rFonts w:ascii="Times New Roman" w:hAnsi="Times New Roman"/>
          <w:sz w:val="24"/>
        </w:rPr>
      </w:pPr>
      <w:r>
        <w:rPr>
          <w:rFonts w:ascii="Times New Roman" w:hAnsi="Times New Roman"/>
          <w:b/>
          <w:bCs/>
          <w:sz w:val="24"/>
        </w:rPr>
        <w:t>综上，本所认为：</w:t>
      </w:r>
    </w:p>
    <w:p w14:paraId="273BBC9E">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1、截至本补充法律意见书出具日</w:t>
      </w:r>
      <w:r>
        <w:rPr>
          <w:rFonts w:hint="eastAsia" w:ascii="Times New Roman" w:hAnsi="Times New Roman"/>
          <w:b/>
          <w:bCs/>
          <w:sz w:val="24"/>
        </w:rPr>
        <w:t>，天亿马</w:t>
      </w:r>
      <w:r>
        <w:rPr>
          <w:rFonts w:ascii="Times New Roman" w:hAnsi="Times New Roman"/>
          <w:b/>
          <w:bCs/>
          <w:sz w:val="24"/>
        </w:rPr>
        <w:t>为依法设立并有效存续的股份有限公司，具备实施本次交易的主体资格；</w:t>
      </w:r>
    </w:p>
    <w:p w14:paraId="5B5F8C39">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2、截至本补充法律意见书出具日</w:t>
      </w:r>
      <w:r>
        <w:rPr>
          <w:rFonts w:hint="eastAsia" w:ascii="Times New Roman" w:hAnsi="Times New Roman"/>
          <w:b/>
          <w:bCs/>
          <w:sz w:val="24"/>
        </w:rPr>
        <w:t>，</w:t>
      </w:r>
      <w:r>
        <w:rPr>
          <w:rFonts w:ascii="Times New Roman" w:hAnsi="Times New Roman"/>
          <w:b/>
          <w:bCs/>
          <w:sz w:val="24"/>
        </w:rPr>
        <w:t>非自然人交易对方为依法设立、有效存续的企业，不存在根据法律、行政法规及规范性文件应终止或解散的情形；自然人交易对方</w:t>
      </w:r>
      <w:r>
        <w:rPr>
          <w:rFonts w:hint="eastAsia" w:ascii="Times New Roman" w:hAnsi="Times New Roman"/>
          <w:b/>
          <w:bCs/>
          <w:sz w:val="24"/>
        </w:rPr>
        <w:t>为</w:t>
      </w:r>
      <w:r>
        <w:rPr>
          <w:rFonts w:ascii="Times New Roman" w:hAnsi="Times New Roman"/>
          <w:b/>
          <w:bCs/>
          <w:sz w:val="24"/>
        </w:rPr>
        <w:t>具有中国国籍且具有完全民事权利能力和民事行为能力的自然人。上述主体仍具备参与本次交易的主体资格。</w:t>
      </w:r>
    </w:p>
    <w:p w14:paraId="3E03CB43">
      <w:pPr>
        <w:tabs>
          <w:tab w:val="left" w:pos="709"/>
        </w:tabs>
        <w:snapToGrid w:val="0"/>
        <w:spacing w:before="156" w:beforeLines="50" w:after="156" w:afterLines="50" w:line="360" w:lineRule="auto"/>
        <w:ind w:firstLine="482" w:firstLineChars="200"/>
        <w:rPr>
          <w:rFonts w:ascii="Times New Roman" w:hAnsi="Times New Roman"/>
          <w:b/>
          <w:bCs/>
          <w:sz w:val="24"/>
        </w:rPr>
      </w:pPr>
    </w:p>
    <w:p w14:paraId="663D0378">
      <w:pPr>
        <w:pStyle w:val="39"/>
        <w:adjustRightInd w:val="0"/>
        <w:snapToGrid w:val="0"/>
        <w:spacing w:before="156" w:beforeLines="50" w:after="156" w:afterLines="50"/>
        <w:ind w:firstLine="482"/>
        <w:outlineLvl w:val="0"/>
        <w:rPr>
          <w:color w:val="000000"/>
          <w:kern w:val="0"/>
          <w:szCs w:val="24"/>
        </w:rPr>
      </w:pPr>
      <w:bookmarkStart w:id="28" w:name="_Toc11652"/>
      <w:r>
        <w:rPr>
          <w:b/>
          <w:bCs/>
          <w:color w:val="000000"/>
          <w:kern w:val="0"/>
          <w:szCs w:val="24"/>
        </w:rPr>
        <w:t>三、本次交易的批准和授权</w:t>
      </w:r>
      <w:bookmarkEnd w:id="28"/>
    </w:p>
    <w:p w14:paraId="6D7BFBF6">
      <w:pPr>
        <w:pStyle w:val="39"/>
        <w:adjustRightInd w:val="0"/>
        <w:snapToGrid w:val="0"/>
        <w:spacing w:before="156" w:beforeLines="50" w:after="156" w:afterLines="50"/>
        <w:ind w:firstLine="482"/>
        <w:outlineLvl w:val="1"/>
        <w:rPr>
          <w:b/>
          <w:bCs/>
          <w:color w:val="000000"/>
          <w:kern w:val="0"/>
          <w:szCs w:val="24"/>
        </w:rPr>
      </w:pPr>
      <w:bookmarkStart w:id="29" w:name="_Toc10458413"/>
      <w:bookmarkStart w:id="30" w:name="_Toc1493852452"/>
      <w:r>
        <w:rPr>
          <w:b/>
          <w:szCs w:val="24"/>
        </w:rPr>
        <w:t>（一）本次交易已经取得的授权和批准</w:t>
      </w:r>
      <w:bookmarkEnd w:id="29"/>
      <w:bookmarkEnd w:id="30"/>
    </w:p>
    <w:p w14:paraId="2AC2A748">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w:t>
      </w:r>
      <w:r>
        <w:rPr>
          <w:rFonts w:hint="eastAsia"/>
          <w:color w:val="000000"/>
          <w:kern w:val="0"/>
          <w:szCs w:val="24"/>
        </w:rPr>
        <w:t>本次交易已取得</w:t>
      </w:r>
      <w:r>
        <w:rPr>
          <w:color w:val="000000"/>
          <w:kern w:val="0"/>
          <w:szCs w:val="24"/>
        </w:rPr>
        <w:t>的授权和批准。经核查，自《法律意见书》出具日至本补充法律意见书出具日</w:t>
      </w:r>
      <w:r>
        <w:rPr>
          <w:rFonts w:hint="eastAsia"/>
          <w:color w:val="000000"/>
          <w:kern w:val="0"/>
          <w:szCs w:val="24"/>
        </w:rPr>
        <w:t>，本次交易已取得</w:t>
      </w:r>
      <w:r>
        <w:rPr>
          <w:color w:val="000000"/>
          <w:kern w:val="0"/>
          <w:szCs w:val="24"/>
        </w:rPr>
        <w:t>的授权和批准</w:t>
      </w:r>
      <w:r>
        <w:rPr>
          <w:rFonts w:hint="eastAsia"/>
          <w:color w:val="000000"/>
          <w:kern w:val="0"/>
          <w:szCs w:val="24"/>
        </w:rPr>
        <w:t>未发生变化，相关批准和授权仍</w:t>
      </w:r>
      <w:r>
        <w:rPr>
          <w:color w:val="000000"/>
          <w:kern w:val="0"/>
          <w:szCs w:val="24"/>
        </w:rPr>
        <w:t>合法有效</w:t>
      </w:r>
      <w:r>
        <w:rPr>
          <w:rFonts w:hint="eastAsia"/>
          <w:color w:val="000000"/>
          <w:kern w:val="0"/>
          <w:szCs w:val="24"/>
        </w:rPr>
        <w:t>。</w:t>
      </w:r>
    </w:p>
    <w:p w14:paraId="6D86DD90">
      <w:pPr>
        <w:pStyle w:val="39"/>
        <w:adjustRightInd w:val="0"/>
        <w:snapToGrid w:val="0"/>
        <w:spacing w:before="156" w:beforeLines="50" w:after="156" w:afterLines="50"/>
        <w:ind w:firstLine="482"/>
        <w:outlineLvl w:val="1"/>
        <w:rPr>
          <w:b/>
          <w:szCs w:val="24"/>
        </w:rPr>
      </w:pPr>
      <w:bookmarkStart w:id="31" w:name="_Toc946843687"/>
      <w:bookmarkStart w:id="32" w:name="_Toc1828371884"/>
      <w:r>
        <w:rPr>
          <w:b/>
          <w:szCs w:val="24"/>
        </w:rPr>
        <w:t>（二）本次交易尚需取得的授权和批准</w:t>
      </w:r>
      <w:bookmarkEnd w:id="31"/>
      <w:bookmarkEnd w:id="32"/>
    </w:p>
    <w:p w14:paraId="0A48C306">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本所律师已在《法律意见书》中披露了本次交易尚需取得的授权和批准。</w:t>
      </w:r>
      <w:r>
        <w:rPr>
          <w:szCs w:val="24"/>
        </w:rPr>
        <w:t>经核查，截至本补充法律意见书出具日，本次交易尚需取得深交所审核通过并经证监会同意注册。</w:t>
      </w:r>
    </w:p>
    <w:p w14:paraId="6127865C">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综上，本所认为：</w:t>
      </w:r>
    </w:p>
    <w:p w14:paraId="7E80B9B8">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1、</w:t>
      </w:r>
      <w:r>
        <w:rPr>
          <w:rFonts w:hint="eastAsia" w:ascii="Times New Roman" w:hAnsi="Times New Roman"/>
          <w:b/>
          <w:bCs/>
          <w:sz w:val="24"/>
        </w:rPr>
        <w:t>截</w:t>
      </w:r>
      <w:r>
        <w:rPr>
          <w:rFonts w:ascii="Times New Roman" w:hAnsi="Times New Roman"/>
          <w:b/>
          <w:bCs/>
          <w:sz w:val="24"/>
        </w:rPr>
        <w:t>至本补充法律意见书出具日</w:t>
      </w:r>
      <w:r>
        <w:rPr>
          <w:rFonts w:hint="eastAsia" w:ascii="Times New Roman" w:hAnsi="Times New Roman"/>
          <w:b/>
          <w:bCs/>
          <w:sz w:val="24"/>
        </w:rPr>
        <w:t>，</w:t>
      </w:r>
      <w:r>
        <w:rPr>
          <w:rFonts w:ascii="Times New Roman" w:hAnsi="Times New Roman"/>
          <w:b/>
          <w:bCs/>
          <w:sz w:val="24"/>
        </w:rPr>
        <w:t>本次交易已经取得现阶段必需的授权和批准，该等授权和批准</w:t>
      </w:r>
      <w:r>
        <w:rPr>
          <w:rFonts w:hint="eastAsia" w:ascii="Times New Roman" w:hAnsi="Times New Roman"/>
          <w:b/>
          <w:bCs/>
          <w:sz w:val="24"/>
        </w:rPr>
        <w:t>仍</w:t>
      </w:r>
      <w:r>
        <w:rPr>
          <w:rFonts w:ascii="Times New Roman" w:hAnsi="Times New Roman"/>
          <w:b/>
          <w:bCs/>
          <w:sz w:val="24"/>
        </w:rPr>
        <w:t>合法有效；</w:t>
      </w:r>
    </w:p>
    <w:p w14:paraId="278C26DD">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2、</w:t>
      </w:r>
      <w:r>
        <w:rPr>
          <w:rFonts w:hint="eastAsia" w:ascii="Times New Roman" w:hAnsi="Times New Roman"/>
          <w:b/>
          <w:bCs/>
          <w:sz w:val="24"/>
        </w:rPr>
        <w:t>截</w:t>
      </w:r>
      <w:r>
        <w:rPr>
          <w:rFonts w:ascii="Times New Roman" w:hAnsi="Times New Roman"/>
          <w:b/>
          <w:bCs/>
          <w:sz w:val="24"/>
        </w:rPr>
        <w:t>至本补充法律意见书出具日</w:t>
      </w:r>
      <w:r>
        <w:rPr>
          <w:rFonts w:hint="eastAsia" w:ascii="Times New Roman" w:hAnsi="Times New Roman"/>
          <w:b/>
          <w:bCs/>
          <w:sz w:val="24"/>
        </w:rPr>
        <w:t>，</w:t>
      </w:r>
      <w:r>
        <w:rPr>
          <w:rFonts w:ascii="Times New Roman" w:hAnsi="Times New Roman"/>
          <w:b/>
          <w:bCs/>
          <w:sz w:val="24"/>
        </w:rPr>
        <w:t>本次交易尚需深交所审核通过并经证监会同意注册；待依法取得尚需取得的授权和批准后，本次交易可依法实施。</w:t>
      </w:r>
    </w:p>
    <w:p w14:paraId="18415FEA">
      <w:pPr>
        <w:tabs>
          <w:tab w:val="left" w:pos="709"/>
        </w:tabs>
        <w:snapToGrid w:val="0"/>
        <w:spacing w:before="156" w:beforeLines="50" w:after="156" w:afterLines="50" w:line="360" w:lineRule="auto"/>
        <w:ind w:firstLine="482" w:firstLineChars="200"/>
        <w:rPr>
          <w:rFonts w:ascii="Times New Roman" w:hAnsi="Times New Roman"/>
          <w:b/>
          <w:bCs/>
          <w:sz w:val="24"/>
        </w:rPr>
      </w:pPr>
    </w:p>
    <w:p w14:paraId="5E7C386B">
      <w:pPr>
        <w:pStyle w:val="39"/>
        <w:adjustRightInd w:val="0"/>
        <w:snapToGrid w:val="0"/>
        <w:spacing w:before="156" w:beforeLines="50" w:after="156" w:afterLines="50"/>
        <w:ind w:firstLine="482"/>
        <w:outlineLvl w:val="0"/>
        <w:rPr>
          <w:b/>
          <w:bCs/>
          <w:color w:val="000000"/>
          <w:kern w:val="0"/>
          <w:szCs w:val="24"/>
        </w:rPr>
      </w:pPr>
      <w:bookmarkStart w:id="33" w:name="_Toc14899"/>
      <w:r>
        <w:rPr>
          <w:b/>
          <w:bCs/>
          <w:color w:val="000000"/>
          <w:kern w:val="0"/>
          <w:szCs w:val="24"/>
        </w:rPr>
        <w:t>四、本次交易的相关协议</w:t>
      </w:r>
      <w:bookmarkEnd w:id="33"/>
    </w:p>
    <w:p w14:paraId="127ECFD3">
      <w:pPr>
        <w:widowControl/>
        <w:adjustRightInd w:val="0"/>
        <w:snapToGrid w:val="0"/>
        <w:spacing w:before="156" w:beforeLines="50" w:after="156" w:afterLines="50" w:line="360" w:lineRule="auto"/>
        <w:ind w:firstLine="480" w:firstLineChars="200"/>
        <w:rPr>
          <w:rFonts w:hint="eastAsia" w:ascii="Times New Roman" w:hAnsi="Times New Roman"/>
          <w:spacing w:val="-4"/>
          <w:sz w:val="24"/>
        </w:rPr>
      </w:pPr>
      <w:r>
        <w:rPr>
          <w:rFonts w:ascii="Times New Roman" w:hAnsi="Times New Roman"/>
          <w:color w:val="000000"/>
          <w:kern w:val="0"/>
          <w:sz w:val="24"/>
        </w:rPr>
        <w:t>本所律师已在《法律意见书》中披露了本次交易的相关协议。</w:t>
      </w:r>
      <w:r>
        <w:rPr>
          <w:rFonts w:ascii="Times New Roman" w:hAnsi="Times New Roman"/>
          <w:spacing w:val="2"/>
          <w:sz w:val="24"/>
        </w:rPr>
        <w:t>经核查，截至本补充法律意见书出具日，本次交易的相关协议</w:t>
      </w:r>
      <w:r>
        <w:rPr>
          <w:rFonts w:hint="eastAsia" w:ascii="Times New Roman" w:hAnsi="Times New Roman"/>
          <w:spacing w:val="2"/>
          <w:sz w:val="24"/>
        </w:rPr>
        <w:t>未发生变化。</w:t>
      </w:r>
    </w:p>
    <w:p w14:paraId="40F99EAE">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综上，本所认为：</w:t>
      </w:r>
    </w:p>
    <w:p w14:paraId="117D5CC3">
      <w:pPr>
        <w:pStyle w:val="39"/>
        <w:adjustRightInd w:val="0"/>
        <w:snapToGrid w:val="0"/>
        <w:spacing w:before="156" w:beforeLines="50" w:after="156" w:afterLines="50"/>
        <w:ind w:firstLine="482"/>
        <w:rPr>
          <w:b/>
          <w:bCs/>
          <w:szCs w:val="24"/>
        </w:rPr>
      </w:pPr>
      <w:r>
        <w:rPr>
          <w:b/>
          <w:bCs/>
          <w:szCs w:val="24"/>
        </w:rPr>
        <w:t>本次交易相关协议的内容符合有关中国法律法规的规定，合法有效；上述协议生效后，对相关各方具有法律约束力。</w:t>
      </w:r>
    </w:p>
    <w:p w14:paraId="1AF29813">
      <w:pPr>
        <w:pStyle w:val="39"/>
        <w:adjustRightInd w:val="0"/>
        <w:snapToGrid w:val="0"/>
        <w:spacing w:before="156" w:beforeLines="50" w:after="156" w:afterLines="50"/>
        <w:ind w:firstLine="482"/>
        <w:rPr>
          <w:b/>
          <w:bCs/>
          <w:szCs w:val="24"/>
        </w:rPr>
      </w:pPr>
    </w:p>
    <w:p w14:paraId="48D8D009">
      <w:pPr>
        <w:adjustRightInd w:val="0"/>
        <w:snapToGrid w:val="0"/>
        <w:spacing w:before="156" w:beforeLines="50" w:after="156" w:afterLines="50" w:line="360" w:lineRule="auto"/>
        <w:ind w:firstLine="482" w:firstLineChars="200"/>
        <w:outlineLvl w:val="0"/>
        <w:rPr>
          <w:rFonts w:ascii="Times New Roman" w:hAnsi="Times New Roman"/>
          <w:b/>
          <w:bCs/>
          <w:color w:val="000000"/>
          <w:kern w:val="0"/>
          <w:sz w:val="24"/>
        </w:rPr>
      </w:pPr>
      <w:bookmarkStart w:id="34" w:name="_Toc7635"/>
      <w:bookmarkStart w:id="35" w:name="_Toc15534"/>
      <w:r>
        <w:rPr>
          <w:rFonts w:ascii="Times New Roman" w:hAnsi="Times New Roman"/>
          <w:b/>
          <w:bCs/>
          <w:color w:val="000000"/>
          <w:kern w:val="0"/>
          <w:sz w:val="24"/>
        </w:rPr>
        <w:t>五、</w:t>
      </w:r>
      <w:bookmarkEnd w:id="34"/>
      <w:r>
        <w:rPr>
          <w:rFonts w:ascii="Times New Roman" w:hAnsi="Times New Roman"/>
          <w:b/>
          <w:sz w:val="24"/>
        </w:rPr>
        <w:t>本次交易的标的资产</w:t>
      </w:r>
      <w:bookmarkEnd w:id="35"/>
    </w:p>
    <w:p w14:paraId="479DF569">
      <w:pPr>
        <w:pStyle w:val="39"/>
        <w:adjustRightInd w:val="0"/>
        <w:snapToGrid w:val="0"/>
        <w:spacing w:before="156" w:beforeLines="50" w:after="156" w:afterLines="50"/>
        <w:ind w:firstLine="482"/>
        <w:outlineLvl w:val="1"/>
        <w:rPr>
          <w:b/>
          <w:bCs/>
          <w:color w:val="000000"/>
          <w:kern w:val="0"/>
          <w:szCs w:val="24"/>
        </w:rPr>
      </w:pPr>
      <w:bookmarkStart w:id="36" w:name="_Toc1078380210"/>
      <w:bookmarkStart w:id="37" w:name="_Toc395068688"/>
      <w:r>
        <w:rPr>
          <w:b/>
          <w:bCs/>
          <w:color w:val="000000"/>
          <w:kern w:val="0"/>
          <w:szCs w:val="24"/>
        </w:rPr>
        <w:t>（一）标的公司的基本情况</w:t>
      </w:r>
    </w:p>
    <w:p w14:paraId="32BE3915">
      <w:pPr>
        <w:pStyle w:val="39"/>
        <w:adjustRightInd w:val="0"/>
        <w:snapToGrid w:val="0"/>
        <w:spacing w:before="156" w:beforeLines="50" w:after="156" w:afterLines="50"/>
        <w:ind w:firstLine="480"/>
        <w:rPr>
          <w:szCs w:val="24"/>
        </w:rPr>
      </w:pPr>
      <w:r>
        <w:rPr>
          <w:color w:val="000000"/>
          <w:kern w:val="0"/>
          <w:szCs w:val="24"/>
        </w:rPr>
        <w:t>本所律师已在《法律意见书》中披露了</w:t>
      </w:r>
      <w:r>
        <w:rPr>
          <w:rFonts w:hint="eastAsia"/>
          <w:color w:val="000000"/>
          <w:kern w:val="0"/>
          <w:szCs w:val="24"/>
        </w:rPr>
        <w:t>星云开物</w:t>
      </w:r>
      <w:r>
        <w:rPr>
          <w:color w:val="000000"/>
          <w:kern w:val="0"/>
          <w:szCs w:val="24"/>
        </w:rPr>
        <w:t>的基本情况。</w:t>
      </w:r>
      <w:r>
        <w:rPr>
          <w:szCs w:val="24"/>
        </w:rPr>
        <w:t>经核查，截至本补充法律意见书出具日，</w:t>
      </w:r>
      <w:r>
        <w:rPr>
          <w:rFonts w:hint="eastAsia"/>
          <w:szCs w:val="24"/>
        </w:rPr>
        <w:t>星云开物</w:t>
      </w:r>
      <w:r>
        <w:rPr>
          <w:szCs w:val="24"/>
        </w:rPr>
        <w:t>的基本情况</w:t>
      </w:r>
      <w:r>
        <w:rPr>
          <w:color w:val="000000"/>
          <w:kern w:val="0"/>
          <w:szCs w:val="24"/>
        </w:rPr>
        <w:t>未发生变化</w:t>
      </w:r>
      <w:r>
        <w:rPr>
          <w:szCs w:val="24"/>
        </w:rPr>
        <w:t>。</w:t>
      </w:r>
    </w:p>
    <w:p w14:paraId="6F7DBFA8">
      <w:pPr>
        <w:tabs>
          <w:tab w:val="left" w:pos="709"/>
        </w:tabs>
        <w:snapToGrid w:val="0"/>
        <w:spacing w:before="156" w:beforeLines="50" w:after="156" w:afterLines="50" w:line="360" w:lineRule="auto"/>
        <w:ind w:firstLine="482" w:firstLineChars="200"/>
        <w:rPr>
          <w:rFonts w:ascii="Times New Roman" w:hAnsi="Times New Roman"/>
          <w:b/>
          <w:bCs/>
          <w:kern w:val="0"/>
          <w:sz w:val="24"/>
          <w:lang w:eastAsia="zh"/>
        </w:rPr>
      </w:pPr>
      <w:r>
        <w:rPr>
          <w:rFonts w:ascii="Times New Roman" w:hAnsi="Times New Roman"/>
          <w:b/>
          <w:bCs/>
          <w:kern w:val="0"/>
          <w:sz w:val="24"/>
          <w:lang w:eastAsia="zh"/>
        </w:rPr>
        <w:t>综上，</w:t>
      </w:r>
      <w:r>
        <w:rPr>
          <w:rFonts w:hint="eastAsia" w:ascii="Times New Roman" w:hAnsi="Times New Roman"/>
          <w:b/>
          <w:bCs/>
          <w:kern w:val="0"/>
          <w:sz w:val="24"/>
        </w:rPr>
        <w:t>本所认为：</w:t>
      </w:r>
    </w:p>
    <w:p w14:paraId="6E6FEE40">
      <w:pPr>
        <w:tabs>
          <w:tab w:val="left" w:pos="709"/>
        </w:tabs>
        <w:snapToGrid w:val="0"/>
        <w:spacing w:before="156" w:beforeLines="50" w:after="156" w:afterLines="50" w:line="360" w:lineRule="auto"/>
        <w:ind w:firstLine="482" w:firstLineChars="200"/>
        <w:rPr>
          <w:rFonts w:hint="eastAsia" w:ascii="Times New Roman" w:hAnsi="Times New Roman"/>
          <w:b/>
          <w:bCs/>
          <w:sz w:val="24"/>
        </w:rPr>
      </w:pPr>
      <w:r>
        <w:rPr>
          <w:rFonts w:hint="eastAsia" w:ascii="Times New Roman" w:hAnsi="Times New Roman"/>
          <w:b/>
          <w:bCs/>
          <w:sz w:val="24"/>
        </w:rPr>
        <w:t>1、</w:t>
      </w:r>
      <w:r>
        <w:rPr>
          <w:rFonts w:ascii="Times New Roman" w:hAnsi="Times New Roman"/>
          <w:b/>
          <w:bCs/>
          <w:sz w:val="24"/>
        </w:rPr>
        <w:t>截至本补充法律意见书出具日，标的公司仍依法设立并有效存续的股份有限公司，不存在依据相关法律法规、规范性文件及其公司章程的规定需要终止的情形</w:t>
      </w:r>
      <w:r>
        <w:rPr>
          <w:rFonts w:hint="eastAsia" w:ascii="Times New Roman" w:hAnsi="Times New Roman"/>
          <w:b/>
          <w:bCs/>
          <w:sz w:val="24"/>
        </w:rPr>
        <w:t>。</w:t>
      </w:r>
    </w:p>
    <w:p w14:paraId="7E0F62E9">
      <w:pPr>
        <w:pStyle w:val="39"/>
        <w:adjustRightInd w:val="0"/>
        <w:snapToGrid w:val="0"/>
        <w:spacing w:before="156" w:beforeLines="50" w:after="156" w:afterLines="50"/>
        <w:ind w:firstLine="482"/>
        <w:rPr>
          <w:szCs w:val="24"/>
        </w:rPr>
      </w:pPr>
      <w:r>
        <w:rPr>
          <w:b/>
          <w:bCs/>
          <w:szCs w:val="24"/>
        </w:rPr>
        <w:t>2、截至本补充法律意见书出具日，交易对方持有星云开物的股份权属清晰，不存在质押、冻结或其他权利受到限制的情形。</w:t>
      </w:r>
    </w:p>
    <w:p w14:paraId="052E32CB">
      <w:pPr>
        <w:pStyle w:val="39"/>
        <w:adjustRightInd w:val="0"/>
        <w:snapToGrid w:val="0"/>
        <w:spacing w:before="156" w:beforeLines="50" w:after="156" w:afterLines="50"/>
        <w:ind w:firstLine="482"/>
        <w:outlineLvl w:val="1"/>
        <w:rPr>
          <w:b/>
          <w:bCs/>
          <w:color w:val="000000"/>
          <w:kern w:val="0"/>
          <w:szCs w:val="24"/>
        </w:rPr>
      </w:pPr>
      <w:r>
        <w:rPr>
          <w:b/>
          <w:bCs/>
          <w:color w:val="000000"/>
          <w:kern w:val="0"/>
          <w:szCs w:val="24"/>
        </w:rPr>
        <w:t>（二）标的公司的股本演变</w:t>
      </w:r>
    </w:p>
    <w:p w14:paraId="68E48DB9">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本所律师已在《法律意见书》中披露了</w:t>
      </w:r>
      <w:r>
        <w:rPr>
          <w:rFonts w:hint="eastAsia"/>
          <w:color w:val="000000"/>
          <w:kern w:val="0"/>
          <w:szCs w:val="24"/>
        </w:rPr>
        <w:t>星云开物</w:t>
      </w:r>
      <w:r>
        <w:rPr>
          <w:color w:val="000000"/>
          <w:kern w:val="0"/>
          <w:szCs w:val="24"/>
        </w:rPr>
        <w:t>的设立和主要历史沿革情况。经核查，截至本补充法律意见书出具日，</w:t>
      </w:r>
      <w:r>
        <w:rPr>
          <w:rFonts w:hint="eastAsia"/>
          <w:color w:val="000000"/>
          <w:kern w:val="0"/>
          <w:szCs w:val="24"/>
        </w:rPr>
        <w:t>星云开物</w:t>
      </w:r>
      <w:r>
        <w:rPr>
          <w:color w:val="000000"/>
          <w:kern w:val="0"/>
          <w:szCs w:val="24"/>
        </w:rPr>
        <w:t>的设立和主要历史沿革的情况未发生变化。</w:t>
      </w:r>
    </w:p>
    <w:p w14:paraId="7DA0C2D5">
      <w:pPr>
        <w:pStyle w:val="39"/>
        <w:adjustRightInd w:val="0"/>
        <w:snapToGrid w:val="0"/>
        <w:spacing w:before="156" w:beforeLines="50" w:after="156" w:afterLines="50"/>
        <w:ind w:firstLine="482"/>
        <w:rPr>
          <w:b/>
          <w:bCs/>
          <w:kern w:val="0"/>
          <w:lang w:eastAsia="zh"/>
        </w:rPr>
      </w:pPr>
      <w:r>
        <w:rPr>
          <w:b/>
          <w:bCs/>
          <w:kern w:val="0"/>
          <w:lang w:eastAsia="zh"/>
        </w:rPr>
        <w:t>综上，</w:t>
      </w:r>
      <w:r>
        <w:rPr>
          <w:rFonts w:hint="eastAsia"/>
          <w:b/>
          <w:bCs/>
          <w:kern w:val="0"/>
        </w:rPr>
        <w:t>本所认为：</w:t>
      </w:r>
    </w:p>
    <w:p w14:paraId="76DAA70D">
      <w:pPr>
        <w:pStyle w:val="39"/>
        <w:adjustRightInd w:val="0"/>
        <w:snapToGrid w:val="0"/>
        <w:spacing w:before="156" w:beforeLines="50" w:after="156" w:afterLines="50"/>
        <w:ind w:firstLine="482"/>
        <w:rPr>
          <w:rFonts w:hint="eastAsia"/>
          <w:color w:val="000000"/>
          <w:kern w:val="0"/>
          <w:szCs w:val="24"/>
        </w:rPr>
      </w:pPr>
      <w:r>
        <w:rPr>
          <w:b/>
          <w:bCs/>
          <w:szCs w:val="24"/>
        </w:rPr>
        <w:t>截至本补充法律意见书出具日，标的公司</w:t>
      </w:r>
      <w:r>
        <w:rPr>
          <w:rFonts w:hint="eastAsia"/>
          <w:b/>
          <w:bCs/>
          <w:szCs w:val="24"/>
        </w:rPr>
        <w:t>的设立及历次股权变动均履行了必要的法律程序，合法、合规、真实、有效。</w:t>
      </w:r>
    </w:p>
    <w:p w14:paraId="1CD90700">
      <w:pPr>
        <w:pStyle w:val="39"/>
        <w:adjustRightInd w:val="0"/>
        <w:snapToGrid w:val="0"/>
        <w:spacing w:before="156" w:beforeLines="50" w:after="156" w:afterLines="50"/>
        <w:ind w:firstLine="482"/>
        <w:outlineLvl w:val="1"/>
        <w:rPr>
          <w:b/>
          <w:bCs/>
          <w:color w:val="000000"/>
          <w:kern w:val="0"/>
          <w:szCs w:val="24"/>
        </w:rPr>
      </w:pPr>
      <w:r>
        <w:rPr>
          <w:b/>
          <w:bCs/>
          <w:color w:val="000000"/>
          <w:kern w:val="0"/>
          <w:szCs w:val="24"/>
        </w:rPr>
        <w:t>（三）标的公司的业务</w:t>
      </w:r>
    </w:p>
    <w:p w14:paraId="0FD7EA9B">
      <w:pPr>
        <w:tabs>
          <w:tab w:val="left" w:pos="709"/>
        </w:tabs>
        <w:snapToGrid w:val="0"/>
        <w:spacing w:before="156" w:beforeLines="50" w:after="156" w:afterLines="50" w:line="360" w:lineRule="auto"/>
        <w:ind w:firstLine="482" w:firstLineChars="200"/>
        <w:outlineLvl w:val="2"/>
        <w:rPr>
          <w:rFonts w:hint="eastAsia" w:ascii="Times New Roman" w:hAnsi="Times New Roman"/>
          <w:b/>
          <w:bCs/>
          <w:sz w:val="24"/>
        </w:rPr>
      </w:pPr>
      <w:r>
        <w:rPr>
          <w:rFonts w:ascii="Times New Roman" w:hAnsi="Times New Roman"/>
          <w:b/>
          <w:bCs/>
          <w:sz w:val="24"/>
        </w:rPr>
        <w:t>1、</w:t>
      </w:r>
      <w:r>
        <w:rPr>
          <w:rFonts w:hint="eastAsia" w:ascii="Times New Roman" w:hAnsi="Times New Roman"/>
          <w:b/>
          <w:bCs/>
          <w:sz w:val="24"/>
        </w:rPr>
        <w:t>经营范围</w:t>
      </w:r>
    </w:p>
    <w:p w14:paraId="789C8BF6">
      <w:pPr>
        <w:pStyle w:val="39"/>
        <w:adjustRightInd w:val="0"/>
        <w:ind w:firstLine="480"/>
        <w:rPr>
          <w:rFonts w:hint="eastAsia"/>
          <w:b/>
          <w:bCs/>
          <w:szCs w:val="24"/>
        </w:rPr>
      </w:pPr>
      <w:r>
        <w:rPr>
          <w:color w:val="000000"/>
          <w:kern w:val="0"/>
          <w:szCs w:val="24"/>
        </w:rPr>
        <w:t>本所律师已在《法律意见书》中披露了</w:t>
      </w:r>
      <w:r>
        <w:rPr>
          <w:rFonts w:hint="eastAsia"/>
          <w:color w:val="000000"/>
          <w:kern w:val="0"/>
          <w:szCs w:val="24"/>
        </w:rPr>
        <w:t>星云开物经营范围</w:t>
      </w:r>
      <w:r>
        <w:rPr>
          <w:color w:val="000000"/>
          <w:kern w:val="0"/>
          <w:szCs w:val="24"/>
        </w:rPr>
        <w:t>的情况。</w:t>
      </w:r>
      <w:r>
        <w:rPr>
          <w:szCs w:val="24"/>
        </w:rPr>
        <w:t>经核查，截至本补充法律意见书出具日，</w:t>
      </w:r>
      <w:r>
        <w:rPr>
          <w:rFonts w:hint="eastAsia"/>
          <w:szCs w:val="24"/>
        </w:rPr>
        <w:t>星云开物经营范围</w:t>
      </w:r>
      <w:r>
        <w:rPr>
          <w:szCs w:val="24"/>
        </w:rPr>
        <w:t>的情况</w:t>
      </w:r>
      <w:r>
        <w:rPr>
          <w:color w:val="000000"/>
          <w:kern w:val="0"/>
          <w:szCs w:val="24"/>
        </w:rPr>
        <w:t>未发生变化</w:t>
      </w:r>
      <w:r>
        <w:rPr>
          <w:szCs w:val="24"/>
        </w:rPr>
        <w:t>。</w:t>
      </w:r>
    </w:p>
    <w:p w14:paraId="2EE2AF21">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2、</w:t>
      </w:r>
      <w:r>
        <w:rPr>
          <w:rFonts w:ascii="Times New Roman" w:hAnsi="Times New Roman"/>
          <w:b/>
          <w:bCs/>
          <w:sz w:val="24"/>
        </w:rPr>
        <w:t>主营业务</w:t>
      </w:r>
    </w:p>
    <w:p w14:paraId="16467B07">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本所律师已在《法律意见书》中披露了</w:t>
      </w:r>
      <w:r>
        <w:rPr>
          <w:rFonts w:hint="eastAsia"/>
          <w:color w:val="000000"/>
          <w:kern w:val="0"/>
          <w:szCs w:val="24"/>
        </w:rPr>
        <w:t>星云开物</w:t>
      </w:r>
      <w:r>
        <w:rPr>
          <w:color w:val="000000"/>
          <w:kern w:val="0"/>
          <w:szCs w:val="24"/>
        </w:rPr>
        <w:t>主营业务的情况。</w:t>
      </w:r>
      <w:r>
        <w:rPr>
          <w:szCs w:val="24"/>
        </w:rPr>
        <w:t>经核查，截至本补充法律意见书出具日，</w:t>
      </w:r>
      <w:r>
        <w:rPr>
          <w:rFonts w:hint="eastAsia"/>
          <w:szCs w:val="24"/>
        </w:rPr>
        <w:t>星云开物</w:t>
      </w:r>
      <w:r>
        <w:rPr>
          <w:szCs w:val="24"/>
        </w:rPr>
        <w:t>主营业务的情况</w:t>
      </w:r>
      <w:r>
        <w:rPr>
          <w:color w:val="000000"/>
          <w:kern w:val="0"/>
          <w:szCs w:val="24"/>
        </w:rPr>
        <w:t>未发生变化</w:t>
      </w:r>
      <w:r>
        <w:rPr>
          <w:szCs w:val="24"/>
        </w:rPr>
        <w:t>。</w:t>
      </w:r>
    </w:p>
    <w:p w14:paraId="488EA6F6">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3、</w:t>
      </w:r>
      <w:r>
        <w:rPr>
          <w:rFonts w:ascii="Times New Roman" w:hAnsi="Times New Roman"/>
          <w:b/>
          <w:bCs/>
          <w:sz w:val="24"/>
        </w:rPr>
        <w:t>主营业务资质</w:t>
      </w:r>
    </w:p>
    <w:p w14:paraId="5739D4FA">
      <w:pPr>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color w:val="000000"/>
          <w:kern w:val="0"/>
          <w:sz w:val="24"/>
        </w:rPr>
        <w:t>本所律师已在《法律意见书》中披露了</w:t>
      </w:r>
      <w:r>
        <w:rPr>
          <w:rFonts w:hint="eastAsia" w:ascii="Times New Roman" w:hAnsi="Times New Roman"/>
          <w:color w:val="000000"/>
          <w:kern w:val="0"/>
          <w:sz w:val="24"/>
        </w:rPr>
        <w:t>星云开物</w:t>
      </w:r>
      <w:r>
        <w:rPr>
          <w:rFonts w:hint="eastAsia"/>
          <w:sz w:val="24"/>
        </w:rPr>
        <w:t>拥有的主要业务资质证书/许可证书</w:t>
      </w:r>
      <w:r>
        <w:rPr>
          <w:rFonts w:ascii="Times New Roman" w:hAnsi="Times New Roman"/>
          <w:color w:val="000000"/>
          <w:kern w:val="0"/>
          <w:sz w:val="24"/>
        </w:rPr>
        <w:t>的情况。</w:t>
      </w:r>
      <w:r>
        <w:rPr>
          <w:rFonts w:ascii="Times New Roman" w:hAnsi="Times New Roman"/>
          <w:sz w:val="24"/>
        </w:rPr>
        <w:t>经核查，截至本补充法律意见书出具日，</w:t>
      </w:r>
      <w:r>
        <w:rPr>
          <w:rFonts w:hint="eastAsia" w:ascii="Times New Roman" w:hAnsi="Times New Roman"/>
          <w:sz w:val="24"/>
        </w:rPr>
        <w:t>星云开物及子公司主要</w:t>
      </w:r>
      <w:r>
        <w:rPr>
          <w:rFonts w:hint="eastAsia" w:ascii="Times New Roman" w:hAnsi="Times New Roman"/>
          <w:kern w:val="0"/>
          <w:sz w:val="24"/>
        </w:rPr>
        <w:t>资质证书的变动情况如下：</w:t>
      </w:r>
    </w:p>
    <w:p w14:paraId="275DE89B">
      <w:pPr>
        <w:pStyle w:val="39"/>
        <w:adjustRightInd w:val="0"/>
        <w:snapToGrid w:val="0"/>
        <w:spacing w:before="156" w:beforeLines="50" w:after="156" w:afterLines="50"/>
        <w:ind w:firstLine="480"/>
        <w:rPr>
          <w:color w:val="000000"/>
          <w:kern w:val="0"/>
          <w:szCs w:val="24"/>
        </w:rPr>
      </w:pPr>
      <w:r>
        <w:rPr>
          <w:rFonts w:hint="eastAsia"/>
          <w:color w:val="000000"/>
          <w:kern w:val="0"/>
          <w:szCs w:val="24"/>
        </w:rPr>
        <w:t>（1）管理体系认证证书变动情况</w:t>
      </w:r>
    </w:p>
    <w:p w14:paraId="7CAB1824">
      <w:pPr>
        <w:widowControl/>
        <w:adjustRightInd w:val="0"/>
        <w:snapToGrid w:val="0"/>
        <w:spacing w:before="156" w:beforeLines="50" w:line="360" w:lineRule="auto"/>
        <w:ind w:firstLine="480" w:firstLineChars="200"/>
        <w:rPr>
          <w:rFonts w:ascii="Times New Roman" w:hAnsi="Times New Roman"/>
          <w:sz w:val="24"/>
        </w:rPr>
      </w:pPr>
      <w:r>
        <w:rPr>
          <w:rFonts w:ascii="Times New Roman" w:hAnsi="Times New Roman"/>
          <w:sz w:val="24"/>
        </w:rPr>
        <w:t>①</w:t>
      </w:r>
      <w:r>
        <w:rPr>
          <w:rFonts w:hint="eastAsia" w:ascii="Times New Roman" w:hAnsi="Times New Roman"/>
          <w:sz w:val="24"/>
        </w:rPr>
        <w:t>更换新证书</w:t>
      </w:r>
    </w:p>
    <w:p w14:paraId="5F7F3BDB">
      <w:pPr>
        <w:widowControl/>
        <w:adjustRightInd w:val="0"/>
        <w:snapToGrid w:val="0"/>
        <w:spacing w:before="156" w:beforeLines="50" w:line="360" w:lineRule="auto"/>
        <w:ind w:firstLine="480" w:firstLineChars="200"/>
        <w:rPr>
          <w:rFonts w:ascii="Times New Roman" w:hAnsi="Times New Roman"/>
          <w:kern w:val="0"/>
          <w:sz w:val="24"/>
        </w:rPr>
      </w:pPr>
      <w:r>
        <w:rPr>
          <w:rFonts w:hint="eastAsia" w:ascii="Times New Roman" w:hAnsi="Times New Roman"/>
          <w:sz w:val="24"/>
        </w:rPr>
        <w:t>星云开物因2项原管理体系认证证书期限届满而更换新证，具体情况如下：</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7"/>
        <w:gridCol w:w="767"/>
        <w:gridCol w:w="1193"/>
        <w:gridCol w:w="1936"/>
        <w:gridCol w:w="1243"/>
        <w:gridCol w:w="1360"/>
        <w:gridCol w:w="1416"/>
      </w:tblGrid>
      <w:tr w14:paraId="368326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56" w:type="pct"/>
            <w:noWrap w:val="0"/>
            <w:tcMar>
              <w:top w:w="0" w:type="dxa"/>
              <w:left w:w="108" w:type="dxa"/>
              <w:bottom w:w="0" w:type="dxa"/>
              <w:right w:w="108" w:type="dxa"/>
            </w:tcMar>
            <w:vAlign w:val="center"/>
          </w:tcPr>
          <w:p w14:paraId="70653587">
            <w:pPr>
              <w:tabs>
                <w:tab w:val="left" w:pos="709"/>
              </w:tabs>
              <w:jc w:val="center"/>
              <w:rPr>
                <w:rFonts w:ascii="Times New Roman" w:hAnsi="Times New Roman"/>
                <w:b/>
                <w:bCs/>
                <w:kern w:val="0"/>
                <w:szCs w:val="21"/>
              </w:rPr>
            </w:pPr>
            <w:r>
              <w:rPr>
                <w:rFonts w:ascii="Times New Roman" w:hAnsi="Times New Roman"/>
                <w:b/>
                <w:bCs/>
                <w:szCs w:val="21"/>
              </w:rPr>
              <w:t>序号</w:t>
            </w:r>
          </w:p>
        </w:tc>
        <w:tc>
          <w:tcPr>
            <w:tcW w:w="450" w:type="pct"/>
            <w:noWrap w:val="0"/>
            <w:tcMar>
              <w:top w:w="0" w:type="dxa"/>
              <w:left w:w="108" w:type="dxa"/>
              <w:bottom w:w="0" w:type="dxa"/>
              <w:right w:w="108" w:type="dxa"/>
            </w:tcMar>
            <w:vAlign w:val="center"/>
          </w:tcPr>
          <w:p w14:paraId="5D366821">
            <w:pPr>
              <w:tabs>
                <w:tab w:val="left" w:pos="709"/>
              </w:tabs>
              <w:jc w:val="center"/>
              <w:rPr>
                <w:rFonts w:ascii="Times New Roman" w:hAnsi="Times New Roman"/>
                <w:b/>
                <w:bCs/>
                <w:kern w:val="0"/>
                <w:szCs w:val="21"/>
              </w:rPr>
            </w:pPr>
            <w:r>
              <w:rPr>
                <w:rFonts w:ascii="Times New Roman" w:hAnsi="Times New Roman"/>
                <w:b/>
                <w:bCs/>
                <w:szCs w:val="21"/>
              </w:rPr>
              <w:t>持证主体</w:t>
            </w:r>
          </w:p>
        </w:tc>
        <w:tc>
          <w:tcPr>
            <w:tcW w:w="699" w:type="pct"/>
            <w:noWrap w:val="0"/>
            <w:tcMar>
              <w:top w:w="0" w:type="dxa"/>
              <w:left w:w="108" w:type="dxa"/>
              <w:bottom w:w="0" w:type="dxa"/>
              <w:right w:w="108" w:type="dxa"/>
            </w:tcMar>
            <w:vAlign w:val="center"/>
          </w:tcPr>
          <w:p w14:paraId="2E3A9B71">
            <w:pPr>
              <w:tabs>
                <w:tab w:val="left" w:pos="709"/>
              </w:tabs>
              <w:jc w:val="center"/>
              <w:rPr>
                <w:rFonts w:ascii="Times New Roman" w:hAnsi="Times New Roman"/>
                <w:b/>
                <w:bCs/>
                <w:kern w:val="0"/>
                <w:szCs w:val="21"/>
              </w:rPr>
            </w:pPr>
            <w:r>
              <w:rPr>
                <w:rFonts w:ascii="Times New Roman" w:hAnsi="Times New Roman"/>
                <w:b/>
                <w:bCs/>
                <w:szCs w:val="21"/>
              </w:rPr>
              <w:t>证书名称</w:t>
            </w:r>
          </w:p>
        </w:tc>
        <w:tc>
          <w:tcPr>
            <w:tcW w:w="1135" w:type="pct"/>
            <w:noWrap w:val="0"/>
            <w:tcMar>
              <w:top w:w="0" w:type="dxa"/>
              <w:left w:w="108" w:type="dxa"/>
              <w:bottom w:w="0" w:type="dxa"/>
              <w:right w:w="108" w:type="dxa"/>
            </w:tcMar>
            <w:vAlign w:val="center"/>
          </w:tcPr>
          <w:p w14:paraId="019EAA14">
            <w:pPr>
              <w:tabs>
                <w:tab w:val="left" w:pos="709"/>
              </w:tabs>
              <w:jc w:val="center"/>
              <w:rPr>
                <w:rFonts w:ascii="Times New Roman" w:hAnsi="Times New Roman"/>
                <w:b/>
                <w:bCs/>
                <w:kern w:val="0"/>
                <w:szCs w:val="21"/>
              </w:rPr>
            </w:pPr>
            <w:r>
              <w:rPr>
                <w:rFonts w:ascii="Times New Roman" w:hAnsi="Times New Roman"/>
                <w:b/>
                <w:bCs/>
                <w:szCs w:val="21"/>
              </w:rPr>
              <w:t>证书编号</w:t>
            </w:r>
          </w:p>
        </w:tc>
        <w:tc>
          <w:tcPr>
            <w:tcW w:w="728" w:type="pct"/>
            <w:noWrap w:val="0"/>
            <w:tcMar>
              <w:top w:w="0" w:type="dxa"/>
              <w:left w:w="108" w:type="dxa"/>
              <w:bottom w:w="0" w:type="dxa"/>
              <w:right w:w="108" w:type="dxa"/>
            </w:tcMar>
            <w:vAlign w:val="center"/>
          </w:tcPr>
          <w:p w14:paraId="4EBB3A5A">
            <w:pPr>
              <w:tabs>
                <w:tab w:val="left" w:pos="709"/>
              </w:tabs>
              <w:jc w:val="center"/>
              <w:rPr>
                <w:rFonts w:ascii="Times New Roman" w:hAnsi="Times New Roman"/>
                <w:b/>
                <w:bCs/>
                <w:kern w:val="0"/>
                <w:szCs w:val="21"/>
              </w:rPr>
            </w:pPr>
            <w:r>
              <w:rPr>
                <w:rFonts w:ascii="Times New Roman" w:hAnsi="Times New Roman"/>
                <w:b/>
                <w:bCs/>
                <w:szCs w:val="21"/>
              </w:rPr>
              <w:t>发证日期</w:t>
            </w:r>
          </w:p>
        </w:tc>
        <w:tc>
          <w:tcPr>
            <w:tcW w:w="797" w:type="pct"/>
            <w:noWrap w:val="0"/>
            <w:tcMar>
              <w:top w:w="0" w:type="dxa"/>
              <w:left w:w="108" w:type="dxa"/>
              <w:bottom w:w="0" w:type="dxa"/>
              <w:right w:w="108" w:type="dxa"/>
            </w:tcMar>
            <w:vAlign w:val="center"/>
          </w:tcPr>
          <w:p w14:paraId="67923783">
            <w:pPr>
              <w:tabs>
                <w:tab w:val="left" w:pos="709"/>
              </w:tabs>
              <w:jc w:val="center"/>
              <w:rPr>
                <w:rFonts w:ascii="Times New Roman" w:hAnsi="Times New Roman"/>
                <w:b/>
                <w:bCs/>
                <w:kern w:val="0"/>
                <w:szCs w:val="21"/>
              </w:rPr>
            </w:pPr>
            <w:r>
              <w:rPr>
                <w:rFonts w:ascii="Times New Roman" w:hAnsi="Times New Roman"/>
                <w:b/>
                <w:bCs/>
                <w:szCs w:val="21"/>
              </w:rPr>
              <w:t>有效期限（至）</w:t>
            </w:r>
          </w:p>
        </w:tc>
        <w:tc>
          <w:tcPr>
            <w:tcW w:w="830" w:type="pct"/>
            <w:noWrap w:val="0"/>
            <w:tcMar>
              <w:top w:w="0" w:type="dxa"/>
              <w:left w:w="108" w:type="dxa"/>
              <w:bottom w:w="0" w:type="dxa"/>
              <w:right w:w="108" w:type="dxa"/>
            </w:tcMar>
            <w:vAlign w:val="center"/>
          </w:tcPr>
          <w:p w14:paraId="2A03CB46">
            <w:pPr>
              <w:tabs>
                <w:tab w:val="left" w:pos="709"/>
              </w:tabs>
              <w:jc w:val="center"/>
              <w:rPr>
                <w:rFonts w:ascii="Times New Roman" w:hAnsi="Times New Roman"/>
                <w:b/>
                <w:bCs/>
                <w:kern w:val="0"/>
                <w:szCs w:val="21"/>
              </w:rPr>
            </w:pPr>
            <w:r>
              <w:rPr>
                <w:rFonts w:ascii="Times New Roman" w:hAnsi="Times New Roman"/>
                <w:b/>
                <w:bCs/>
                <w:szCs w:val="21"/>
              </w:rPr>
              <w:t>发证机关</w:t>
            </w:r>
          </w:p>
        </w:tc>
      </w:tr>
      <w:tr w14:paraId="5A034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6" w:type="pct"/>
            <w:noWrap w:val="0"/>
            <w:tcMar>
              <w:top w:w="0" w:type="dxa"/>
              <w:left w:w="108" w:type="dxa"/>
              <w:bottom w:w="0" w:type="dxa"/>
              <w:right w:w="108" w:type="dxa"/>
            </w:tcMar>
            <w:vAlign w:val="center"/>
          </w:tcPr>
          <w:p w14:paraId="31461F7B">
            <w:pPr>
              <w:jc w:val="center"/>
              <w:rPr>
                <w:rFonts w:ascii="Times New Roman" w:hAnsi="Times New Roman"/>
                <w:color w:val="000000"/>
                <w:szCs w:val="21"/>
                <w:lang w:bidi="ar"/>
              </w:rPr>
            </w:pPr>
            <w:r>
              <w:rPr>
                <w:rFonts w:ascii="Times New Roman" w:hAnsi="Times New Roman"/>
                <w:color w:val="000000"/>
                <w:szCs w:val="21"/>
                <w:lang w:bidi="ar"/>
              </w:rPr>
              <w:t>1</w:t>
            </w:r>
          </w:p>
        </w:tc>
        <w:tc>
          <w:tcPr>
            <w:tcW w:w="450" w:type="pct"/>
            <w:noWrap w:val="0"/>
            <w:tcMar>
              <w:top w:w="0" w:type="dxa"/>
              <w:left w:w="108" w:type="dxa"/>
              <w:bottom w:w="0" w:type="dxa"/>
              <w:right w:w="108" w:type="dxa"/>
            </w:tcMar>
            <w:vAlign w:val="center"/>
          </w:tcPr>
          <w:p w14:paraId="24DD4BD3">
            <w:pPr>
              <w:jc w:val="center"/>
              <w:rPr>
                <w:rFonts w:ascii="Times New Roman" w:hAnsi="Times New Roman"/>
                <w:color w:val="000000"/>
                <w:szCs w:val="21"/>
                <w:lang w:bidi="ar"/>
              </w:rPr>
            </w:pPr>
            <w:r>
              <w:rPr>
                <w:rFonts w:ascii="Times New Roman" w:hAnsi="Times New Roman"/>
                <w:color w:val="000000"/>
                <w:szCs w:val="21"/>
                <w:lang w:bidi="ar"/>
              </w:rPr>
              <w:t>星云开物</w:t>
            </w:r>
          </w:p>
        </w:tc>
        <w:tc>
          <w:tcPr>
            <w:tcW w:w="699" w:type="pct"/>
            <w:noWrap w:val="0"/>
            <w:tcMar>
              <w:top w:w="0" w:type="dxa"/>
              <w:left w:w="108" w:type="dxa"/>
              <w:bottom w:w="0" w:type="dxa"/>
              <w:right w:w="108" w:type="dxa"/>
            </w:tcMar>
            <w:vAlign w:val="center"/>
          </w:tcPr>
          <w:p w14:paraId="5EA6D84E">
            <w:pPr>
              <w:jc w:val="center"/>
              <w:rPr>
                <w:rFonts w:ascii="Times New Roman" w:hAnsi="Times New Roman"/>
                <w:color w:val="000000"/>
                <w:szCs w:val="21"/>
                <w:lang w:bidi="ar"/>
              </w:rPr>
            </w:pPr>
            <w:r>
              <w:rPr>
                <w:rFonts w:ascii="Times New Roman" w:hAnsi="Times New Roman"/>
                <w:color w:val="000000"/>
                <w:szCs w:val="21"/>
                <w:lang w:bidi="ar"/>
              </w:rPr>
              <w:t>信息安全管理体系认证证书</w:t>
            </w:r>
          </w:p>
        </w:tc>
        <w:tc>
          <w:tcPr>
            <w:tcW w:w="1135" w:type="pct"/>
            <w:noWrap w:val="0"/>
            <w:tcMar>
              <w:top w:w="0" w:type="dxa"/>
              <w:left w:w="108" w:type="dxa"/>
              <w:bottom w:w="0" w:type="dxa"/>
              <w:right w:w="108" w:type="dxa"/>
            </w:tcMar>
            <w:vAlign w:val="center"/>
          </w:tcPr>
          <w:p w14:paraId="16289E74">
            <w:pPr>
              <w:jc w:val="center"/>
              <w:rPr>
                <w:rFonts w:hint="eastAsia" w:ascii="Times New Roman" w:hAnsi="Times New Roman"/>
                <w:color w:val="000000"/>
                <w:szCs w:val="21"/>
                <w:lang w:bidi="ar"/>
              </w:rPr>
            </w:pPr>
            <w:r>
              <w:rPr>
                <w:rFonts w:hint="eastAsia" w:ascii="Times New Roman" w:hAnsi="Times New Roman"/>
                <w:color w:val="000000"/>
                <w:szCs w:val="21"/>
                <w:lang w:bidi="ar"/>
              </w:rPr>
              <w:t>02826IS00064R101</w:t>
            </w:r>
          </w:p>
        </w:tc>
        <w:tc>
          <w:tcPr>
            <w:tcW w:w="728" w:type="pct"/>
            <w:noWrap w:val="0"/>
            <w:tcMar>
              <w:top w:w="0" w:type="dxa"/>
              <w:left w:w="108" w:type="dxa"/>
              <w:bottom w:w="0" w:type="dxa"/>
              <w:right w:w="108" w:type="dxa"/>
            </w:tcMar>
            <w:vAlign w:val="center"/>
          </w:tcPr>
          <w:p w14:paraId="6A8CE2BC">
            <w:pPr>
              <w:jc w:val="center"/>
              <w:rPr>
                <w:rFonts w:hint="eastAsia" w:ascii="Times New Roman" w:hAnsi="Times New Roman"/>
                <w:color w:val="000000"/>
                <w:szCs w:val="21"/>
                <w:lang w:bidi="ar"/>
              </w:rPr>
            </w:pPr>
            <w:r>
              <w:rPr>
                <w:rFonts w:hint="eastAsia" w:ascii="Times New Roman" w:hAnsi="Times New Roman"/>
                <w:color w:val="000000"/>
                <w:szCs w:val="21"/>
                <w:lang w:bidi="ar"/>
              </w:rPr>
              <w:t>2026.02.16</w:t>
            </w:r>
          </w:p>
        </w:tc>
        <w:tc>
          <w:tcPr>
            <w:tcW w:w="797" w:type="pct"/>
            <w:noWrap w:val="0"/>
            <w:tcMar>
              <w:top w:w="0" w:type="dxa"/>
              <w:left w:w="108" w:type="dxa"/>
              <w:bottom w:w="0" w:type="dxa"/>
              <w:right w:w="108" w:type="dxa"/>
            </w:tcMar>
            <w:vAlign w:val="center"/>
          </w:tcPr>
          <w:p w14:paraId="4BD1E7C8">
            <w:pPr>
              <w:jc w:val="center"/>
              <w:rPr>
                <w:rFonts w:ascii="Times New Roman" w:hAnsi="Times New Roman"/>
                <w:color w:val="000000"/>
                <w:szCs w:val="21"/>
                <w:lang w:bidi="ar"/>
              </w:rPr>
            </w:pPr>
            <w:r>
              <w:rPr>
                <w:rFonts w:hint="eastAsia" w:ascii="Times New Roman" w:hAnsi="Times New Roman"/>
                <w:color w:val="000000"/>
                <w:szCs w:val="21"/>
                <w:lang w:bidi="ar"/>
              </w:rPr>
              <w:t>2029.02.15</w:t>
            </w:r>
          </w:p>
        </w:tc>
        <w:tc>
          <w:tcPr>
            <w:tcW w:w="830" w:type="pct"/>
            <w:noWrap w:val="0"/>
            <w:tcMar>
              <w:top w:w="0" w:type="dxa"/>
              <w:left w:w="108" w:type="dxa"/>
              <w:bottom w:w="0" w:type="dxa"/>
              <w:right w:w="108" w:type="dxa"/>
            </w:tcMar>
            <w:vAlign w:val="center"/>
          </w:tcPr>
          <w:p w14:paraId="70156C0D">
            <w:pPr>
              <w:jc w:val="center"/>
              <w:rPr>
                <w:rFonts w:ascii="Times New Roman" w:hAnsi="Times New Roman"/>
                <w:color w:val="000000"/>
                <w:szCs w:val="21"/>
                <w:lang w:bidi="ar"/>
              </w:rPr>
            </w:pPr>
            <w:r>
              <w:rPr>
                <w:rFonts w:ascii="Times New Roman" w:hAnsi="Times New Roman"/>
                <w:color w:val="000000"/>
                <w:szCs w:val="21"/>
                <w:lang w:bidi="ar"/>
              </w:rPr>
              <w:t>北京中安质环认证中心有限公司</w:t>
            </w:r>
          </w:p>
        </w:tc>
      </w:tr>
      <w:tr w14:paraId="1FDABB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6" w:type="pct"/>
            <w:noWrap w:val="0"/>
            <w:tcMar>
              <w:top w:w="0" w:type="dxa"/>
              <w:left w:w="108" w:type="dxa"/>
              <w:bottom w:w="0" w:type="dxa"/>
              <w:right w:w="108" w:type="dxa"/>
            </w:tcMar>
            <w:vAlign w:val="center"/>
          </w:tcPr>
          <w:p w14:paraId="5E421AF5">
            <w:pPr>
              <w:jc w:val="center"/>
              <w:rPr>
                <w:rFonts w:ascii="Times New Roman" w:hAnsi="Times New Roman"/>
                <w:color w:val="000000"/>
                <w:szCs w:val="21"/>
                <w:lang w:bidi="ar"/>
              </w:rPr>
            </w:pPr>
            <w:r>
              <w:rPr>
                <w:rFonts w:ascii="Times New Roman" w:hAnsi="Times New Roman"/>
                <w:color w:val="000000"/>
                <w:szCs w:val="21"/>
                <w:lang w:bidi="ar"/>
              </w:rPr>
              <w:t>2</w:t>
            </w:r>
          </w:p>
        </w:tc>
        <w:tc>
          <w:tcPr>
            <w:tcW w:w="450" w:type="pct"/>
            <w:noWrap w:val="0"/>
            <w:tcMar>
              <w:top w:w="0" w:type="dxa"/>
              <w:left w:w="108" w:type="dxa"/>
              <w:bottom w:w="0" w:type="dxa"/>
              <w:right w:w="108" w:type="dxa"/>
            </w:tcMar>
            <w:vAlign w:val="center"/>
          </w:tcPr>
          <w:p w14:paraId="1D3D6DC3">
            <w:pPr>
              <w:jc w:val="center"/>
              <w:rPr>
                <w:rFonts w:ascii="Times New Roman" w:hAnsi="Times New Roman"/>
                <w:color w:val="000000"/>
                <w:szCs w:val="21"/>
                <w:lang w:bidi="ar"/>
              </w:rPr>
            </w:pPr>
            <w:r>
              <w:rPr>
                <w:rFonts w:ascii="Times New Roman" w:hAnsi="Times New Roman"/>
                <w:color w:val="000000"/>
                <w:szCs w:val="21"/>
                <w:lang w:bidi="ar"/>
              </w:rPr>
              <w:t>星云开物</w:t>
            </w:r>
          </w:p>
        </w:tc>
        <w:tc>
          <w:tcPr>
            <w:tcW w:w="699" w:type="pct"/>
            <w:noWrap w:val="0"/>
            <w:tcMar>
              <w:top w:w="0" w:type="dxa"/>
              <w:left w:w="108" w:type="dxa"/>
              <w:bottom w:w="0" w:type="dxa"/>
              <w:right w:w="108" w:type="dxa"/>
            </w:tcMar>
            <w:vAlign w:val="center"/>
          </w:tcPr>
          <w:p w14:paraId="04864BE3">
            <w:pPr>
              <w:jc w:val="center"/>
              <w:rPr>
                <w:rFonts w:ascii="Times New Roman" w:hAnsi="Times New Roman"/>
                <w:color w:val="000000"/>
                <w:szCs w:val="21"/>
                <w:lang w:bidi="ar"/>
              </w:rPr>
            </w:pPr>
            <w:r>
              <w:rPr>
                <w:rFonts w:ascii="Times New Roman" w:hAnsi="Times New Roman"/>
                <w:color w:val="000000"/>
                <w:szCs w:val="21"/>
                <w:lang w:bidi="ar"/>
              </w:rPr>
              <w:t>信息技术服务管理体系认证证书</w:t>
            </w:r>
          </w:p>
        </w:tc>
        <w:tc>
          <w:tcPr>
            <w:tcW w:w="1135" w:type="pct"/>
            <w:noWrap w:val="0"/>
            <w:tcMar>
              <w:top w:w="0" w:type="dxa"/>
              <w:left w:w="108" w:type="dxa"/>
              <w:bottom w:w="0" w:type="dxa"/>
              <w:right w:w="108" w:type="dxa"/>
            </w:tcMar>
            <w:vAlign w:val="center"/>
          </w:tcPr>
          <w:p w14:paraId="73C312F4">
            <w:pPr>
              <w:jc w:val="center"/>
              <w:rPr>
                <w:rFonts w:hint="eastAsia" w:ascii="Times New Roman" w:hAnsi="Times New Roman"/>
                <w:color w:val="000000"/>
                <w:szCs w:val="21"/>
                <w:lang w:bidi="ar"/>
              </w:rPr>
            </w:pPr>
            <w:r>
              <w:rPr>
                <w:rFonts w:hint="eastAsia" w:ascii="Times New Roman" w:hAnsi="Times New Roman"/>
                <w:color w:val="000000"/>
                <w:szCs w:val="21"/>
                <w:lang w:bidi="ar"/>
              </w:rPr>
              <w:t>0282026ITSM037MR1V</w:t>
            </w:r>
          </w:p>
        </w:tc>
        <w:tc>
          <w:tcPr>
            <w:tcW w:w="728" w:type="pct"/>
            <w:noWrap w:val="0"/>
            <w:tcMar>
              <w:top w:w="0" w:type="dxa"/>
              <w:left w:w="108" w:type="dxa"/>
              <w:bottom w:w="0" w:type="dxa"/>
              <w:right w:w="108" w:type="dxa"/>
            </w:tcMar>
            <w:vAlign w:val="center"/>
          </w:tcPr>
          <w:p w14:paraId="782B6216">
            <w:pPr>
              <w:jc w:val="center"/>
              <w:rPr>
                <w:rFonts w:hint="eastAsia" w:ascii="Times New Roman" w:hAnsi="Times New Roman"/>
                <w:color w:val="000000"/>
                <w:szCs w:val="21"/>
                <w:lang w:bidi="ar"/>
              </w:rPr>
            </w:pPr>
            <w:r>
              <w:rPr>
                <w:rFonts w:hint="eastAsia" w:ascii="Times New Roman" w:hAnsi="Times New Roman"/>
                <w:color w:val="000000"/>
                <w:szCs w:val="21"/>
                <w:lang w:bidi="ar"/>
              </w:rPr>
              <w:t>2026.02.20</w:t>
            </w:r>
          </w:p>
        </w:tc>
        <w:tc>
          <w:tcPr>
            <w:tcW w:w="797" w:type="pct"/>
            <w:noWrap w:val="0"/>
            <w:tcMar>
              <w:top w:w="0" w:type="dxa"/>
              <w:left w:w="108" w:type="dxa"/>
              <w:bottom w:w="0" w:type="dxa"/>
              <w:right w:w="108" w:type="dxa"/>
            </w:tcMar>
            <w:vAlign w:val="center"/>
          </w:tcPr>
          <w:p w14:paraId="6D738DD9">
            <w:pPr>
              <w:jc w:val="center"/>
              <w:rPr>
                <w:rFonts w:ascii="Times New Roman" w:hAnsi="Times New Roman"/>
                <w:color w:val="000000"/>
                <w:szCs w:val="21"/>
                <w:lang w:bidi="ar"/>
              </w:rPr>
            </w:pPr>
            <w:r>
              <w:rPr>
                <w:rFonts w:hint="eastAsia" w:ascii="Times New Roman" w:hAnsi="Times New Roman"/>
                <w:color w:val="000000"/>
                <w:szCs w:val="21"/>
                <w:lang w:bidi="ar"/>
              </w:rPr>
              <w:t>2029.02.19</w:t>
            </w:r>
          </w:p>
        </w:tc>
        <w:tc>
          <w:tcPr>
            <w:tcW w:w="830" w:type="pct"/>
            <w:noWrap w:val="0"/>
            <w:tcMar>
              <w:top w:w="0" w:type="dxa"/>
              <w:left w:w="108" w:type="dxa"/>
              <w:bottom w:w="0" w:type="dxa"/>
              <w:right w:w="108" w:type="dxa"/>
            </w:tcMar>
            <w:vAlign w:val="center"/>
          </w:tcPr>
          <w:p w14:paraId="11687BC7">
            <w:pPr>
              <w:jc w:val="center"/>
              <w:rPr>
                <w:rFonts w:ascii="Times New Roman" w:hAnsi="Times New Roman"/>
                <w:color w:val="000000"/>
                <w:szCs w:val="21"/>
                <w:lang w:bidi="ar"/>
              </w:rPr>
            </w:pPr>
            <w:r>
              <w:rPr>
                <w:rFonts w:ascii="Times New Roman" w:hAnsi="Times New Roman"/>
                <w:color w:val="000000"/>
                <w:szCs w:val="21"/>
                <w:lang w:bidi="ar"/>
              </w:rPr>
              <w:t>北京中安质环认证中心有限公司</w:t>
            </w:r>
          </w:p>
        </w:tc>
      </w:tr>
    </w:tbl>
    <w:p w14:paraId="10E7F3E3">
      <w:pPr>
        <w:widowControl/>
        <w:adjustRightInd w:val="0"/>
        <w:snapToGrid w:val="0"/>
        <w:spacing w:before="156" w:beforeLines="50" w:line="360" w:lineRule="auto"/>
        <w:ind w:firstLine="480" w:firstLineChars="200"/>
        <w:rPr>
          <w:rFonts w:hint="eastAsia" w:ascii="Times New Roman" w:hAnsi="Times New Roman"/>
          <w:sz w:val="24"/>
        </w:rPr>
      </w:pPr>
      <w:r>
        <w:rPr>
          <w:rFonts w:ascii="Times New Roman" w:hAnsi="Times New Roman"/>
          <w:sz w:val="24"/>
        </w:rPr>
        <w:t>②</w:t>
      </w:r>
      <w:r>
        <w:rPr>
          <w:rFonts w:hint="eastAsia" w:ascii="Times New Roman" w:hAnsi="Times New Roman"/>
          <w:sz w:val="24"/>
        </w:rPr>
        <w:t>新增证书</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7"/>
        <w:gridCol w:w="767"/>
        <w:gridCol w:w="1193"/>
        <w:gridCol w:w="1936"/>
        <w:gridCol w:w="1243"/>
        <w:gridCol w:w="1360"/>
        <w:gridCol w:w="1416"/>
      </w:tblGrid>
      <w:tr w14:paraId="61A03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56" w:type="pct"/>
            <w:noWrap w:val="0"/>
            <w:tcMar>
              <w:top w:w="0" w:type="dxa"/>
              <w:left w:w="108" w:type="dxa"/>
              <w:bottom w:w="0" w:type="dxa"/>
              <w:right w:w="108" w:type="dxa"/>
            </w:tcMar>
            <w:vAlign w:val="center"/>
          </w:tcPr>
          <w:p w14:paraId="558B4573">
            <w:pPr>
              <w:tabs>
                <w:tab w:val="left" w:pos="709"/>
              </w:tabs>
              <w:jc w:val="center"/>
              <w:rPr>
                <w:rFonts w:ascii="Times New Roman" w:hAnsi="Times New Roman"/>
                <w:b/>
                <w:bCs/>
                <w:kern w:val="0"/>
                <w:szCs w:val="21"/>
              </w:rPr>
            </w:pPr>
            <w:r>
              <w:rPr>
                <w:rFonts w:ascii="Times New Roman" w:hAnsi="Times New Roman"/>
                <w:b/>
                <w:bCs/>
                <w:szCs w:val="21"/>
              </w:rPr>
              <w:t>序号</w:t>
            </w:r>
          </w:p>
        </w:tc>
        <w:tc>
          <w:tcPr>
            <w:tcW w:w="450" w:type="pct"/>
            <w:noWrap w:val="0"/>
            <w:tcMar>
              <w:top w:w="0" w:type="dxa"/>
              <w:left w:w="108" w:type="dxa"/>
              <w:bottom w:w="0" w:type="dxa"/>
              <w:right w:w="108" w:type="dxa"/>
            </w:tcMar>
            <w:vAlign w:val="center"/>
          </w:tcPr>
          <w:p w14:paraId="6D375A1F">
            <w:pPr>
              <w:tabs>
                <w:tab w:val="left" w:pos="709"/>
              </w:tabs>
              <w:jc w:val="center"/>
              <w:rPr>
                <w:rFonts w:ascii="Times New Roman" w:hAnsi="Times New Roman"/>
                <w:b/>
                <w:bCs/>
                <w:kern w:val="0"/>
                <w:szCs w:val="21"/>
              </w:rPr>
            </w:pPr>
            <w:r>
              <w:rPr>
                <w:rFonts w:ascii="Times New Roman" w:hAnsi="Times New Roman"/>
                <w:b/>
                <w:bCs/>
                <w:szCs w:val="21"/>
              </w:rPr>
              <w:t>持证主体</w:t>
            </w:r>
          </w:p>
        </w:tc>
        <w:tc>
          <w:tcPr>
            <w:tcW w:w="699" w:type="pct"/>
            <w:noWrap w:val="0"/>
            <w:tcMar>
              <w:top w:w="0" w:type="dxa"/>
              <w:left w:w="108" w:type="dxa"/>
              <w:bottom w:w="0" w:type="dxa"/>
              <w:right w:w="108" w:type="dxa"/>
            </w:tcMar>
            <w:vAlign w:val="center"/>
          </w:tcPr>
          <w:p w14:paraId="0D7B371B">
            <w:pPr>
              <w:tabs>
                <w:tab w:val="left" w:pos="709"/>
              </w:tabs>
              <w:jc w:val="center"/>
              <w:rPr>
                <w:rFonts w:ascii="Times New Roman" w:hAnsi="Times New Roman"/>
                <w:b/>
                <w:bCs/>
                <w:kern w:val="0"/>
                <w:szCs w:val="21"/>
              </w:rPr>
            </w:pPr>
            <w:r>
              <w:rPr>
                <w:rFonts w:ascii="Times New Roman" w:hAnsi="Times New Roman"/>
                <w:b/>
                <w:bCs/>
                <w:szCs w:val="21"/>
              </w:rPr>
              <w:t>证书名称</w:t>
            </w:r>
          </w:p>
        </w:tc>
        <w:tc>
          <w:tcPr>
            <w:tcW w:w="1135" w:type="pct"/>
            <w:noWrap w:val="0"/>
            <w:tcMar>
              <w:top w:w="0" w:type="dxa"/>
              <w:left w:w="108" w:type="dxa"/>
              <w:bottom w:w="0" w:type="dxa"/>
              <w:right w:w="108" w:type="dxa"/>
            </w:tcMar>
            <w:vAlign w:val="center"/>
          </w:tcPr>
          <w:p w14:paraId="4731E152">
            <w:pPr>
              <w:tabs>
                <w:tab w:val="left" w:pos="709"/>
              </w:tabs>
              <w:jc w:val="center"/>
              <w:rPr>
                <w:rFonts w:ascii="Times New Roman" w:hAnsi="Times New Roman"/>
                <w:b/>
                <w:bCs/>
                <w:kern w:val="0"/>
                <w:szCs w:val="21"/>
              </w:rPr>
            </w:pPr>
            <w:r>
              <w:rPr>
                <w:rFonts w:ascii="Times New Roman" w:hAnsi="Times New Roman"/>
                <w:b/>
                <w:bCs/>
                <w:szCs w:val="21"/>
              </w:rPr>
              <w:t>证书编号</w:t>
            </w:r>
          </w:p>
        </w:tc>
        <w:tc>
          <w:tcPr>
            <w:tcW w:w="728" w:type="pct"/>
            <w:noWrap w:val="0"/>
            <w:tcMar>
              <w:top w:w="0" w:type="dxa"/>
              <w:left w:w="108" w:type="dxa"/>
              <w:bottom w:w="0" w:type="dxa"/>
              <w:right w:w="108" w:type="dxa"/>
            </w:tcMar>
            <w:vAlign w:val="center"/>
          </w:tcPr>
          <w:p w14:paraId="538D69F3">
            <w:pPr>
              <w:tabs>
                <w:tab w:val="left" w:pos="709"/>
              </w:tabs>
              <w:jc w:val="center"/>
              <w:rPr>
                <w:rFonts w:ascii="Times New Roman" w:hAnsi="Times New Roman"/>
                <w:b/>
                <w:bCs/>
                <w:kern w:val="0"/>
                <w:szCs w:val="21"/>
              </w:rPr>
            </w:pPr>
            <w:r>
              <w:rPr>
                <w:rFonts w:ascii="Times New Roman" w:hAnsi="Times New Roman"/>
                <w:b/>
                <w:bCs/>
                <w:szCs w:val="21"/>
              </w:rPr>
              <w:t>发证日期</w:t>
            </w:r>
          </w:p>
        </w:tc>
        <w:tc>
          <w:tcPr>
            <w:tcW w:w="797" w:type="pct"/>
            <w:noWrap w:val="0"/>
            <w:tcMar>
              <w:top w:w="0" w:type="dxa"/>
              <w:left w:w="108" w:type="dxa"/>
              <w:bottom w:w="0" w:type="dxa"/>
              <w:right w:w="108" w:type="dxa"/>
            </w:tcMar>
            <w:vAlign w:val="center"/>
          </w:tcPr>
          <w:p w14:paraId="7D00561F">
            <w:pPr>
              <w:tabs>
                <w:tab w:val="left" w:pos="709"/>
              </w:tabs>
              <w:jc w:val="center"/>
              <w:rPr>
                <w:rFonts w:ascii="Times New Roman" w:hAnsi="Times New Roman"/>
                <w:b/>
                <w:bCs/>
                <w:kern w:val="0"/>
                <w:szCs w:val="21"/>
              </w:rPr>
            </w:pPr>
            <w:r>
              <w:rPr>
                <w:rFonts w:ascii="Times New Roman" w:hAnsi="Times New Roman"/>
                <w:b/>
                <w:bCs/>
                <w:szCs w:val="21"/>
              </w:rPr>
              <w:t>有效期限（至）</w:t>
            </w:r>
          </w:p>
        </w:tc>
        <w:tc>
          <w:tcPr>
            <w:tcW w:w="830" w:type="pct"/>
            <w:noWrap w:val="0"/>
            <w:tcMar>
              <w:top w:w="0" w:type="dxa"/>
              <w:left w:w="108" w:type="dxa"/>
              <w:bottom w:w="0" w:type="dxa"/>
              <w:right w:w="108" w:type="dxa"/>
            </w:tcMar>
            <w:vAlign w:val="center"/>
          </w:tcPr>
          <w:p w14:paraId="408314A3">
            <w:pPr>
              <w:tabs>
                <w:tab w:val="left" w:pos="709"/>
              </w:tabs>
              <w:jc w:val="center"/>
              <w:rPr>
                <w:rFonts w:ascii="Times New Roman" w:hAnsi="Times New Roman"/>
                <w:b/>
                <w:bCs/>
                <w:kern w:val="0"/>
                <w:szCs w:val="21"/>
              </w:rPr>
            </w:pPr>
            <w:r>
              <w:rPr>
                <w:rFonts w:ascii="Times New Roman" w:hAnsi="Times New Roman"/>
                <w:b/>
                <w:bCs/>
                <w:szCs w:val="21"/>
              </w:rPr>
              <w:t>发证机关</w:t>
            </w:r>
          </w:p>
        </w:tc>
      </w:tr>
      <w:tr w14:paraId="6B282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6" w:type="pct"/>
            <w:noWrap w:val="0"/>
            <w:tcMar>
              <w:top w:w="0" w:type="dxa"/>
              <w:left w:w="108" w:type="dxa"/>
              <w:bottom w:w="0" w:type="dxa"/>
              <w:right w:w="108" w:type="dxa"/>
            </w:tcMar>
            <w:vAlign w:val="center"/>
          </w:tcPr>
          <w:p w14:paraId="396559B7">
            <w:pPr>
              <w:jc w:val="center"/>
              <w:rPr>
                <w:rFonts w:ascii="Times New Roman" w:hAnsi="Times New Roman"/>
                <w:szCs w:val="21"/>
                <w:lang w:bidi="ar"/>
              </w:rPr>
            </w:pPr>
            <w:r>
              <w:rPr>
                <w:rFonts w:ascii="Times New Roman" w:hAnsi="Times New Roman"/>
                <w:szCs w:val="21"/>
                <w:lang w:bidi="ar"/>
              </w:rPr>
              <w:t>1</w:t>
            </w:r>
          </w:p>
        </w:tc>
        <w:tc>
          <w:tcPr>
            <w:tcW w:w="450" w:type="pct"/>
            <w:noWrap w:val="0"/>
            <w:tcMar>
              <w:top w:w="0" w:type="dxa"/>
              <w:left w:w="108" w:type="dxa"/>
              <w:bottom w:w="0" w:type="dxa"/>
              <w:right w:w="108" w:type="dxa"/>
            </w:tcMar>
            <w:vAlign w:val="center"/>
          </w:tcPr>
          <w:p w14:paraId="602A56F8">
            <w:pPr>
              <w:widowControl/>
              <w:jc w:val="center"/>
              <w:textAlignment w:val="center"/>
              <w:rPr>
                <w:rFonts w:ascii="Times New Roman" w:hAnsi="Times New Roman"/>
                <w:szCs w:val="21"/>
                <w:lang w:bidi="ar"/>
              </w:rPr>
            </w:pPr>
            <w:r>
              <w:rPr>
                <w:rFonts w:hint="eastAsia" w:ascii="宋体" w:hAnsi="宋体" w:cs="宋体"/>
                <w:kern w:val="0"/>
                <w:szCs w:val="21"/>
                <w:lang w:bidi="ar"/>
              </w:rPr>
              <w:t>星云开物</w:t>
            </w:r>
          </w:p>
        </w:tc>
        <w:tc>
          <w:tcPr>
            <w:tcW w:w="699" w:type="pct"/>
            <w:noWrap w:val="0"/>
            <w:tcMar>
              <w:top w:w="0" w:type="dxa"/>
              <w:left w:w="108" w:type="dxa"/>
              <w:bottom w:w="0" w:type="dxa"/>
              <w:right w:w="108" w:type="dxa"/>
            </w:tcMar>
            <w:vAlign w:val="center"/>
          </w:tcPr>
          <w:p w14:paraId="363CD43B">
            <w:pPr>
              <w:widowControl/>
              <w:jc w:val="center"/>
              <w:textAlignment w:val="center"/>
              <w:rPr>
                <w:rFonts w:ascii="Times New Roman" w:hAnsi="Times New Roman"/>
                <w:szCs w:val="21"/>
                <w:lang w:bidi="ar"/>
              </w:rPr>
            </w:pPr>
            <w:r>
              <w:rPr>
                <w:rFonts w:hint="eastAsia" w:ascii="宋体" w:hAnsi="宋体" w:cs="宋体"/>
                <w:kern w:val="0"/>
                <w:szCs w:val="21"/>
                <w:lang w:bidi="ar"/>
              </w:rPr>
              <w:t>质量管理体系认证证书</w:t>
            </w:r>
          </w:p>
        </w:tc>
        <w:tc>
          <w:tcPr>
            <w:tcW w:w="1135" w:type="pct"/>
            <w:noWrap w:val="0"/>
            <w:tcMar>
              <w:top w:w="0" w:type="dxa"/>
              <w:left w:w="108" w:type="dxa"/>
              <w:bottom w:w="0" w:type="dxa"/>
              <w:right w:w="108" w:type="dxa"/>
            </w:tcMar>
            <w:vAlign w:val="center"/>
          </w:tcPr>
          <w:p w14:paraId="782F892D">
            <w:pPr>
              <w:widowControl/>
              <w:jc w:val="center"/>
              <w:rPr>
                <w:rFonts w:hint="eastAsia" w:ascii="Times New Roman" w:hAnsi="Times New Roman"/>
                <w:szCs w:val="21"/>
                <w:lang w:bidi="ar"/>
              </w:rPr>
            </w:pPr>
            <w:r>
              <w:rPr>
                <w:rFonts w:ascii="Times New Roman" w:hAnsi="Times New Roman"/>
                <w:szCs w:val="21"/>
                <w:lang w:bidi="ar"/>
              </w:rPr>
              <w:t>02826Q00310R001</w:t>
            </w:r>
          </w:p>
        </w:tc>
        <w:tc>
          <w:tcPr>
            <w:tcW w:w="728" w:type="pct"/>
            <w:noWrap w:val="0"/>
            <w:tcMar>
              <w:top w:w="0" w:type="dxa"/>
              <w:left w:w="108" w:type="dxa"/>
              <w:bottom w:w="0" w:type="dxa"/>
              <w:right w:w="108" w:type="dxa"/>
            </w:tcMar>
            <w:vAlign w:val="center"/>
          </w:tcPr>
          <w:p w14:paraId="7AC655E1">
            <w:pPr>
              <w:widowControl/>
              <w:jc w:val="center"/>
              <w:rPr>
                <w:rFonts w:ascii="Times New Roman" w:hAnsi="Times New Roman"/>
                <w:szCs w:val="21"/>
                <w:lang w:bidi="ar"/>
              </w:rPr>
            </w:pPr>
            <w:r>
              <w:rPr>
                <w:rFonts w:ascii="Times New Roman" w:hAnsi="Times New Roman"/>
                <w:szCs w:val="21"/>
                <w:lang w:bidi="ar"/>
              </w:rPr>
              <w:t>2026.01.30</w:t>
            </w:r>
          </w:p>
        </w:tc>
        <w:tc>
          <w:tcPr>
            <w:tcW w:w="797" w:type="pct"/>
            <w:noWrap w:val="0"/>
            <w:tcMar>
              <w:top w:w="0" w:type="dxa"/>
              <w:left w:w="108" w:type="dxa"/>
              <w:bottom w:w="0" w:type="dxa"/>
              <w:right w:w="108" w:type="dxa"/>
            </w:tcMar>
            <w:vAlign w:val="center"/>
          </w:tcPr>
          <w:p w14:paraId="44698191">
            <w:pPr>
              <w:widowControl/>
              <w:jc w:val="center"/>
              <w:rPr>
                <w:rFonts w:ascii="Times New Roman" w:hAnsi="Times New Roman"/>
                <w:szCs w:val="21"/>
                <w:lang w:bidi="ar"/>
              </w:rPr>
            </w:pPr>
            <w:r>
              <w:rPr>
                <w:rFonts w:ascii="Times New Roman" w:hAnsi="Times New Roman"/>
                <w:szCs w:val="21"/>
                <w:lang w:bidi="ar"/>
              </w:rPr>
              <w:t>2029.01.29</w:t>
            </w:r>
          </w:p>
        </w:tc>
        <w:tc>
          <w:tcPr>
            <w:tcW w:w="830" w:type="pct"/>
            <w:noWrap w:val="0"/>
            <w:tcMar>
              <w:top w:w="0" w:type="dxa"/>
              <w:left w:w="108" w:type="dxa"/>
              <w:bottom w:w="0" w:type="dxa"/>
              <w:right w:w="108" w:type="dxa"/>
            </w:tcMar>
            <w:vAlign w:val="center"/>
          </w:tcPr>
          <w:p w14:paraId="0E5124F2">
            <w:pPr>
              <w:widowControl/>
              <w:jc w:val="center"/>
              <w:textAlignment w:val="center"/>
              <w:rPr>
                <w:rFonts w:ascii="Times New Roman" w:hAnsi="Times New Roman"/>
                <w:szCs w:val="21"/>
                <w:lang w:bidi="ar"/>
              </w:rPr>
            </w:pPr>
            <w:r>
              <w:rPr>
                <w:rFonts w:hint="eastAsia" w:ascii="宋体" w:hAnsi="宋体" w:cs="宋体"/>
                <w:kern w:val="0"/>
                <w:szCs w:val="21"/>
                <w:lang w:bidi="ar"/>
              </w:rPr>
              <w:t>北京中安质环认证中心有限公司</w:t>
            </w:r>
          </w:p>
        </w:tc>
      </w:tr>
    </w:tbl>
    <w:p w14:paraId="3F0ABF58">
      <w:pPr>
        <w:pStyle w:val="39"/>
        <w:adjustRightInd w:val="0"/>
        <w:snapToGrid w:val="0"/>
        <w:spacing w:before="156" w:beforeLines="50" w:after="156" w:afterLines="50"/>
        <w:ind w:firstLine="480"/>
        <w:rPr>
          <w:color w:val="000000"/>
          <w:kern w:val="0"/>
          <w:szCs w:val="24"/>
        </w:rPr>
      </w:pPr>
      <w:r>
        <w:rPr>
          <w:rFonts w:hint="eastAsia"/>
          <w:color w:val="000000"/>
          <w:kern w:val="0"/>
          <w:szCs w:val="24"/>
        </w:rPr>
        <w:t>（2）其他主要资质证书变动情况</w:t>
      </w:r>
    </w:p>
    <w:p w14:paraId="1616DBFE">
      <w:pPr>
        <w:widowControl/>
        <w:adjustRightInd w:val="0"/>
        <w:snapToGrid w:val="0"/>
        <w:spacing w:before="156" w:beforeLines="50" w:line="360" w:lineRule="auto"/>
        <w:ind w:firstLine="480" w:firstLineChars="200"/>
        <w:rPr>
          <w:rFonts w:ascii="Times New Roman" w:hAnsi="Times New Roman"/>
          <w:color w:val="000000"/>
          <w:kern w:val="0"/>
          <w:sz w:val="24"/>
        </w:rPr>
      </w:pPr>
      <w:r>
        <w:rPr>
          <w:rFonts w:hint="eastAsia" w:ascii="Times New Roman" w:hAnsi="Times New Roman"/>
          <w:color w:val="000000"/>
          <w:kern w:val="0"/>
          <w:sz w:val="24"/>
        </w:rPr>
        <w:t>星云开物及子公司广州宝点因原高新技术企业证书期限届满，其通过高新技术企业复审并取得新的高新技术企业证书，另星云开物子公司广州宝点新取得信息系统安全等级保护备案证明（三级），具体情况如下：</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7"/>
        <w:gridCol w:w="767"/>
        <w:gridCol w:w="1193"/>
        <w:gridCol w:w="1936"/>
        <w:gridCol w:w="1243"/>
        <w:gridCol w:w="1360"/>
        <w:gridCol w:w="1416"/>
      </w:tblGrid>
      <w:tr w14:paraId="1FA0E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56" w:type="pct"/>
            <w:noWrap w:val="0"/>
            <w:tcMar>
              <w:top w:w="0" w:type="dxa"/>
              <w:left w:w="108" w:type="dxa"/>
              <w:bottom w:w="0" w:type="dxa"/>
              <w:right w:w="108" w:type="dxa"/>
            </w:tcMar>
            <w:vAlign w:val="center"/>
          </w:tcPr>
          <w:p w14:paraId="189D3CFD">
            <w:pPr>
              <w:tabs>
                <w:tab w:val="left" w:pos="709"/>
              </w:tabs>
              <w:jc w:val="center"/>
              <w:rPr>
                <w:rFonts w:ascii="Times New Roman" w:hAnsi="Times New Roman"/>
                <w:b/>
                <w:bCs/>
                <w:kern w:val="0"/>
                <w:szCs w:val="21"/>
              </w:rPr>
            </w:pPr>
            <w:r>
              <w:rPr>
                <w:rFonts w:ascii="Times New Roman" w:hAnsi="Times New Roman"/>
                <w:b/>
                <w:bCs/>
                <w:szCs w:val="21"/>
              </w:rPr>
              <w:t>序号</w:t>
            </w:r>
          </w:p>
        </w:tc>
        <w:tc>
          <w:tcPr>
            <w:tcW w:w="450" w:type="pct"/>
            <w:noWrap w:val="0"/>
            <w:tcMar>
              <w:top w:w="0" w:type="dxa"/>
              <w:left w:w="108" w:type="dxa"/>
              <w:bottom w:w="0" w:type="dxa"/>
              <w:right w:w="108" w:type="dxa"/>
            </w:tcMar>
            <w:vAlign w:val="center"/>
          </w:tcPr>
          <w:p w14:paraId="62DE65B4">
            <w:pPr>
              <w:tabs>
                <w:tab w:val="left" w:pos="709"/>
              </w:tabs>
              <w:jc w:val="center"/>
              <w:rPr>
                <w:rFonts w:ascii="Times New Roman" w:hAnsi="Times New Roman"/>
                <w:b/>
                <w:bCs/>
                <w:kern w:val="0"/>
                <w:szCs w:val="21"/>
              </w:rPr>
            </w:pPr>
            <w:r>
              <w:rPr>
                <w:rFonts w:ascii="Times New Roman" w:hAnsi="Times New Roman"/>
                <w:b/>
                <w:bCs/>
                <w:szCs w:val="21"/>
              </w:rPr>
              <w:t>持证主体</w:t>
            </w:r>
          </w:p>
        </w:tc>
        <w:tc>
          <w:tcPr>
            <w:tcW w:w="699" w:type="pct"/>
            <w:noWrap w:val="0"/>
            <w:tcMar>
              <w:top w:w="0" w:type="dxa"/>
              <w:left w:w="108" w:type="dxa"/>
              <w:bottom w:w="0" w:type="dxa"/>
              <w:right w:w="108" w:type="dxa"/>
            </w:tcMar>
            <w:vAlign w:val="center"/>
          </w:tcPr>
          <w:p w14:paraId="29CE7D66">
            <w:pPr>
              <w:tabs>
                <w:tab w:val="left" w:pos="709"/>
              </w:tabs>
              <w:jc w:val="center"/>
              <w:rPr>
                <w:rFonts w:ascii="Times New Roman" w:hAnsi="Times New Roman"/>
                <w:b/>
                <w:bCs/>
                <w:kern w:val="0"/>
                <w:szCs w:val="21"/>
              </w:rPr>
            </w:pPr>
            <w:r>
              <w:rPr>
                <w:rFonts w:ascii="Times New Roman" w:hAnsi="Times New Roman"/>
                <w:b/>
                <w:bCs/>
                <w:szCs w:val="21"/>
              </w:rPr>
              <w:t>证书名称</w:t>
            </w:r>
          </w:p>
        </w:tc>
        <w:tc>
          <w:tcPr>
            <w:tcW w:w="1135" w:type="pct"/>
            <w:noWrap w:val="0"/>
            <w:tcMar>
              <w:top w:w="0" w:type="dxa"/>
              <w:left w:w="108" w:type="dxa"/>
              <w:bottom w:w="0" w:type="dxa"/>
              <w:right w:w="108" w:type="dxa"/>
            </w:tcMar>
            <w:vAlign w:val="center"/>
          </w:tcPr>
          <w:p w14:paraId="2AB570F1">
            <w:pPr>
              <w:tabs>
                <w:tab w:val="left" w:pos="709"/>
              </w:tabs>
              <w:jc w:val="center"/>
              <w:rPr>
                <w:rFonts w:ascii="Times New Roman" w:hAnsi="Times New Roman"/>
                <w:b/>
                <w:bCs/>
                <w:kern w:val="0"/>
                <w:szCs w:val="21"/>
              </w:rPr>
            </w:pPr>
            <w:r>
              <w:rPr>
                <w:rFonts w:ascii="Times New Roman" w:hAnsi="Times New Roman"/>
                <w:b/>
                <w:bCs/>
                <w:szCs w:val="21"/>
              </w:rPr>
              <w:t>证书编号</w:t>
            </w:r>
          </w:p>
        </w:tc>
        <w:tc>
          <w:tcPr>
            <w:tcW w:w="728" w:type="pct"/>
            <w:noWrap w:val="0"/>
            <w:tcMar>
              <w:top w:w="0" w:type="dxa"/>
              <w:left w:w="108" w:type="dxa"/>
              <w:bottom w:w="0" w:type="dxa"/>
              <w:right w:w="108" w:type="dxa"/>
            </w:tcMar>
            <w:vAlign w:val="center"/>
          </w:tcPr>
          <w:p w14:paraId="6D68FEE6">
            <w:pPr>
              <w:tabs>
                <w:tab w:val="left" w:pos="709"/>
              </w:tabs>
              <w:jc w:val="center"/>
              <w:rPr>
                <w:rFonts w:ascii="Times New Roman" w:hAnsi="Times New Roman"/>
                <w:b/>
                <w:bCs/>
                <w:kern w:val="0"/>
                <w:szCs w:val="21"/>
              </w:rPr>
            </w:pPr>
            <w:r>
              <w:rPr>
                <w:rFonts w:ascii="Times New Roman" w:hAnsi="Times New Roman"/>
                <w:b/>
                <w:bCs/>
                <w:szCs w:val="21"/>
              </w:rPr>
              <w:t>发证日期</w:t>
            </w:r>
          </w:p>
        </w:tc>
        <w:tc>
          <w:tcPr>
            <w:tcW w:w="797" w:type="pct"/>
            <w:noWrap w:val="0"/>
            <w:tcMar>
              <w:top w:w="0" w:type="dxa"/>
              <w:left w:w="108" w:type="dxa"/>
              <w:bottom w:w="0" w:type="dxa"/>
              <w:right w:w="108" w:type="dxa"/>
            </w:tcMar>
            <w:vAlign w:val="center"/>
          </w:tcPr>
          <w:p w14:paraId="6D11167C">
            <w:pPr>
              <w:tabs>
                <w:tab w:val="left" w:pos="709"/>
              </w:tabs>
              <w:jc w:val="center"/>
              <w:rPr>
                <w:rFonts w:ascii="Times New Roman" w:hAnsi="Times New Roman"/>
                <w:b/>
                <w:bCs/>
                <w:kern w:val="0"/>
                <w:szCs w:val="21"/>
              </w:rPr>
            </w:pPr>
            <w:r>
              <w:rPr>
                <w:rFonts w:ascii="Times New Roman" w:hAnsi="Times New Roman"/>
                <w:b/>
                <w:bCs/>
                <w:szCs w:val="21"/>
              </w:rPr>
              <w:t>有效期限（至）</w:t>
            </w:r>
          </w:p>
        </w:tc>
        <w:tc>
          <w:tcPr>
            <w:tcW w:w="830" w:type="pct"/>
            <w:noWrap w:val="0"/>
            <w:tcMar>
              <w:top w:w="0" w:type="dxa"/>
              <w:left w:w="108" w:type="dxa"/>
              <w:bottom w:w="0" w:type="dxa"/>
              <w:right w:w="108" w:type="dxa"/>
            </w:tcMar>
            <w:vAlign w:val="center"/>
          </w:tcPr>
          <w:p w14:paraId="24B0ECB0">
            <w:pPr>
              <w:tabs>
                <w:tab w:val="left" w:pos="709"/>
              </w:tabs>
              <w:jc w:val="center"/>
              <w:rPr>
                <w:rFonts w:ascii="Times New Roman" w:hAnsi="Times New Roman"/>
                <w:b/>
                <w:bCs/>
                <w:kern w:val="0"/>
                <w:szCs w:val="21"/>
              </w:rPr>
            </w:pPr>
            <w:r>
              <w:rPr>
                <w:rFonts w:ascii="Times New Roman" w:hAnsi="Times New Roman"/>
                <w:b/>
                <w:bCs/>
                <w:szCs w:val="21"/>
              </w:rPr>
              <w:t>发证机关</w:t>
            </w:r>
          </w:p>
        </w:tc>
      </w:tr>
      <w:tr w14:paraId="71DDD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6" w:type="pct"/>
            <w:noWrap w:val="0"/>
            <w:tcMar>
              <w:top w:w="0" w:type="dxa"/>
              <w:left w:w="108" w:type="dxa"/>
              <w:bottom w:w="0" w:type="dxa"/>
              <w:right w:w="108" w:type="dxa"/>
            </w:tcMar>
            <w:vAlign w:val="center"/>
          </w:tcPr>
          <w:p w14:paraId="587E26D6">
            <w:pPr>
              <w:jc w:val="center"/>
              <w:rPr>
                <w:rFonts w:ascii="Times New Roman" w:hAnsi="Times New Roman"/>
                <w:szCs w:val="21"/>
                <w:lang w:bidi="ar"/>
              </w:rPr>
            </w:pPr>
            <w:r>
              <w:rPr>
                <w:rFonts w:ascii="Times New Roman" w:hAnsi="Times New Roman"/>
                <w:szCs w:val="21"/>
                <w:lang w:bidi="ar"/>
              </w:rPr>
              <w:t>1</w:t>
            </w:r>
          </w:p>
        </w:tc>
        <w:tc>
          <w:tcPr>
            <w:tcW w:w="450" w:type="pct"/>
            <w:noWrap w:val="0"/>
            <w:tcMar>
              <w:top w:w="0" w:type="dxa"/>
              <w:left w:w="108" w:type="dxa"/>
              <w:bottom w:w="0" w:type="dxa"/>
              <w:right w:w="108" w:type="dxa"/>
            </w:tcMar>
            <w:vAlign w:val="center"/>
          </w:tcPr>
          <w:p w14:paraId="763E4656">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星云开物</w:t>
            </w:r>
          </w:p>
        </w:tc>
        <w:tc>
          <w:tcPr>
            <w:tcW w:w="699" w:type="pct"/>
            <w:noWrap w:val="0"/>
            <w:tcMar>
              <w:top w:w="0" w:type="dxa"/>
              <w:left w:w="108" w:type="dxa"/>
              <w:bottom w:w="0" w:type="dxa"/>
              <w:right w:w="108" w:type="dxa"/>
            </w:tcMar>
            <w:vAlign w:val="center"/>
          </w:tcPr>
          <w:p w14:paraId="2331FE22">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高新技术企业证书</w:t>
            </w:r>
          </w:p>
        </w:tc>
        <w:tc>
          <w:tcPr>
            <w:tcW w:w="1135" w:type="pct"/>
            <w:noWrap w:val="0"/>
            <w:tcMar>
              <w:top w:w="0" w:type="dxa"/>
              <w:left w:w="108" w:type="dxa"/>
              <w:bottom w:w="0" w:type="dxa"/>
              <w:right w:w="108" w:type="dxa"/>
            </w:tcMar>
            <w:vAlign w:val="center"/>
          </w:tcPr>
          <w:p w14:paraId="5A40B9FF">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GR202544009330</w:t>
            </w:r>
          </w:p>
        </w:tc>
        <w:tc>
          <w:tcPr>
            <w:tcW w:w="728" w:type="pct"/>
            <w:noWrap w:val="0"/>
            <w:tcMar>
              <w:top w:w="0" w:type="dxa"/>
              <w:left w:w="108" w:type="dxa"/>
              <w:bottom w:w="0" w:type="dxa"/>
              <w:right w:w="108" w:type="dxa"/>
            </w:tcMar>
            <w:vAlign w:val="center"/>
          </w:tcPr>
          <w:p w14:paraId="253922AE">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2025.12.19</w:t>
            </w:r>
          </w:p>
        </w:tc>
        <w:tc>
          <w:tcPr>
            <w:tcW w:w="797" w:type="pct"/>
            <w:noWrap w:val="0"/>
            <w:tcMar>
              <w:top w:w="0" w:type="dxa"/>
              <w:left w:w="108" w:type="dxa"/>
              <w:bottom w:w="0" w:type="dxa"/>
              <w:right w:w="108" w:type="dxa"/>
            </w:tcMar>
            <w:vAlign w:val="center"/>
          </w:tcPr>
          <w:p w14:paraId="345116BD">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2028.12.18</w:t>
            </w:r>
          </w:p>
        </w:tc>
        <w:tc>
          <w:tcPr>
            <w:tcW w:w="830" w:type="pct"/>
            <w:noWrap w:val="0"/>
            <w:tcMar>
              <w:top w:w="0" w:type="dxa"/>
              <w:left w:w="108" w:type="dxa"/>
              <w:bottom w:w="0" w:type="dxa"/>
              <w:right w:w="108" w:type="dxa"/>
            </w:tcMar>
            <w:vAlign w:val="center"/>
          </w:tcPr>
          <w:p w14:paraId="16F5E76D">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广东省科学技术厅、广东省财政厅、国家税务总局广东省税务局</w:t>
            </w:r>
          </w:p>
        </w:tc>
      </w:tr>
      <w:tr w14:paraId="696A5D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6" w:type="pct"/>
            <w:noWrap w:val="0"/>
            <w:tcMar>
              <w:top w:w="0" w:type="dxa"/>
              <w:left w:w="108" w:type="dxa"/>
              <w:bottom w:w="0" w:type="dxa"/>
              <w:right w:w="108" w:type="dxa"/>
            </w:tcMar>
            <w:vAlign w:val="center"/>
          </w:tcPr>
          <w:p w14:paraId="4383EA6C">
            <w:pPr>
              <w:jc w:val="center"/>
              <w:rPr>
                <w:rFonts w:hint="eastAsia" w:ascii="Times New Roman" w:hAnsi="Times New Roman"/>
                <w:szCs w:val="21"/>
                <w:lang w:bidi="ar"/>
              </w:rPr>
            </w:pPr>
            <w:r>
              <w:rPr>
                <w:rFonts w:hint="eastAsia" w:ascii="Times New Roman" w:hAnsi="Times New Roman"/>
                <w:szCs w:val="21"/>
                <w:lang w:bidi="ar"/>
              </w:rPr>
              <w:t>2</w:t>
            </w:r>
          </w:p>
        </w:tc>
        <w:tc>
          <w:tcPr>
            <w:tcW w:w="450" w:type="pct"/>
            <w:noWrap w:val="0"/>
            <w:tcMar>
              <w:top w:w="0" w:type="dxa"/>
              <w:left w:w="108" w:type="dxa"/>
              <w:bottom w:w="0" w:type="dxa"/>
              <w:right w:w="108" w:type="dxa"/>
            </w:tcMar>
            <w:vAlign w:val="center"/>
          </w:tcPr>
          <w:p w14:paraId="073B1F69">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广州宝点</w:t>
            </w:r>
          </w:p>
        </w:tc>
        <w:tc>
          <w:tcPr>
            <w:tcW w:w="699" w:type="pct"/>
            <w:noWrap w:val="0"/>
            <w:tcMar>
              <w:top w:w="0" w:type="dxa"/>
              <w:left w:w="108" w:type="dxa"/>
              <w:bottom w:w="0" w:type="dxa"/>
              <w:right w:w="108" w:type="dxa"/>
            </w:tcMar>
            <w:vAlign w:val="center"/>
          </w:tcPr>
          <w:p w14:paraId="47BA1EAC">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高新技术企业证书</w:t>
            </w:r>
          </w:p>
        </w:tc>
        <w:tc>
          <w:tcPr>
            <w:tcW w:w="1135" w:type="pct"/>
            <w:noWrap w:val="0"/>
            <w:tcMar>
              <w:top w:w="0" w:type="dxa"/>
              <w:left w:w="108" w:type="dxa"/>
              <w:bottom w:w="0" w:type="dxa"/>
              <w:right w:w="108" w:type="dxa"/>
            </w:tcMar>
            <w:vAlign w:val="center"/>
          </w:tcPr>
          <w:p w14:paraId="077FC68C">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GR202544005156</w:t>
            </w:r>
          </w:p>
        </w:tc>
        <w:tc>
          <w:tcPr>
            <w:tcW w:w="728" w:type="pct"/>
            <w:noWrap w:val="0"/>
            <w:tcMar>
              <w:top w:w="0" w:type="dxa"/>
              <w:left w:w="108" w:type="dxa"/>
              <w:bottom w:w="0" w:type="dxa"/>
              <w:right w:w="108" w:type="dxa"/>
            </w:tcMar>
            <w:vAlign w:val="center"/>
          </w:tcPr>
          <w:p w14:paraId="0D67DA8F">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2025.12.19</w:t>
            </w:r>
          </w:p>
        </w:tc>
        <w:tc>
          <w:tcPr>
            <w:tcW w:w="797" w:type="pct"/>
            <w:noWrap w:val="0"/>
            <w:tcMar>
              <w:top w:w="0" w:type="dxa"/>
              <w:left w:w="108" w:type="dxa"/>
              <w:bottom w:w="0" w:type="dxa"/>
              <w:right w:w="108" w:type="dxa"/>
            </w:tcMar>
            <w:vAlign w:val="center"/>
          </w:tcPr>
          <w:p w14:paraId="64694622">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2028.12.18</w:t>
            </w:r>
          </w:p>
        </w:tc>
        <w:tc>
          <w:tcPr>
            <w:tcW w:w="830" w:type="pct"/>
            <w:noWrap w:val="0"/>
            <w:tcMar>
              <w:top w:w="0" w:type="dxa"/>
              <w:left w:w="108" w:type="dxa"/>
              <w:bottom w:w="0" w:type="dxa"/>
              <w:right w:w="108" w:type="dxa"/>
            </w:tcMar>
            <w:vAlign w:val="center"/>
          </w:tcPr>
          <w:p w14:paraId="502D6582">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广东省科学技术厅、广东省财政厅、国家税务总局广东省税务局</w:t>
            </w:r>
          </w:p>
        </w:tc>
      </w:tr>
      <w:tr w14:paraId="20A89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6" w:type="pct"/>
            <w:noWrap w:val="0"/>
            <w:tcMar>
              <w:top w:w="0" w:type="dxa"/>
              <w:left w:w="108" w:type="dxa"/>
              <w:bottom w:w="0" w:type="dxa"/>
              <w:right w:w="108" w:type="dxa"/>
            </w:tcMar>
            <w:vAlign w:val="center"/>
          </w:tcPr>
          <w:p w14:paraId="6A485DA4">
            <w:pPr>
              <w:jc w:val="center"/>
              <w:rPr>
                <w:rFonts w:hint="eastAsia" w:ascii="Times New Roman" w:hAnsi="Times New Roman"/>
                <w:szCs w:val="21"/>
                <w:lang w:bidi="ar"/>
              </w:rPr>
            </w:pPr>
            <w:r>
              <w:rPr>
                <w:rFonts w:hint="eastAsia" w:ascii="Times New Roman" w:hAnsi="Times New Roman"/>
                <w:szCs w:val="21"/>
                <w:lang w:bidi="ar"/>
              </w:rPr>
              <w:t>3</w:t>
            </w:r>
          </w:p>
        </w:tc>
        <w:tc>
          <w:tcPr>
            <w:tcW w:w="450" w:type="pct"/>
            <w:noWrap w:val="0"/>
            <w:tcMar>
              <w:top w:w="0" w:type="dxa"/>
              <w:left w:w="108" w:type="dxa"/>
              <w:bottom w:w="0" w:type="dxa"/>
              <w:right w:w="108" w:type="dxa"/>
            </w:tcMar>
            <w:vAlign w:val="center"/>
          </w:tcPr>
          <w:p w14:paraId="36FEB6EC">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广州宝点</w:t>
            </w:r>
          </w:p>
        </w:tc>
        <w:tc>
          <w:tcPr>
            <w:tcW w:w="699" w:type="pct"/>
            <w:noWrap w:val="0"/>
            <w:tcMar>
              <w:top w:w="0" w:type="dxa"/>
              <w:left w:w="108" w:type="dxa"/>
              <w:bottom w:w="0" w:type="dxa"/>
              <w:right w:w="108" w:type="dxa"/>
            </w:tcMar>
            <w:vAlign w:val="center"/>
          </w:tcPr>
          <w:p w14:paraId="2FA1AE81">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信息系统安全等级保护备案证明（三级）</w:t>
            </w:r>
          </w:p>
        </w:tc>
        <w:tc>
          <w:tcPr>
            <w:tcW w:w="1135" w:type="pct"/>
            <w:noWrap w:val="0"/>
            <w:tcMar>
              <w:top w:w="0" w:type="dxa"/>
              <w:left w:w="108" w:type="dxa"/>
              <w:bottom w:w="0" w:type="dxa"/>
              <w:right w:w="108" w:type="dxa"/>
            </w:tcMar>
            <w:vAlign w:val="center"/>
          </w:tcPr>
          <w:p w14:paraId="01D1B6C9">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4401139900200115</w:t>
            </w:r>
          </w:p>
        </w:tc>
        <w:tc>
          <w:tcPr>
            <w:tcW w:w="728" w:type="pct"/>
            <w:noWrap w:val="0"/>
            <w:tcMar>
              <w:top w:w="0" w:type="dxa"/>
              <w:left w:w="108" w:type="dxa"/>
              <w:bottom w:w="0" w:type="dxa"/>
              <w:right w:w="108" w:type="dxa"/>
            </w:tcMar>
            <w:vAlign w:val="center"/>
          </w:tcPr>
          <w:p w14:paraId="4FD2B473">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2026.01.14</w:t>
            </w:r>
          </w:p>
        </w:tc>
        <w:tc>
          <w:tcPr>
            <w:tcW w:w="797" w:type="pct"/>
            <w:noWrap w:val="0"/>
            <w:tcMar>
              <w:top w:w="0" w:type="dxa"/>
              <w:left w:w="108" w:type="dxa"/>
              <w:bottom w:w="0" w:type="dxa"/>
              <w:right w:w="108" w:type="dxa"/>
            </w:tcMar>
            <w:vAlign w:val="center"/>
          </w:tcPr>
          <w:p w14:paraId="3F5B2F66">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长期有效</w:t>
            </w:r>
          </w:p>
        </w:tc>
        <w:tc>
          <w:tcPr>
            <w:tcW w:w="830" w:type="pct"/>
            <w:noWrap w:val="0"/>
            <w:tcMar>
              <w:top w:w="0" w:type="dxa"/>
              <w:left w:w="108" w:type="dxa"/>
              <w:bottom w:w="0" w:type="dxa"/>
              <w:right w:w="108" w:type="dxa"/>
            </w:tcMar>
            <w:vAlign w:val="center"/>
          </w:tcPr>
          <w:p w14:paraId="276079A1">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广州市公安局</w:t>
            </w:r>
          </w:p>
        </w:tc>
      </w:tr>
    </w:tbl>
    <w:p w14:paraId="5E870115">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4、</w:t>
      </w:r>
      <w:r>
        <w:rPr>
          <w:rFonts w:ascii="Times New Roman" w:hAnsi="Times New Roman"/>
          <w:b/>
          <w:bCs/>
          <w:sz w:val="24"/>
        </w:rPr>
        <w:t>业务合规性</w:t>
      </w:r>
    </w:p>
    <w:p w14:paraId="771B1E68">
      <w:pPr>
        <w:pStyle w:val="39"/>
        <w:adjustRightInd w:val="0"/>
        <w:snapToGrid w:val="0"/>
        <w:spacing w:before="156" w:beforeLines="50" w:after="156" w:afterLines="50"/>
        <w:ind w:firstLine="480"/>
        <w:rPr>
          <w:color w:val="000000"/>
          <w:kern w:val="0"/>
          <w:szCs w:val="24"/>
        </w:rPr>
      </w:pPr>
      <w:r>
        <w:rPr>
          <w:color w:val="000000"/>
          <w:kern w:val="0"/>
          <w:szCs w:val="24"/>
        </w:rPr>
        <w:t>本所律师已在《法律意见书》中披露了</w:t>
      </w:r>
      <w:r>
        <w:rPr>
          <w:rFonts w:hint="eastAsia"/>
          <w:color w:val="000000"/>
          <w:kern w:val="0"/>
          <w:szCs w:val="24"/>
        </w:rPr>
        <w:t>星云开物及其子公司</w:t>
      </w:r>
      <w:r>
        <w:rPr>
          <w:rFonts w:hint="eastAsia"/>
        </w:rPr>
        <w:t>业务合规</w:t>
      </w:r>
      <w:r>
        <w:rPr>
          <w:color w:val="000000"/>
          <w:kern w:val="0"/>
          <w:szCs w:val="24"/>
        </w:rPr>
        <w:t>情况。</w:t>
      </w:r>
      <w:r>
        <w:rPr>
          <w:szCs w:val="24"/>
        </w:rPr>
        <w:t>经核查，截至本补充法律意见书出具日，</w:t>
      </w:r>
      <w:r>
        <w:rPr>
          <w:kern w:val="0"/>
        </w:rPr>
        <w:t>星云开物及子公司的主营业务、经营范围和经营方式符合法律法规、规范性文件和各自公司章程的规定，且</w:t>
      </w:r>
      <w:r>
        <w:rPr>
          <w:rFonts w:hint="eastAsia"/>
          <w:kern w:val="0"/>
        </w:rPr>
        <w:t>补充期间</w:t>
      </w:r>
      <w:r>
        <w:rPr>
          <w:kern w:val="0"/>
        </w:rPr>
        <w:t>星云开物及其子公司未受到任何行政处罚</w:t>
      </w:r>
      <w:r>
        <w:rPr>
          <w:szCs w:val="24"/>
        </w:rPr>
        <w:t>。</w:t>
      </w:r>
    </w:p>
    <w:p w14:paraId="0A7577E0">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5、2025年度的</w:t>
      </w:r>
      <w:r>
        <w:rPr>
          <w:rFonts w:ascii="Times New Roman" w:hAnsi="Times New Roman"/>
          <w:b/>
          <w:bCs/>
          <w:sz w:val="24"/>
        </w:rPr>
        <w:t>主要客户及供应商</w:t>
      </w:r>
    </w:p>
    <w:p w14:paraId="4E508CA0">
      <w:pPr>
        <w:pStyle w:val="39"/>
        <w:adjustRightInd w:val="0"/>
        <w:snapToGrid w:val="0"/>
        <w:spacing w:before="156" w:beforeLines="50" w:after="156" w:afterLines="50"/>
        <w:ind w:firstLine="480"/>
        <w:rPr>
          <w:rFonts w:hint="eastAsia"/>
          <w:szCs w:val="24"/>
        </w:rPr>
      </w:pPr>
      <w:r>
        <w:rPr>
          <w:color w:val="000000"/>
          <w:kern w:val="0"/>
          <w:szCs w:val="24"/>
        </w:rPr>
        <w:t>本所律师已在《法律意见书》中披露了</w:t>
      </w:r>
      <w:r>
        <w:rPr>
          <w:rFonts w:hint="eastAsia"/>
          <w:color w:val="000000"/>
          <w:kern w:val="0"/>
          <w:szCs w:val="24"/>
        </w:rPr>
        <w:t>星云开物2023年度、2024年度、2025年1-6月的主要客户及供应商</w:t>
      </w:r>
      <w:r>
        <w:rPr>
          <w:color w:val="000000"/>
          <w:kern w:val="0"/>
          <w:szCs w:val="24"/>
        </w:rPr>
        <w:t>。</w:t>
      </w:r>
      <w:r>
        <w:rPr>
          <w:szCs w:val="24"/>
        </w:rPr>
        <w:t>经核查，</w:t>
      </w:r>
      <w:r>
        <w:rPr>
          <w:rFonts w:hint="eastAsia"/>
          <w:szCs w:val="24"/>
        </w:rPr>
        <w:t>标的公司2025年的主要客户及供应商情况如下：</w:t>
      </w:r>
    </w:p>
    <w:p w14:paraId="59D73962">
      <w:pPr>
        <w:pStyle w:val="39"/>
        <w:numPr>
          <w:ilvl w:val="0"/>
          <w:numId w:val="2"/>
        </w:numPr>
        <w:adjustRightInd w:val="0"/>
        <w:snapToGrid w:val="0"/>
        <w:spacing w:before="156" w:beforeLines="50" w:after="156" w:afterLines="50"/>
        <w:ind w:firstLine="480"/>
        <w:rPr>
          <w:rFonts w:hint="eastAsia"/>
          <w:szCs w:val="24"/>
        </w:rPr>
      </w:pPr>
      <w:r>
        <w:rPr>
          <w:rFonts w:hint="eastAsia"/>
          <w:szCs w:val="24"/>
        </w:rPr>
        <w:t>主要客户</w:t>
      </w:r>
    </w:p>
    <w:p w14:paraId="04348C02">
      <w:pPr>
        <w:pStyle w:val="39"/>
        <w:adjustRightInd w:val="0"/>
        <w:snapToGrid w:val="0"/>
        <w:spacing w:before="156" w:beforeLines="50" w:after="156" w:afterLines="50"/>
        <w:ind w:left="420" w:leftChars="200" w:firstLine="0" w:firstLineChars="0"/>
        <w:rPr>
          <w:rFonts w:hint="eastAsia"/>
          <w:szCs w:val="24"/>
        </w:rPr>
      </w:pPr>
      <w:r>
        <w:rPr>
          <w:rFonts w:hint="eastAsia"/>
          <w:szCs w:val="24"/>
        </w:rPr>
        <w:t>2025年度，标的公司向前五名客户销售情况如下：</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773"/>
        <w:gridCol w:w="1810"/>
        <w:gridCol w:w="1524"/>
        <w:gridCol w:w="1681"/>
      </w:tblGrid>
      <w:tr w14:paraId="6CF231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405825EB">
            <w:pPr>
              <w:jc w:val="center"/>
              <w:rPr>
                <w:rFonts w:ascii="Times New Roman" w:hAnsi="Times New Roman"/>
                <w:b/>
                <w:szCs w:val="21"/>
              </w:rPr>
            </w:pPr>
            <w:r>
              <w:rPr>
                <w:rFonts w:ascii="Times New Roman" w:hAnsi="Times New Roman"/>
                <w:b/>
                <w:szCs w:val="21"/>
              </w:rPr>
              <w:t>序号</w:t>
            </w:r>
          </w:p>
        </w:tc>
        <w:tc>
          <w:tcPr>
            <w:tcW w:w="2773" w:type="dxa"/>
            <w:noWrap w:val="0"/>
            <w:tcMar>
              <w:top w:w="0" w:type="dxa"/>
              <w:left w:w="108" w:type="dxa"/>
              <w:bottom w:w="0" w:type="dxa"/>
              <w:right w:w="108" w:type="dxa"/>
            </w:tcMar>
            <w:vAlign w:val="center"/>
          </w:tcPr>
          <w:p w14:paraId="798167F1">
            <w:pPr>
              <w:jc w:val="center"/>
              <w:rPr>
                <w:rFonts w:ascii="Times New Roman" w:hAnsi="Times New Roman"/>
                <w:b/>
                <w:szCs w:val="21"/>
              </w:rPr>
            </w:pPr>
            <w:r>
              <w:rPr>
                <w:rFonts w:ascii="Times New Roman" w:hAnsi="Times New Roman"/>
                <w:b/>
                <w:szCs w:val="21"/>
              </w:rPr>
              <w:t>客户名称</w:t>
            </w:r>
          </w:p>
        </w:tc>
        <w:tc>
          <w:tcPr>
            <w:tcW w:w="1810" w:type="dxa"/>
            <w:noWrap w:val="0"/>
            <w:tcMar>
              <w:top w:w="0" w:type="dxa"/>
              <w:left w:w="108" w:type="dxa"/>
              <w:bottom w:w="0" w:type="dxa"/>
              <w:right w:w="108" w:type="dxa"/>
            </w:tcMar>
            <w:vAlign w:val="center"/>
          </w:tcPr>
          <w:p w14:paraId="5F4160AB">
            <w:pPr>
              <w:jc w:val="center"/>
              <w:rPr>
                <w:rFonts w:ascii="Times New Roman" w:hAnsi="Times New Roman"/>
                <w:b/>
                <w:szCs w:val="21"/>
              </w:rPr>
            </w:pPr>
            <w:r>
              <w:rPr>
                <w:rFonts w:ascii="Times New Roman" w:hAnsi="Times New Roman"/>
                <w:b/>
                <w:szCs w:val="21"/>
              </w:rPr>
              <w:t>主要销售内容</w:t>
            </w:r>
          </w:p>
        </w:tc>
        <w:tc>
          <w:tcPr>
            <w:tcW w:w="1524" w:type="dxa"/>
            <w:noWrap w:val="0"/>
            <w:tcMar>
              <w:top w:w="0" w:type="dxa"/>
              <w:left w:w="108" w:type="dxa"/>
              <w:bottom w:w="0" w:type="dxa"/>
              <w:right w:w="108" w:type="dxa"/>
            </w:tcMar>
            <w:vAlign w:val="center"/>
          </w:tcPr>
          <w:p w14:paraId="020FA6A6">
            <w:pPr>
              <w:jc w:val="center"/>
              <w:rPr>
                <w:rFonts w:ascii="Times New Roman" w:hAnsi="Times New Roman"/>
                <w:b/>
                <w:szCs w:val="21"/>
              </w:rPr>
            </w:pPr>
            <w:r>
              <w:rPr>
                <w:rFonts w:ascii="Times New Roman" w:hAnsi="Times New Roman"/>
                <w:b/>
                <w:szCs w:val="21"/>
              </w:rPr>
              <w:t>金额（</w:t>
            </w:r>
            <w:r>
              <w:rPr>
                <w:rFonts w:hint="eastAsia" w:ascii="Times New Roman" w:hAnsi="Times New Roman"/>
                <w:b/>
                <w:szCs w:val="21"/>
              </w:rPr>
              <w:t>万</w:t>
            </w:r>
            <w:r>
              <w:rPr>
                <w:rFonts w:ascii="Times New Roman" w:hAnsi="Times New Roman"/>
                <w:b/>
                <w:szCs w:val="21"/>
              </w:rPr>
              <w:t>元）</w:t>
            </w:r>
          </w:p>
        </w:tc>
        <w:tc>
          <w:tcPr>
            <w:tcW w:w="1681" w:type="dxa"/>
            <w:noWrap w:val="0"/>
            <w:tcMar>
              <w:top w:w="0" w:type="dxa"/>
              <w:left w:w="108" w:type="dxa"/>
              <w:bottom w:w="0" w:type="dxa"/>
              <w:right w:w="108" w:type="dxa"/>
            </w:tcMar>
            <w:vAlign w:val="center"/>
          </w:tcPr>
          <w:p w14:paraId="00D410C4">
            <w:pPr>
              <w:jc w:val="center"/>
              <w:rPr>
                <w:rFonts w:ascii="Times New Roman" w:hAnsi="Times New Roman"/>
                <w:b/>
                <w:szCs w:val="21"/>
              </w:rPr>
            </w:pPr>
            <w:r>
              <w:rPr>
                <w:rFonts w:ascii="Times New Roman" w:hAnsi="Times New Roman"/>
                <w:b/>
                <w:szCs w:val="21"/>
              </w:rPr>
              <w:t>占营业收入的比例</w:t>
            </w:r>
          </w:p>
        </w:tc>
      </w:tr>
      <w:tr w14:paraId="360F9C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414D1C07">
            <w:pPr>
              <w:jc w:val="center"/>
              <w:rPr>
                <w:rFonts w:ascii="Times New Roman" w:hAnsi="Times New Roman"/>
                <w:bCs/>
                <w:szCs w:val="21"/>
              </w:rPr>
            </w:pPr>
            <w:r>
              <w:rPr>
                <w:rFonts w:ascii="Times New Roman" w:hAnsi="Times New Roman"/>
                <w:bCs/>
                <w:szCs w:val="21"/>
              </w:rPr>
              <w:t>1</w:t>
            </w:r>
          </w:p>
        </w:tc>
        <w:tc>
          <w:tcPr>
            <w:tcW w:w="2773" w:type="dxa"/>
            <w:noWrap w:val="0"/>
            <w:tcMar>
              <w:top w:w="0" w:type="dxa"/>
              <w:left w:w="108" w:type="dxa"/>
              <w:bottom w:w="0" w:type="dxa"/>
              <w:right w:w="108" w:type="dxa"/>
            </w:tcMar>
            <w:vAlign w:val="center"/>
          </w:tcPr>
          <w:p w14:paraId="13E9C4FE">
            <w:pPr>
              <w:jc w:val="center"/>
              <w:rPr>
                <w:rFonts w:ascii="Times New Roman" w:hAnsi="Times New Roman"/>
                <w:bCs/>
                <w:szCs w:val="21"/>
              </w:rPr>
            </w:pPr>
            <w:r>
              <w:rPr>
                <w:rFonts w:hint="eastAsia" w:ascii="Times New Roman" w:hAnsi="Times New Roman"/>
                <w:bCs/>
                <w:szCs w:val="21"/>
              </w:rPr>
              <w:t>汇付天下有限公司</w:t>
            </w:r>
          </w:p>
        </w:tc>
        <w:tc>
          <w:tcPr>
            <w:tcW w:w="1810" w:type="dxa"/>
            <w:noWrap w:val="0"/>
            <w:tcMar>
              <w:top w:w="0" w:type="dxa"/>
              <w:left w:w="108" w:type="dxa"/>
              <w:bottom w:w="0" w:type="dxa"/>
              <w:right w:w="108" w:type="dxa"/>
            </w:tcMar>
            <w:vAlign w:val="center"/>
          </w:tcPr>
          <w:p w14:paraId="34D6BCD0">
            <w:pPr>
              <w:jc w:val="center"/>
              <w:rPr>
                <w:rFonts w:ascii="Times New Roman" w:hAnsi="Times New Roman"/>
                <w:bCs/>
                <w:szCs w:val="21"/>
              </w:rPr>
            </w:pPr>
            <w:r>
              <w:rPr>
                <w:rFonts w:hint="eastAsia" w:ascii="Times New Roman" w:hAnsi="Times New Roman"/>
                <w:bCs/>
                <w:szCs w:val="21"/>
              </w:rPr>
              <w:t>SaaS云平台</w:t>
            </w:r>
          </w:p>
        </w:tc>
        <w:tc>
          <w:tcPr>
            <w:tcW w:w="1524" w:type="dxa"/>
            <w:noWrap w:val="0"/>
            <w:tcMar>
              <w:top w:w="0" w:type="dxa"/>
              <w:left w:w="108" w:type="dxa"/>
              <w:bottom w:w="0" w:type="dxa"/>
              <w:right w:w="108" w:type="dxa"/>
            </w:tcMar>
            <w:vAlign w:val="center"/>
          </w:tcPr>
          <w:p w14:paraId="7E76CF2C">
            <w:pPr>
              <w:jc w:val="center"/>
              <w:rPr>
                <w:rFonts w:ascii="Times New Roman" w:hAnsi="Times New Roman"/>
                <w:bCs/>
                <w:szCs w:val="21"/>
              </w:rPr>
            </w:pPr>
            <w:r>
              <w:rPr>
                <w:rFonts w:hint="eastAsia" w:ascii="Times New Roman" w:hAnsi="Times New Roman"/>
                <w:bCs/>
                <w:szCs w:val="21"/>
              </w:rPr>
              <w:t>3,357.47</w:t>
            </w:r>
          </w:p>
        </w:tc>
        <w:tc>
          <w:tcPr>
            <w:tcW w:w="1681" w:type="dxa"/>
            <w:noWrap w:val="0"/>
            <w:tcMar>
              <w:top w:w="0" w:type="dxa"/>
              <w:left w:w="108" w:type="dxa"/>
              <w:bottom w:w="0" w:type="dxa"/>
              <w:right w:w="108" w:type="dxa"/>
            </w:tcMar>
            <w:vAlign w:val="center"/>
          </w:tcPr>
          <w:p w14:paraId="595E0D8C">
            <w:pPr>
              <w:jc w:val="center"/>
              <w:rPr>
                <w:rFonts w:ascii="Times New Roman" w:hAnsi="Times New Roman"/>
                <w:bCs/>
                <w:szCs w:val="21"/>
              </w:rPr>
            </w:pPr>
            <w:r>
              <w:rPr>
                <w:rFonts w:hint="eastAsia" w:ascii="Times New Roman" w:hAnsi="Times New Roman"/>
                <w:bCs/>
                <w:szCs w:val="21"/>
              </w:rPr>
              <w:t>6.38%</w:t>
            </w:r>
          </w:p>
        </w:tc>
      </w:tr>
      <w:tr w14:paraId="6863F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291418F5">
            <w:pPr>
              <w:jc w:val="center"/>
              <w:rPr>
                <w:rFonts w:ascii="Times New Roman" w:hAnsi="Times New Roman"/>
                <w:bCs/>
                <w:szCs w:val="21"/>
              </w:rPr>
            </w:pPr>
            <w:r>
              <w:rPr>
                <w:rFonts w:ascii="Times New Roman" w:hAnsi="Times New Roman"/>
                <w:bCs/>
                <w:szCs w:val="21"/>
              </w:rPr>
              <w:t>2</w:t>
            </w:r>
          </w:p>
        </w:tc>
        <w:tc>
          <w:tcPr>
            <w:tcW w:w="2773" w:type="dxa"/>
            <w:noWrap w:val="0"/>
            <w:tcMar>
              <w:top w:w="0" w:type="dxa"/>
              <w:left w:w="108" w:type="dxa"/>
              <w:bottom w:w="0" w:type="dxa"/>
              <w:right w:w="108" w:type="dxa"/>
            </w:tcMar>
            <w:vAlign w:val="center"/>
          </w:tcPr>
          <w:p w14:paraId="2DF0E10F">
            <w:pPr>
              <w:jc w:val="center"/>
              <w:rPr>
                <w:rFonts w:ascii="Times New Roman" w:hAnsi="Times New Roman"/>
                <w:bCs/>
                <w:szCs w:val="21"/>
              </w:rPr>
            </w:pPr>
            <w:r>
              <w:rPr>
                <w:rFonts w:hint="eastAsia" w:ascii="Times New Roman" w:hAnsi="Times New Roman"/>
                <w:bCs/>
                <w:szCs w:val="21"/>
              </w:rPr>
              <w:t>腾讯控股有限公司</w:t>
            </w:r>
          </w:p>
        </w:tc>
        <w:tc>
          <w:tcPr>
            <w:tcW w:w="1810" w:type="dxa"/>
            <w:noWrap w:val="0"/>
            <w:tcMar>
              <w:top w:w="0" w:type="dxa"/>
              <w:left w:w="108" w:type="dxa"/>
              <w:bottom w:w="0" w:type="dxa"/>
              <w:right w:w="108" w:type="dxa"/>
            </w:tcMar>
            <w:vAlign w:val="center"/>
          </w:tcPr>
          <w:p w14:paraId="65333E0B">
            <w:pPr>
              <w:jc w:val="center"/>
              <w:rPr>
                <w:rFonts w:ascii="Times New Roman" w:hAnsi="Times New Roman"/>
                <w:bCs/>
                <w:szCs w:val="21"/>
              </w:rPr>
            </w:pPr>
            <w:r>
              <w:rPr>
                <w:rFonts w:hint="eastAsia" w:ascii="Times New Roman" w:hAnsi="Times New Roman"/>
                <w:bCs/>
                <w:szCs w:val="21"/>
              </w:rPr>
              <w:t>数字增值服务</w:t>
            </w:r>
          </w:p>
        </w:tc>
        <w:tc>
          <w:tcPr>
            <w:tcW w:w="1524" w:type="dxa"/>
            <w:noWrap w:val="0"/>
            <w:tcMar>
              <w:top w:w="0" w:type="dxa"/>
              <w:left w:w="108" w:type="dxa"/>
              <w:bottom w:w="0" w:type="dxa"/>
              <w:right w:w="108" w:type="dxa"/>
            </w:tcMar>
            <w:vAlign w:val="center"/>
          </w:tcPr>
          <w:p w14:paraId="5480DCD1">
            <w:pPr>
              <w:jc w:val="center"/>
              <w:rPr>
                <w:rFonts w:ascii="Times New Roman" w:hAnsi="Times New Roman"/>
                <w:bCs/>
                <w:szCs w:val="21"/>
              </w:rPr>
            </w:pPr>
            <w:r>
              <w:rPr>
                <w:rFonts w:hint="eastAsia" w:ascii="Times New Roman" w:hAnsi="Times New Roman"/>
                <w:bCs/>
                <w:szCs w:val="21"/>
              </w:rPr>
              <w:t>3,032.39</w:t>
            </w:r>
          </w:p>
        </w:tc>
        <w:tc>
          <w:tcPr>
            <w:tcW w:w="1681" w:type="dxa"/>
            <w:noWrap w:val="0"/>
            <w:tcMar>
              <w:top w:w="0" w:type="dxa"/>
              <w:left w:w="108" w:type="dxa"/>
              <w:bottom w:w="0" w:type="dxa"/>
              <w:right w:w="108" w:type="dxa"/>
            </w:tcMar>
            <w:vAlign w:val="center"/>
          </w:tcPr>
          <w:p w14:paraId="35AAA842">
            <w:pPr>
              <w:jc w:val="center"/>
              <w:rPr>
                <w:rFonts w:ascii="Times New Roman" w:hAnsi="Times New Roman"/>
                <w:bCs/>
                <w:szCs w:val="21"/>
              </w:rPr>
            </w:pPr>
            <w:r>
              <w:rPr>
                <w:rFonts w:hint="eastAsia" w:ascii="Times New Roman" w:hAnsi="Times New Roman"/>
                <w:bCs/>
                <w:szCs w:val="21"/>
              </w:rPr>
              <w:t>5.76%</w:t>
            </w:r>
          </w:p>
        </w:tc>
      </w:tr>
      <w:tr w14:paraId="7934D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134AA8C3">
            <w:pPr>
              <w:jc w:val="center"/>
              <w:rPr>
                <w:rFonts w:ascii="Times New Roman" w:hAnsi="Times New Roman"/>
                <w:bCs/>
                <w:szCs w:val="21"/>
              </w:rPr>
            </w:pPr>
            <w:r>
              <w:rPr>
                <w:rFonts w:ascii="Times New Roman" w:hAnsi="Times New Roman"/>
                <w:bCs/>
                <w:szCs w:val="21"/>
              </w:rPr>
              <w:t>3</w:t>
            </w:r>
          </w:p>
        </w:tc>
        <w:tc>
          <w:tcPr>
            <w:tcW w:w="2773" w:type="dxa"/>
            <w:noWrap w:val="0"/>
            <w:tcMar>
              <w:top w:w="0" w:type="dxa"/>
              <w:left w:w="108" w:type="dxa"/>
              <w:bottom w:w="0" w:type="dxa"/>
              <w:right w:w="108" w:type="dxa"/>
            </w:tcMar>
            <w:vAlign w:val="center"/>
          </w:tcPr>
          <w:p w14:paraId="36E12ED6">
            <w:pPr>
              <w:jc w:val="center"/>
              <w:rPr>
                <w:rFonts w:ascii="Times New Roman" w:hAnsi="Times New Roman"/>
                <w:bCs/>
                <w:szCs w:val="21"/>
              </w:rPr>
            </w:pPr>
            <w:r>
              <w:rPr>
                <w:rFonts w:hint="eastAsia" w:ascii="Times New Roman" w:hAnsi="Times New Roman"/>
                <w:bCs/>
                <w:szCs w:val="21"/>
              </w:rPr>
              <w:t>蚂蚁科技集团股份有限公司</w:t>
            </w:r>
          </w:p>
        </w:tc>
        <w:tc>
          <w:tcPr>
            <w:tcW w:w="1810" w:type="dxa"/>
            <w:noWrap w:val="0"/>
            <w:tcMar>
              <w:top w:w="0" w:type="dxa"/>
              <w:left w:w="108" w:type="dxa"/>
              <w:bottom w:w="0" w:type="dxa"/>
              <w:right w:w="108" w:type="dxa"/>
            </w:tcMar>
            <w:vAlign w:val="center"/>
          </w:tcPr>
          <w:p w14:paraId="48AF2BBC">
            <w:pPr>
              <w:jc w:val="center"/>
              <w:rPr>
                <w:rFonts w:ascii="Times New Roman" w:hAnsi="Times New Roman"/>
                <w:bCs/>
                <w:szCs w:val="21"/>
              </w:rPr>
            </w:pPr>
            <w:r>
              <w:rPr>
                <w:rFonts w:hint="eastAsia" w:ascii="Times New Roman" w:hAnsi="Times New Roman"/>
                <w:bCs/>
                <w:szCs w:val="21"/>
              </w:rPr>
              <w:t>数字增值服务</w:t>
            </w:r>
          </w:p>
        </w:tc>
        <w:tc>
          <w:tcPr>
            <w:tcW w:w="1524" w:type="dxa"/>
            <w:noWrap w:val="0"/>
            <w:tcMar>
              <w:top w:w="0" w:type="dxa"/>
              <w:left w:w="108" w:type="dxa"/>
              <w:bottom w:w="0" w:type="dxa"/>
              <w:right w:w="108" w:type="dxa"/>
            </w:tcMar>
            <w:vAlign w:val="center"/>
          </w:tcPr>
          <w:p w14:paraId="25574B90">
            <w:pPr>
              <w:jc w:val="center"/>
              <w:rPr>
                <w:rFonts w:ascii="Times New Roman" w:hAnsi="Times New Roman"/>
                <w:bCs/>
                <w:szCs w:val="21"/>
              </w:rPr>
            </w:pPr>
            <w:r>
              <w:rPr>
                <w:rFonts w:hint="eastAsia" w:ascii="Times New Roman" w:hAnsi="Times New Roman"/>
                <w:bCs/>
                <w:szCs w:val="21"/>
              </w:rPr>
              <w:t>2,379.53</w:t>
            </w:r>
          </w:p>
        </w:tc>
        <w:tc>
          <w:tcPr>
            <w:tcW w:w="1681" w:type="dxa"/>
            <w:noWrap w:val="0"/>
            <w:tcMar>
              <w:top w:w="0" w:type="dxa"/>
              <w:left w:w="108" w:type="dxa"/>
              <w:bottom w:w="0" w:type="dxa"/>
              <w:right w:w="108" w:type="dxa"/>
            </w:tcMar>
            <w:vAlign w:val="center"/>
          </w:tcPr>
          <w:p w14:paraId="239CF30E">
            <w:pPr>
              <w:jc w:val="center"/>
              <w:rPr>
                <w:rFonts w:ascii="Times New Roman" w:hAnsi="Times New Roman"/>
                <w:bCs/>
                <w:szCs w:val="21"/>
              </w:rPr>
            </w:pPr>
            <w:r>
              <w:rPr>
                <w:rFonts w:hint="eastAsia" w:ascii="Times New Roman" w:hAnsi="Times New Roman"/>
                <w:bCs/>
                <w:szCs w:val="21"/>
              </w:rPr>
              <w:t>4.52%</w:t>
            </w:r>
          </w:p>
        </w:tc>
      </w:tr>
      <w:tr w14:paraId="49C5C1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33329F6D">
            <w:pPr>
              <w:jc w:val="center"/>
              <w:rPr>
                <w:rFonts w:ascii="Times New Roman" w:hAnsi="Times New Roman"/>
                <w:bCs/>
                <w:szCs w:val="21"/>
              </w:rPr>
            </w:pPr>
            <w:r>
              <w:rPr>
                <w:rFonts w:ascii="Times New Roman" w:hAnsi="Times New Roman"/>
                <w:bCs/>
                <w:szCs w:val="21"/>
              </w:rPr>
              <w:t>4</w:t>
            </w:r>
          </w:p>
        </w:tc>
        <w:tc>
          <w:tcPr>
            <w:tcW w:w="2773" w:type="dxa"/>
            <w:noWrap w:val="0"/>
            <w:tcMar>
              <w:top w:w="0" w:type="dxa"/>
              <w:left w:w="108" w:type="dxa"/>
              <w:bottom w:w="0" w:type="dxa"/>
              <w:right w:w="108" w:type="dxa"/>
            </w:tcMar>
            <w:vAlign w:val="center"/>
          </w:tcPr>
          <w:p w14:paraId="431B3845">
            <w:pPr>
              <w:jc w:val="center"/>
              <w:rPr>
                <w:rFonts w:ascii="Times New Roman" w:hAnsi="Times New Roman"/>
                <w:bCs/>
                <w:szCs w:val="21"/>
              </w:rPr>
            </w:pPr>
            <w:r>
              <w:rPr>
                <w:rFonts w:hint="eastAsia" w:ascii="Times New Roman" w:hAnsi="Times New Roman"/>
                <w:bCs/>
                <w:szCs w:val="21"/>
              </w:rPr>
              <w:t>京东集团股份有限公司</w:t>
            </w:r>
          </w:p>
        </w:tc>
        <w:tc>
          <w:tcPr>
            <w:tcW w:w="1810" w:type="dxa"/>
            <w:noWrap w:val="0"/>
            <w:tcMar>
              <w:top w:w="0" w:type="dxa"/>
              <w:left w:w="108" w:type="dxa"/>
              <w:bottom w:w="0" w:type="dxa"/>
              <w:right w:w="108" w:type="dxa"/>
            </w:tcMar>
            <w:vAlign w:val="center"/>
          </w:tcPr>
          <w:p w14:paraId="4D68C10E">
            <w:pPr>
              <w:jc w:val="center"/>
              <w:rPr>
                <w:rFonts w:ascii="Times New Roman" w:hAnsi="Times New Roman"/>
                <w:bCs/>
                <w:szCs w:val="21"/>
              </w:rPr>
            </w:pPr>
            <w:r>
              <w:rPr>
                <w:rFonts w:hint="eastAsia" w:ascii="Times New Roman" w:hAnsi="Times New Roman"/>
                <w:bCs/>
                <w:szCs w:val="21"/>
              </w:rPr>
              <w:t>SaaS云平台、数字增值服务</w:t>
            </w:r>
          </w:p>
        </w:tc>
        <w:tc>
          <w:tcPr>
            <w:tcW w:w="1524" w:type="dxa"/>
            <w:noWrap w:val="0"/>
            <w:tcMar>
              <w:top w:w="0" w:type="dxa"/>
              <w:left w:w="108" w:type="dxa"/>
              <w:bottom w:w="0" w:type="dxa"/>
              <w:right w:w="108" w:type="dxa"/>
            </w:tcMar>
            <w:vAlign w:val="center"/>
          </w:tcPr>
          <w:p w14:paraId="14035A50">
            <w:pPr>
              <w:jc w:val="center"/>
              <w:rPr>
                <w:rFonts w:ascii="Times New Roman" w:hAnsi="Times New Roman"/>
                <w:bCs/>
                <w:szCs w:val="21"/>
              </w:rPr>
            </w:pPr>
            <w:r>
              <w:rPr>
                <w:rFonts w:hint="eastAsia" w:ascii="Times New Roman" w:hAnsi="Times New Roman"/>
                <w:bCs/>
                <w:szCs w:val="21"/>
              </w:rPr>
              <w:t>775.94</w:t>
            </w:r>
          </w:p>
        </w:tc>
        <w:tc>
          <w:tcPr>
            <w:tcW w:w="1681" w:type="dxa"/>
            <w:noWrap w:val="0"/>
            <w:tcMar>
              <w:top w:w="0" w:type="dxa"/>
              <w:left w:w="108" w:type="dxa"/>
              <w:bottom w:w="0" w:type="dxa"/>
              <w:right w:w="108" w:type="dxa"/>
            </w:tcMar>
            <w:vAlign w:val="center"/>
          </w:tcPr>
          <w:p w14:paraId="2C1C1A6F">
            <w:pPr>
              <w:jc w:val="center"/>
              <w:rPr>
                <w:rFonts w:ascii="Times New Roman" w:hAnsi="Times New Roman"/>
                <w:bCs/>
                <w:szCs w:val="21"/>
              </w:rPr>
            </w:pPr>
            <w:r>
              <w:rPr>
                <w:rFonts w:hint="eastAsia" w:ascii="Times New Roman" w:hAnsi="Times New Roman"/>
                <w:bCs/>
                <w:szCs w:val="21"/>
              </w:rPr>
              <w:t>1.47%</w:t>
            </w:r>
          </w:p>
        </w:tc>
      </w:tr>
      <w:tr w14:paraId="3D9BBC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10D75809">
            <w:pPr>
              <w:jc w:val="center"/>
              <w:rPr>
                <w:rFonts w:ascii="Times New Roman" w:hAnsi="Times New Roman"/>
                <w:bCs/>
                <w:szCs w:val="21"/>
              </w:rPr>
            </w:pPr>
            <w:r>
              <w:rPr>
                <w:rFonts w:ascii="Times New Roman" w:hAnsi="Times New Roman"/>
                <w:bCs/>
                <w:szCs w:val="21"/>
              </w:rPr>
              <w:t>5</w:t>
            </w:r>
          </w:p>
        </w:tc>
        <w:tc>
          <w:tcPr>
            <w:tcW w:w="2773" w:type="dxa"/>
            <w:noWrap w:val="0"/>
            <w:tcMar>
              <w:top w:w="0" w:type="dxa"/>
              <w:left w:w="108" w:type="dxa"/>
              <w:bottom w:w="0" w:type="dxa"/>
              <w:right w:w="108" w:type="dxa"/>
            </w:tcMar>
            <w:vAlign w:val="center"/>
          </w:tcPr>
          <w:p w14:paraId="5B5CC916">
            <w:pPr>
              <w:jc w:val="center"/>
              <w:rPr>
                <w:rFonts w:ascii="Times New Roman" w:hAnsi="Times New Roman"/>
                <w:bCs/>
                <w:szCs w:val="21"/>
              </w:rPr>
            </w:pPr>
            <w:r>
              <w:rPr>
                <w:rFonts w:hint="eastAsia" w:ascii="Times New Roman" w:hAnsi="Times New Roman"/>
                <w:bCs/>
                <w:szCs w:val="21"/>
              </w:rPr>
              <w:t>小呗无限（深圳）科技有限公司</w:t>
            </w:r>
          </w:p>
        </w:tc>
        <w:tc>
          <w:tcPr>
            <w:tcW w:w="1810" w:type="dxa"/>
            <w:noWrap w:val="0"/>
            <w:tcMar>
              <w:top w:w="0" w:type="dxa"/>
              <w:left w:w="108" w:type="dxa"/>
              <w:bottom w:w="0" w:type="dxa"/>
              <w:right w:w="108" w:type="dxa"/>
            </w:tcMar>
            <w:vAlign w:val="center"/>
          </w:tcPr>
          <w:p w14:paraId="4B93D078">
            <w:pPr>
              <w:jc w:val="center"/>
              <w:rPr>
                <w:rFonts w:ascii="Times New Roman" w:hAnsi="Times New Roman"/>
                <w:bCs/>
                <w:szCs w:val="21"/>
              </w:rPr>
            </w:pPr>
            <w:r>
              <w:rPr>
                <w:rFonts w:hint="eastAsia" w:ascii="Times New Roman" w:hAnsi="Times New Roman"/>
                <w:bCs/>
                <w:szCs w:val="21"/>
              </w:rPr>
              <w:t>IoT智能硬件、SaaS云平台</w:t>
            </w:r>
          </w:p>
        </w:tc>
        <w:tc>
          <w:tcPr>
            <w:tcW w:w="1524" w:type="dxa"/>
            <w:noWrap w:val="0"/>
            <w:tcMar>
              <w:top w:w="0" w:type="dxa"/>
              <w:left w:w="108" w:type="dxa"/>
              <w:bottom w:w="0" w:type="dxa"/>
              <w:right w:w="108" w:type="dxa"/>
            </w:tcMar>
            <w:vAlign w:val="center"/>
          </w:tcPr>
          <w:p w14:paraId="43550319">
            <w:pPr>
              <w:jc w:val="center"/>
              <w:rPr>
                <w:rFonts w:ascii="Times New Roman" w:hAnsi="Times New Roman"/>
                <w:bCs/>
                <w:szCs w:val="21"/>
              </w:rPr>
            </w:pPr>
            <w:r>
              <w:rPr>
                <w:rFonts w:hint="eastAsia" w:ascii="Times New Roman" w:hAnsi="Times New Roman"/>
                <w:bCs/>
                <w:szCs w:val="21"/>
              </w:rPr>
              <w:t>362.41</w:t>
            </w:r>
          </w:p>
        </w:tc>
        <w:tc>
          <w:tcPr>
            <w:tcW w:w="1681" w:type="dxa"/>
            <w:noWrap w:val="0"/>
            <w:tcMar>
              <w:top w:w="0" w:type="dxa"/>
              <w:left w:w="108" w:type="dxa"/>
              <w:bottom w:w="0" w:type="dxa"/>
              <w:right w:w="108" w:type="dxa"/>
            </w:tcMar>
            <w:vAlign w:val="center"/>
          </w:tcPr>
          <w:p w14:paraId="3FCCB26E">
            <w:pPr>
              <w:jc w:val="center"/>
              <w:rPr>
                <w:rFonts w:ascii="Times New Roman" w:hAnsi="Times New Roman"/>
                <w:bCs/>
                <w:szCs w:val="21"/>
              </w:rPr>
            </w:pPr>
            <w:r>
              <w:rPr>
                <w:rFonts w:hint="eastAsia" w:ascii="Times New Roman" w:hAnsi="Times New Roman"/>
                <w:bCs/>
                <w:szCs w:val="21"/>
              </w:rPr>
              <w:t>0.69%</w:t>
            </w:r>
          </w:p>
        </w:tc>
      </w:tr>
      <w:tr w14:paraId="335B0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17" w:type="dxa"/>
            <w:gridSpan w:val="3"/>
            <w:noWrap w:val="0"/>
            <w:tcMar>
              <w:top w:w="0" w:type="dxa"/>
              <w:left w:w="108" w:type="dxa"/>
              <w:bottom w:w="0" w:type="dxa"/>
              <w:right w:w="108" w:type="dxa"/>
            </w:tcMar>
            <w:vAlign w:val="center"/>
          </w:tcPr>
          <w:p w14:paraId="1A5E9960">
            <w:pPr>
              <w:jc w:val="center"/>
              <w:rPr>
                <w:rFonts w:ascii="Times New Roman" w:hAnsi="Times New Roman"/>
                <w:b/>
                <w:szCs w:val="21"/>
              </w:rPr>
            </w:pPr>
            <w:r>
              <w:rPr>
                <w:rFonts w:ascii="Times New Roman" w:hAnsi="Times New Roman"/>
                <w:b/>
                <w:szCs w:val="21"/>
              </w:rPr>
              <w:t>合计</w:t>
            </w:r>
          </w:p>
        </w:tc>
        <w:tc>
          <w:tcPr>
            <w:tcW w:w="1524" w:type="dxa"/>
            <w:noWrap w:val="0"/>
            <w:tcMar>
              <w:top w:w="0" w:type="dxa"/>
              <w:left w:w="108" w:type="dxa"/>
              <w:bottom w:w="0" w:type="dxa"/>
              <w:right w:w="108" w:type="dxa"/>
            </w:tcMar>
            <w:vAlign w:val="center"/>
          </w:tcPr>
          <w:p w14:paraId="4A95B18A">
            <w:pPr>
              <w:jc w:val="center"/>
              <w:rPr>
                <w:rFonts w:ascii="Times New Roman" w:hAnsi="Times New Roman"/>
                <w:b/>
                <w:szCs w:val="21"/>
              </w:rPr>
            </w:pPr>
            <w:r>
              <w:rPr>
                <w:rFonts w:hint="eastAsia" w:ascii="Times New Roman" w:hAnsi="Times New Roman"/>
                <w:b/>
                <w:szCs w:val="21"/>
              </w:rPr>
              <w:t>9,907.74</w:t>
            </w:r>
          </w:p>
        </w:tc>
        <w:tc>
          <w:tcPr>
            <w:tcW w:w="1681" w:type="dxa"/>
            <w:noWrap w:val="0"/>
            <w:tcMar>
              <w:top w:w="0" w:type="dxa"/>
              <w:left w:w="108" w:type="dxa"/>
              <w:bottom w:w="0" w:type="dxa"/>
              <w:right w:w="108" w:type="dxa"/>
            </w:tcMar>
            <w:vAlign w:val="center"/>
          </w:tcPr>
          <w:p w14:paraId="5F9C940C">
            <w:pPr>
              <w:jc w:val="center"/>
              <w:rPr>
                <w:rFonts w:ascii="Times New Roman" w:hAnsi="Times New Roman"/>
                <w:b/>
                <w:szCs w:val="21"/>
              </w:rPr>
            </w:pPr>
            <w:r>
              <w:rPr>
                <w:rFonts w:hint="eastAsia" w:ascii="Times New Roman" w:hAnsi="Times New Roman"/>
                <w:b/>
                <w:szCs w:val="21"/>
              </w:rPr>
              <w:t>18.83</w:t>
            </w:r>
            <w:r>
              <w:rPr>
                <w:rFonts w:ascii="Times New Roman" w:hAnsi="Times New Roman"/>
                <w:b/>
                <w:szCs w:val="21"/>
              </w:rPr>
              <w:t>%</w:t>
            </w:r>
          </w:p>
        </w:tc>
      </w:tr>
    </w:tbl>
    <w:p w14:paraId="5DF9750B">
      <w:pPr>
        <w:widowControl/>
        <w:adjustRightInd w:val="0"/>
        <w:snapToGrid w:val="0"/>
        <w:ind w:firstLine="420" w:firstLineChars="200"/>
        <w:rPr>
          <w:rFonts w:hint="eastAsia" w:ascii="Times New Roman" w:hAnsi="Times New Roman"/>
          <w:kern w:val="0"/>
          <w:sz w:val="24"/>
        </w:rPr>
      </w:pPr>
      <w:r>
        <w:rPr>
          <w:lang w:bidi="ar"/>
        </w:rPr>
        <w:t>注：同一控制下合并披露</w:t>
      </w:r>
      <w:r>
        <w:rPr>
          <w:rFonts w:hint="eastAsia"/>
          <w:lang w:bidi="ar"/>
        </w:rPr>
        <w:t>。</w:t>
      </w:r>
    </w:p>
    <w:p w14:paraId="2E14DF0D">
      <w:pPr>
        <w:widowControl/>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（2）主要供应商</w:t>
      </w:r>
    </w:p>
    <w:p w14:paraId="10107399">
      <w:pPr>
        <w:widowControl/>
        <w:adjustRightInd w:val="0"/>
        <w:snapToGrid w:val="0"/>
        <w:spacing w:before="156" w:beforeLines="50" w:line="360" w:lineRule="auto"/>
        <w:ind w:firstLine="480" w:firstLineChars="200"/>
        <w:rPr>
          <w:rFonts w:ascii="Times New Roman" w:hAnsi="Times New Roman"/>
          <w:kern w:val="0"/>
          <w:sz w:val="24"/>
        </w:rPr>
      </w:pPr>
      <w:r>
        <w:rPr>
          <w:rFonts w:hint="eastAsia" w:ascii="Times New Roman" w:hAnsi="Times New Roman"/>
          <w:kern w:val="0"/>
          <w:sz w:val="24"/>
        </w:rPr>
        <w:t>2025年度</w:t>
      </w:r>
      <w:r>
        <w:rPr>
          <w:rFonts w:ascii="Times New Roman" w:hAnsi="Times New Roman"/>
          <w:kern w:val="0"/>
          <w:sz w:val="24"/>
        </w:rPr>
        <w:t>，标的公司向前五大供应商采购情况如下：</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773"/>
        <w:gridCol w:w="1822"/>
        <w:gridCol w:w="1512"/>
        <w:gridCol w:w="1681"/>
      </w:tblGrid>
      <w:tr w14:paraId="48C6DF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0A937A23">
            <w:pPr>
              <w:jc w:val="center"/>
              <w:rPr>
                <w:rFonts w:ascii="Times New Roman" w:hAnsi="Times New Roman"/>
                <w:b/>
                <w:szCs w:val="21"/>
              </w:rPr>
            </w:pPr>
            <w:r>
              <w:rPr>
                <w:rFonts w:ascii="Times New Roman" w:hAnsi="Times New Roman"/>
                <w:b/>
                <w:szCs w:val="21"/>
              </w:rPr>
              <w:t>序号</w:t>
            </w:r>
          </w:p>
        </w:tc>
        <w:tc>
          <w:tcPr>
            <w:tcW w:w="2773" w:type="dxa"/>
            <w:noWrap w:val="0"/>
            <w:tcMar>
              <w:top w:w="0" w:type="dxa"/>
              <w:left w:w="108" w:type="dxa"/>
              <w:bottom w:w="0" w:type="dxa"/>
              <w:right w:w="108" w:type="dxa"/>
            </w:tcMar>
            <w:vAlign w:val="center"/>
          </w:tcPr>
          <w:p w14:paraId="4BD75C1A">
            <w:pPr>
              <w:jc w:val="center"/>
              <w:rPr>
                <w:rFonts w:ascii="Times New Roman" w:hAnsi="Times New Roman"/>
                <w:b/>
                <w:szCs w:val="21"/>
              </w:rPr>
            </w:pPr>
            <w:r>
              <w:rPr>
                <w:rFonts w:ascii="Times New Roman" w:hAnsi="Times New Roman"/>
                <w:b/>
                <w:szCs w:val="21"/>
              </w:rPr>
              <w:t>供应商名称</w:t>
            </w:r>
          </w:p>
        </w:tc>
        <w:tc>
          <w:tcPr>
            <w:tcW w:w="1822" w:type="dxa"/>
            <w:noWrap w:val="0"/>
            <w:tcMar>
              <w:top w:w="0" w:type="dxa"/>
              <w:left w:w="108" w:type="dxa"/>
              <w:bottom w:w="0" w:type="dxa"/>
              <w:right w:w="108" w:type="dxa"/>
            </w:tcMar>
            <w:vAlign w:val="center"/>
          </w:tcPr>
          <w:p w14:paraId="64D4C59D">
            <w:pPr>
              <w:jc w:val="center"/>
              <w:rPr>
                <w:rFonts w:ascii="Times New Roman" w:hAnsi="Times New Roman"/>
                <w:b/>
                <w:szCs w:val="21"/>
              </w:rPr>
            </w:pPr>
            <w:r>
              <w:rPr>
                <w:rFonts w:ascii="Times New Roman" w:hAnsi="Times New Roman"/>
                <w:b/>
                <w:szCs w:val="21"/>
              </w:rPr>
              <w:t>采购内容</w:t>
            </w:r>
          </w:p>
        </w:tc>
        <w:tc>
          <w:tcPr>
            <w:tcW w:w="1512" w:type="dxa"/>
            <w:noWrap w:val="0"/>
            <w:tcMar>
              <w:top w:w="0" w:type="dxa"/>
              <w:left w:w="108" w:type="dxa"/>
              <w:bottom w:w="0" w:type="dxa"/>
              <w:right w:w="108" w:type="dxa"/>
            </w:tcMar>
            <w:vAlign w:val="center"/>
          </w:tcPr>
          <w:p w14:paraId="08B19E8B">
            <w:pPr>
              <w:jc w:val="center"/>
              <w:rPr>
                <w:rFonts w:ascii="Times New Roman" w:hAnsi="Times New Roman"/>
                <w:b/>
                <w:szCs w:val="21"/>
              </w:rPr>
            </w:pPr>
            <w:r>
              <w:rPr>
                <w:rFonts w:ascii="Times New Roman" w:hAnsi="Times New Roman"/>
                <w:b/>
                <w:szCs w:val="21"/>
              </w:rPr>
              <w:t>金额（</w:t>
            </w:r>
            <w:r>
              <w:rPr>
                <w:rFonts w:hint="eastAsia" w:ascii="Times New Roman" w:hAnsi="Times New Roman"/>
                <w:b/>
                <w:szCs w:val="21"/>
              </w:rPr>
              <w:t>万</w:t>
            </w:r>
            <w:r>
              <w:rPr>
                <w:rFonts w:ascii="Times New Roman" w:hAnsi="Times New Roman"/>
                <w:b/>
                <w:szCs w:val="21"/>
              </w:rPr>
              <w:t>元）</w:t>
            </w:r>
          </w:p>
        </w:tc>
        <w:tc>
          <w:tcPr>
            <w:tcW w:w="1681" w:type="dxa"/>
            <w:noWrap w:val="0"/>
            <w:tcMar>
              <w:top w:w="0" w:type="dxa"/>
              <w:left w:w="108" w:type="dxa"/>
              <w:bottom w:w="0" w:type="dxa"/>
              <w:right w:w="108" w:type="dxa"/>
            </w:tcMar>
            <w:vAlign w:val="center"/>
          </w:tcPr>
          <w:p w14:paraId="1892FB88">
            <w:pPr>
              <w:jc w:val="center"/>
              <w:rPr>
                <w:rFonts w:ascii="Times New Roman" w:hAnsi="Times New Roman"/>
                <w:b/>
                <w:szCs w:val="21"/>
              </w:rPr>
            </w:pPr>
            <w:r>
              <w:rPr>
                <w:rFonts w:ascii="Times New Roman" w:hAnsi="Times New Roman"/>
                <w:b/>
                <w:szCs w:val="21"/>
              </w:rPr>
              <w:t>占采购总额的比例</w:t>
            </w:r>
          </w:p>
        </w:tc>
      </w:tr>
      <w:tr w14:paraId="10A9C1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05B4B351">
            <w:pPr>
              <w:jc w:val="center"/>
              <w:rPr>
                <w:rFonts w:ascii="Times New Roman" w:hAnsi="Times New Roman"/>
                <w:bCs/>
                <w:szCs w:val="21"/>
              </w:rPr>
            </w:pPr>
            <w:r>
              <w:rPr>
                <w:rFonts w:ascii="Times New Roman" w:hAnsi="Times New Roman"/>
                <w:bCs/>
                <w:szCs w:val="21"/>
              </w:rPr>
              <w:t>1</w:t>
            </w:r>
          </w:p>
        </w:tc>
        <w:tc>
          <w:tcPr>
            <w:tcW w:w="2773" w:type="dxa"/>
            <w:noWrap w:val="0"/>
            <w:tcMar>
              <w:top w:w="0" w:type="dxa"/>
              <w:left w:w="108" w:type="dxa"/>
              <w:bottom w:w="0" w:type="dxa"/>
              <w:right w:w="108" w:type="dxa"/>
            </w:tcMar>
            <w:vAlign w:val="center"/>
          </w:tcPr>
          <w:p w14:paraId="72851CE3">
            <w:pPr>
              <w:jc w:val="center"/>
              <w:rPr>
                <w:rFonts w:ascii="Times New Roman" w:hAnsi="Times New Roman"/>
                <w:bCs/>
                <w:szCs w:val="21"/>
              </w:rPr>
            </w:pPr>
            <w:r>
              <w:rPr>
                <w:rFonts w:hint="eastAsia" w:ascii="Times New Roman" w:hAnsi="Times New Roman"/>
                <w:bCs/>
                <w:szCs w:val="21"/>
              </w:rPr>
              <w:t>供应商A</w:t>
            </w:r>
          </w:p>
        </w:tc>
        <w:tc>
          <w:tcPr>
            <w:tcW w:w="1822" w:type="dxa"/>
            <w:noWrap w:val="0"/>
            <w:tcMar>
              <w:top w:w="0" w:type="dxa"/>
              <w:left w:w="108" w:type="dxa"/>
              <w:bottom w:w="0" w:type="dxa"/>
              <w:right w:w="108" w:type="dxa"/>
            </w:tcMar>
            <w:vAlign w:val="center"/>
          </w:tcPr>
          <w:p w14:paraId="5C41C7DC">
            <w:pPr>
              <w:jc w:val="center"/>
              <w:rPr>
                <w:rFonts w:hint="eastAsia" w:ascii="Times New Roman" w:hAnsi="Times New Roman"/>
                <w:bCs/>
                <w:szCs w:val="21"/>
              </w:rPr>
            </w:pPr>
            <w:r>
              <w:rPr>
                <w:rFonts w:hint="eastAsia" w:ascii="Times New Roman" w:hAnsi="Times New Roman"/>
                <w:bCs/>
                <w:szCs w:val="21"/>
              </w:rPr>
              <w:t>外协加工</w:t>
            </w:r>
          </w:p>
        </w:tc>
        <w:tc>
          <w:tcPr>
            <w:tcW w:w="1512" w:type="dxa"/>
            <w:noWrap w:val="0"/>
            <w:tcMar>
              <w:top w:w="0" w:type="dxa"/>
              <w:left w:w="108" w:type="dxa"/>
              <w:bottom w:w="0" w:type="dxa"/>
              <w:right w:w="108" w:type="dxa"/>
            </w:tcMar>
            <w:vAlign w:val="center"/>
          </w:tcPr>
          <w:p w14:paraId="2797D677">
            <w:pPr>
              <w:jc w:val="center"/>
              <w:rPr>
                <w:rFonts w:ascii="Times New Roman" w:hAnsi="Times New Roman"/>
                <w:bCs/>
                <w:szCs w:val="21"/>
              </w:rPr>
            </w:pPr>
            <w:r>
              <w:rPr>
                <w:rFonts w:hint="eastAsia" w:ascii="Times New Roman" w:hAnsi="Times New Roman"/>
                <w:bCs/>
                <w:szCs w:val="21"/>
              </w:rPr>
              <w:t>1,182.29</w:t>
            </w:r>
          </w:p>
        </w:tc>
        <w:tc>
          <w:tcPr>
            <w:tcW w:w="1681" w:type="dxa"/>
            <w:noWrap w:val="0"/>
            <w:tcMar>
              <w:top w:w="0" w:type="dxa"/>
              <w:left w:w="108" w:type="dxa"/>
              <w:bottom w:w="0" w:type="dxa"/>
              <w:right w:w="108" w:type="dxa"/>
            </w:tcMar>
            <w:vAlign w:val="center"/>
          </w:tcPr>
          <w:p w14:paraId="497A38C5">
            <w:pPr>
              <w:jc w:val="center"/>
              <w:rPr>
                <w:rFonts w:ascii="Times New Roman" w:hAnsi="Times New Roman"/>
                <w:bCs/>
                <w:szCs w:val="21"/>
              </w:rPr>
            </w:pPr>
            <w:r>
              <w:rPr>
                <w:rFonts w:hint="eastAsia" w:ascii="Times New Roman" w:hAnsi="Times New Roman"/>
                <w:bCs/>
                <w:szCs w:val="21"/>
              </w:rPr>
              <w:t>4.26%</w:t>
            </w:r>
          </w:p>
        </w:tc>
      </w:tr>
      <w:tr w14:paraId="2A685A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25F9FA10">
            <w:pPr>
              <w:jc w:val="center"/>
              <w:rPr>
                <w:rFonts w:ascii="Times New Roman" w:hAnsi="Times New Roman"/>
                <w:bCs/>
                <w:szCs w:val="21"/>
              </w:rPr>
            </w:pPr>
            <w:r>
              <w:rPr>
                <w:rFonts w:ascii="Times New Roman" w:hAnsi="Times New Roman"/>
                <w:bCs/>
                <w:szCs w:val="21"/>
              </w:rPr>
              <w:t>2</w:t>
            </w:r>
          </w:p>
        </w:tc>
        <w:tc>
          <w:tcPr>
            <w:tcW w:w="2773" w:type="dxa"/>
            <w:noWrap w:val="0"/>
            <w:tcMar>
              <w:top w:w="0" w:type="dxa"/>
              <w:left w:w="108" w:type="dxa"/>
              <w:bottom w:w="0" w:type="dxa"/>
              <w:right w:w="108" w:type="dxa"/>
            </w:tcMar>
            <w:vAlign w:val="center"/>
          </w:tcPr>
          <w:p w14:paraId="464EAC9C">
            <w:pPr>
              <w:jc w:val="center"/>
              <w:rPr>
                <w:rFonts w:hint="eastAsia" w:ascii="Times New Roman" w:hAnsi="Times New Roman"/>
                <w:bCs/>
                <w:szCs w:val="21"/>
              </w:rPr>
            </w:pPr>
            <w:r>
              <w:rPr>
                <w:rFonts w:hint="eastAsia" w:ascii="Times New Roman" w:hAnsi="Times New Roman"/>
                <w:bCs/>
                <w:szCs w:val="21"/>
              </w:rPr>
              <w:t>阿里云计算有限公司</w:t>
            </w:r>
          </w:p>
        </w:tc>
        <w:tc>
          <w:tcPr>
            <w:tcW w:w="1822" w:type="dxa"/>
            <w:noWrap w:val="0"/>
            <w:tcMar>
              <w:top w:w="0" w:type="dxa"/>
              <w:left w:w="108" w:type="dxa"/>
              <w:bottom w:w="0" w:type="dxa"/>
              <w:right w:w="108" w:type="dxa"/>
            </w:tcMar>
            <w:vAlign w:val="center"/>
          </w:tcPr>
          <w:p w14:paraId="4D0894CE">
            <w:pPr>
              <w:jc w:val="center"/>
              <w:rPr>
                <w:rFonts w:hint="eastAsia" w:ascii="Times New Roman" w:hAnsi="Times New Roman"/>
                <w:bCs/>
                <w:szCs w:val="21"/>
              </w:rPr>
            </w:pPr>
            <w:r>
              <w:rPr>
                <w:rFonts w:hint="eastAsia" w:ascii="Times New Roman" w:hAnsi="Times New Roman"/>
                <w:bCs/>
                <w:szCs w:val="21"/>
              </w:rPr>
              <w:t>云服务</w:t>
            </w:r>
          </w:p>
        </w:tc>
        <w:tc>
          <w:tcPr>
            <w:tcW w:w="1512" w:type="dxa"/>
            <w:noWrap w:val="0"/>
            <w:tcMar>
              <w:top w:w="0" w:type="dxa"/>
              <w:left w:w="108" w:type="dxa"/>
              <w:bottom w:w="0" w:type="dxa"/>
              <w:right w:w="108" w:type="dxa"/>
            </w:tcMar>
            <w:vAlign w:val="center"/>
          </w:tcPr>
          <w:p w14:paraId="3C3956AD">
            <w:pPr>
              <w:jc w:val="center"/>
              <w:rPr>
                <w:rFonts w:hint="eastAsia" w:ascii="Times New Roman" w:hAnsi="Times New Roman"/>
                <w:bCs/>
                <w:szCs w:val="21"/>
              </w:rPr>
            </w:pPr>
            <w:r>
              <w:rPr>
                <w:rFonts w:hint="eastAsia" w:ascii="Times New Roman" w:hAnsi="Times New Roman"/>
                <w:bCs/>
                <w:szCs w:val="21"/>
              </w:rPr>
              <w:t>1,068.51</w:t>
            </w:r>
          </w:p>
        </w:tc>
        <w:tc>
          <w:tcPr>
            <w:tcW w:w="1681" w:type="dxa"/>
            <w:noWrap w:val="0"/>
            <w:tcMar>
              <w:top w:w="0" w:type="dxa"/>
              <w:left w:w="108" w:type="dxa"/>
              <w:bottom w:w="0" w:type="dxa"/>
              <w:right w:w="108" w:type="dxa"/>
            </w:tcMar>
            <w:vAlign w:val="center"/>
          </w:tcPr>
          <w:p w14:paraId="5FFE7DDE">
            <w:pPr>
              <w:jc w:val="center"/>
              <w:rPr>
                <w:rFonts w:ascii="Times New Roman" w:hAnsi="Times New Roman"/>
                <w:bCs/>
                <w:szCs w:val="21"/>
              </w:rPr>
            </w:pPr>
            <w:r>
              <w:rPr>
                <w:rFonts w:hint="eastAsia" w:ascii="Times New Roman" w:hAnsi="Times New Roman"/>
                <w:bCs/>
                <w:szCs w:val="21"/>
              </w:rPr>
              <w:t>3.85%</w:t>
            </w:r>
          </w:p>
        </w:tc>
      </w:tr>
      <w:tr w14:paraId="2F2F0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6B06058C">
            <w:pPr>
              <w:jc w:val="center"/>
              <w:rPr>
                <w:rFonts w:ascii="Times New Roman" w:hAnsi="Times New Roman"/>
                <w:bCs/>
                <w:szCs w:val="21"/>
              </w:rPr>
            </w:pPr>
            <w:r>
              <w:rPr>
                <w:rFonts w:ascii="Times New Roman" w:hAnsi="Times New Roman"/>
                <w:bCs/>
                <w:szCs w:val="21"/>
              </w:rPr>
              <w:t>3</w:t>
            </w:r>
          </w:p>
        </w:tc>
        <w:tc>
          <w:tcPr>
            <w:tcW w:w="2773" w:type="dxa"/>
            <w:noWrap w:val="0"/>
            <w:tcMar>
              <w:top w:w="0" w:type="dxa"/>
              <w:left w:w="108" w:type="dxa"/>
              <w:bottom w:w="0" w:type="dxa"/>
              <w:right w:w="108" w:type="dxa"/>
            </w:tcMar>
            <w:vAlign w:val="center"/>
          </w:tcPr>
          <w:p w14:paraId="0944E99D">
            <w:pPr>
              <w:jc w:val="center"/>
              <w:rPr>
                <w:rFonts w:ascii="Times New Roman" w:hAnsi="Times New Roman"/>
                <w:bCs/>
                <w:szCs w:val="21"/>
              </w:rPr>
            </w:pPr>
            <w:r>
              <w:rPr>
                <w:rFonts w:hint="eastAsia" w:ascii="Times New Roman" w:hAnsi="Times New Roman"/>
                <w:bCs/>
                <w:szCs w:val="21"/>
              </w:rPr>
              <w:t>供应商B</w:t>
            </w:r>
          </w:p>
        </w:tc>
        <w:tc>
          <w:tcPr>
            <w:tcW w:w="1822" w:type="dxa"/>
            <w:noWrap w:val="0"/>
            <w:tcMar>
              <w:top w:w="0" w:type="dxa"/>
              <w:left w:w="108" w:type="dxa"/>
              <w:bottom w:w="0" w:type="dxa"/>
              <w:right w:w="108" w:type="dxa"/>
            </w:tcMar>
            <w:vAlign w:val="center"/>
          </w:tcPr>
          <w:p w14:paraId="292E3123">
            <w:pPr>
              <w:jc w:val="center"/>
              <w:rPr>
                <w:rFonts w:hint="eastAsia" w:ascii="Times New Roman" w:hAnsi="Times New Roman"/>
                <w:bCs/>
                <w:szCs w:val="21"/>
              </w:rPr>
            </w:pPr>
            <w:r>
              <w:rPr>
                <w:rFonts w:hint="eastAsia" w:ascii="Times New Roman" w:hAnsi="Times New Roman"/>
                <w:bCs/>
                <w:szCs w:val="21"/>
              </w:rPr>
              <w:t>外协加工</w:t>
            </w:r>
          </w:p>
        </w:tc>
        <w:tc>
          <w:tcPr>
            <w:tcW w:w="1512" w:type="dxa"/>
            <w:noWrap w:val="0"/>
            <w:tcMar>
              <w:top w:w="0" w:type="dxa"/>
              <w:left w:w="108" w:type="dxa"/>
              <w:bottom w:w="0" w:type="dxa"/>
              <w:right w:w="108" w:type="dxa"/>
            </w:tcMar>
            <w:vAlign w:val="center"/>
          </w:tcPr>
          <w:p w14:paraId="0395D85C">
            <w:pPr>
              <w:jc w:val="center"/>
              <w:rPr>
                <w:rFonts w:ascii="Times New Roman" w:hAnsi="Times New Roman"/>
                <w:bCs/>
                <w:szCs w:val="21"/>
              </w:rPr>
            </w:pPr>
            <w:r>
              <w:rPr>
                <w:rFonts w:hint="eastAsia" w:ascii="Times New Roman" w:hAnsi="Times New Roman"/>
                <w:bCs/>
                <w:szCs w:val="21"/>
              </w:rPr>
              <w:t>1,046.15</w:t>
            </w:r>
          </w:p>
        </w:tc>
        <w:tc>
          <w:tcPr>
            <w:tcW w:w="1681" w:type="dxa"/>
            <w:noWrap w:val="0"/>
            <w:tcMar>
              <w:top w:w="0" w:type="dxa"/>
              <w:left w:w="108" w:type="dxa"/>
              <w:bottom w:w="0" w:type="dxa"/>
              <w:right w:w="108" w:type="dxa"/>
            </w:tcMar>
            <w:vAlign w:val="center"/>
          </w:tcPr>
          <w:p w14:paraId="3E31CBDF">
            <w:pPr>
              <w:jc w:val="center"/>
              <w:rPr>
                <w:rFonts w:ascii="Times New Roman" w:hAnsi="Times New Roman"/>
                <w:bCs/>
                <w:szCs w:val="21"/>
              </w:rPr>
            </w:pPr>
            <w:r>
              <w:rPr>
                <w:rFonts w:hint="eastAsia" w:ascii="Times New Roman" w:hAnsi="Times New Roman"/>
                <w:bCs/>
                <w:szCs w:val="21"/>
              </w:rPr>
              <w:t>3.77%</w:t>
            </w:r>
          </w:p>
        </w:tc>
      </w:tr>
      <w:tr w14:paraId="06551D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6CA9BDF1">
            <w:pPr>
              <w:jc w:val="center"/>
              <w:rPr>
                <w:rFonts w:ascii="Times New Roman" w:hAnsi="Times New Roman"/>
                <w:bCs/>
                <w:szCs w:val="21"/>
              </w:rPr>
            </w:pPr>
            <w:r>
              <w:rPr>
                <w:rFonts w:ascii="Times New Roman" w:hAnsi="Times New Roman"/>
                <w:bCs/>
                <w:szCs w:val="21"/>
              </w:rPr>
              <w:t>4</w:t>
            </w:r>
          </w:p>
        </w:tc>
        <w:tc>
          <w:tcPr>
            <w:tcW w:w="2773" w:type="dxa"/>
            <w:noWrap w:val="0"/>
            <w:tcMar>
              <w:top w:w="0" w:type="dxa"/>
              <w:left w:w="108" w:type="dxa"/>
              <w:bottom w:w="0" w:type="dxa"/>
              <w:right w:w="108" w:type="dxa"/>
            </w:tcMar>
            <w:vAlign w:val="center"/>
          </w:tcPr>
          <w:p w14:paraId="7BED73B6">
            <w:pPr>
              <w:jc w:val="center"/>
              <w:rPr>
                <w:rFonts w:ascii="Times New Roman" w:hAnsi="Times New Roman"/>
                <w:bCs/>
                <w:szCs w:val="21"/>
              </w:rPr>
            </w:pPr>
            <w:r>
              <w:rPr>
                <w:rFonts w:hint="eastAsia" w:ascii="Times New Roman" w:hAnsi="Times New Roman"/>
                <w:bCs/>
                <w:szCs w:val="21"/>
              </w:rPr>
              <w:t>供应商C</w:t>
            </w:r>
          </w:p>
        </w:tc>
        <w:tc>
          <w:tcPr>
            <w:tcW w:w="1822" w:type="dxa"/>
            <w:noWrap w:val="0"/>
            <w:tcMar>
              <w:top w:w="0" w:type="dxa"/>
              <w:left w:w="108" w:type="dxa"/>
              <w:bottom w:w="0" w:type="dxa"/>
              <w:right w:w="108" w:type="dxa"/>
            </w:tcMar>
            <w:vAlign w:val="center"/>
          </w:tcPr>
          <w:p w14:paraId="0437E115">
            <w:pPr>
              <w:jc w:val="center"/>
              <w:rPr>
                <w:rFonts w:hint="eastAsia" w:ascii="Times New Roman" w:hAnsi="Times New Roman"/>
                <w:bCs/>
                <w:szCs w:val="21"/>
              </w:rPr>
            </w:pPr>
            <w:r>
              <w:rPr>
                <w:rFonts w:hint="eastAsia" w:ascii="Times New Roman" w:hAnsi="Times New Roman"/>
                <w:bCs/>
                <w:szCs w:val="21"/>
              </w:rPr>
              <w:t>原材料</w:t>
            </w:r>
          </w:p>
        </w:tc>
        <w:tc>
          <w:tcPr>
            <w:tcW w:w="1512" w:type="dxa"/>
            <w:noWrap w:val="0"/>
            <w:tcMar>
              <w:top w:w="0" w:type="dxa"/>
              <w:left w:w="108" w:type="dxa"/>
              <w:bottom w:w="0" w:type="dxa"/>
              <w:right w:w="108" w:type="dxa"/>
            </w:tcMar>
            <w:vAlign w:val="center"/>
          </w:tcPr>
          <w:p w14:paraId="67F1CD02">
            <w:pPr>
              <w:jc w:val="center"/>
              <w:rPr>
                <w:rFonts w:ascii="Times New Roman" w:hAnsi="Times New Roman"/>
                <w:bCs/>
                <w:szCs w:val="21"/>
              </w:rPr>
            </w:pPr>
            <w:r>
              <w:rPr>
                <w:rFonts w:hint="eastAsia" w:ascii="Times New Roman" w:hAnsi="Times New Roman"/>
                <w:bCs/>
                <w:szCs w:val="21"/>
              </w:rPr>
              <w:t>881.66</w:t>
            </w:r>
          </w:p>
        </w:tc>
        <w:tc>
          <w:tcPr>
            <w:tcW w:w="1681" w:type="dxa"/>
            <w:noWrap w:val="0"/>
            <w:tcMar>
              <w:top w:w="0" w:type="dxa"/>
              <w:left w:w="108" w:type="dxa"/>
              <w:bottom w:w="0" w:type="dxa"/>
              <w:right w:w="108" w:type="dxa"/>
            </w:tcMar>
            <w:vAlign w:val="center"/>
          </w:tcPr>
          <w:p w14:paraId="291E7CD7">
            <w:pPr>
              <w:jc w:val="center"/>
              <w:rPr>
                <w:rFonts w:ascii="Times New Roman" w:hAnsi="Times New Roman"/>
                <w:bCs/>
                <w:szCs w:val="21"/>
              </w:rPr>
            </w:pPr>
            <w:r>
              <w:rPr>
                <w:rFonts w:hint="eastAsia" w:ascii="Times New Roman" w:hAnsi="Times New Roman"/>
                <w:bCs/>
                <w:szCs w:val="21"/>
              </w:rPr>
              <w:t>3.18%</w:t>
            </w:r>
          </w:p>
        </w:tc>
      </w:tr>
      <w:tr w14:paraId="7DD81C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dxa"/>
            <w:noWrap w:val="0"/>
            <w:tcMar>
              <w:top w:w="0" w:type="dxa"/>
              <w:left w:w="108" w:type="dxa"/>
              <w:bottom w:w="0" w:type="dxa"/>
              <w:right w:w="108" w:type="dxa"/>
            </w:tcMar>
            <w:vAlign w:val="center"/>
          </w:tcPr>
          <w:p w14:paraId="600A87B0">
            <w:pPr>
              <w:jc w:val="center"/>
              <w:rPr>
                <w:rFonts w:ascii="Times New Roman" w:hAnsi="Times New Roman"/>
                <w:bCs/>
                <w:szCs w:val="21"/>
              </w:rPr>
            </w:pPr>
            <w:r>
              <w:rPr>
                <w:rFonts w:ascii="Times New Roman" w:hAnsi="Times New Roman"/>
                <w:bCs/>
                <w:szCs w:val="21"/>
              </w:rPr>
              <w:t>5</w:t>
            </w:r>
          </w:p>
        </w:tc>
        <w:tc>
          <w:tcPr>
            <w:tcW w:w="2773" w:type="dxa"/>
            <w:noWrap w:val="0"/>
            <w:tcMar>
              <w:top w:w="0" w:type="dxa"/>
              <w:left w:w="108" w:type="dxa"/>
              <w:bottom w:w="0" w:type="dxa"/>
              <w:right w:w="108" w:type="dxa"/>
            </w:tcMar>
            <w:vAlign w:val="center"/>
          </w:tcPr>
          <w:p w14:paraId="2C4ED92F">
            <w:pPr>
              <w:jc w:val="center"/>
              <w:rPr>
                <w:rFonts w:ascii="Times New Roman" w:hAnsi="Times New Roman"/>
                <w:bCs/>
                <w:szCs w:val="21"/>
              </w:rPr>
            </w:pPr>
            <w:r>
              <w:rPr>
                <w:rFonts w:hint="eastAsia" w:ascii="Times New Roman" w:hAnsi="Times New Roman"/>
                <w:bCs/>
                <w:szCs w:val="21"/>
              </w:rPr>
              <w:t>供应商D</w:t>
            </w:r>
          </w:p>
        </w:tc>
        <w:tc>
          <w:tcPr>
            <w:tcW w:w="1822" w:type="dxa"/>
            <w:noWrap w:val="0"/>
            <w:tcMar>
              <w:top w:w="0" w:type="dxa"/>
              <w:left w:w="108" w:type="dxa"/>
              <w:bottom w:w="0" w:type="dxa"/>
              <w:right w:w="108" w:type="dxa"/>
            </w:tcMar>
            <w:vAlign w:val="center"/>
          </w:tcPr>
          <w:p w14:paraId="14ACFE9A">
            <w:pPr>
              <w:jc w:val="center"/>
              <w:rPr>
                <w:rFonts w:ascii="Times New Roman" w:hAnsi="Times New Roman"/>
                <w:bCs/>
                <w:szCs w:val="21"/>
              </w:rPr>
            </w:pPr>
            <w:r>
              <w:rPr>
                <w:rFonts w:hint="eastAsia" w:ascii="Times New Roman" w:hAnsi="Times New Roman"/>
                <w:bCs/>
                <w:szCs w:val="21"/>
              </w:rPr>
              <w:t>外协加工</w:t>
            </w:r>
          </w:p>
        </w:tc>
        <w:tc>
          <w:tcPr>
            <w:tcW w:w="1512" w:type="dxa"/>
            <w:noWrap w:val="0"/>
            <w:tcMar>
              <w:top w:w="0" w:type="dxa"/>
              <w:left w:w="108" w:type="dxa"/>
              <w:bottom w:w="0" w:type="dxa"/>
              <w:right w:w="108" w:type="dxa"/>
            </w:tcMar>
            <w:vAlign w:val="center"/>
          </w:tcPr>
          <w:p w14:paraId="6A098B88">
            <w:pPr>
              <w:jc w:val="center"/>
              <w:rPr>
                <w:rFonts w:ascii="Times New Roman" w:hAnsi="Times New Roman"/>
                <w:bCs/>
                <w:szCs w:val="21"/>
              </w:rPr>
            </w:pPr>
            <w:r>
              <w:rPr>
                <w:rFonts w:hint="eastAsia" w:ascii="Times New Roman" w:hAnsi="Times New Roman"/>
                <w:bCs/>
                <w:szCs w:val="21"/>
              </w:rPr>
              <w:t>700.01</w:t>
            </w:r>
          </w:p>
        </w:tc>
        <w:tc>
          <w:tcPr>
            <w:tcW w:w="1681" w:type="dxa"/>
            <w:noWrap w:val="0"/>
            <w:tcMar>
              <w:top w:w="0" w:type="dxa"/>
              <w:left w:w="108" w:type="dxa"/>
              <w:bottom w:w="0" w:type="dxa"/>
              <w:right w:w="108" w:type="dxa"/>
            </w:tcMar>
            <w:vAlign w:val="center"/>
          </w:tcPr>
          <w:p w14:paraId="38F5CF63">
            <w:pPr>
              <w:jc w:val="center"/>
              <w:rPr>
                <w:rFonts w:ascii="Times New Roman" w:hAnsi="Times New Roman"/>
                <w:bCs/>
                <w:szCs w:val="21"/>
              </w:rPr>
            </w:pPr>
            <w:r>
              <w:rPr>
                <w:rFonts w:hint="eastAsia" w:ascii="Times New Roman" w:hAnsi="Times New Roman"/>
                <w:bCs/>
                <w:szCs w:val="21"/>
              </w:rPr>
              <w:t>2.52%</w:t>
            </w:r>
          </w:p>
        </w:tc>
      </w:tr>
      <w:tr w14:paraId="577140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29" w:type="dxa"/>
            <w:gridSpan w:val="3"/>
            <w:noWrap w:val="0"/>
            <w:tcMar>
              <w:top w:w="0" w:type="dxa"/>
              <w:left w:w="108" w:type="dxa"/>
              <w:bottom w:w="0" w:type="dxa"/>
              <w:right w:w="108" w:type="dxa"/>
            </w:tcMar>
            <w:vAlign w:val="center"/>
          </w:tcPr>
          <w:p w14:paraId="22D8AD9E">
            <w:pPr>
              <w:jc w:val="center"/>
              <w:rPr>
                <w:rFonts w:ascii="Times New Roman" w:hAnsi="Times New Roman"/>
                <w:b/>
                <w:szCs w:val="21"/>
              </w:rPr>
            </w:pPr>
            <w:r>
              <w:rPr>
                <w:rFonts w:ascii="Times New Roman" w:hAnsi="Times New Roman"/>
                <w:b/>
                <w:szCs w:val="21"/>
              </w:rPr>
              <w:t>合计</w:t>
            </w:r>
          </w:p>
        </w:tc>
        <w:tc>
          <w:tcPr>
            <w:tcW w:w="1512" w:type="dxa"/>
            <w:noWrap w:val="0"/>
            <w:tcMar>
              <w:top w:w="0" w:type="dxa"/>
              <w:left w:w="108" w:type="dxa"/>
              <w:bottom w:w="0" w:type="dxa"/>
              <w:right w:w="108" w:type="dxa"/>
            </w:tcMar>
            <w:vAlign w:val="center"/>
          </w:tcPr>
          <w:p w14:paraId="5BF203ED">
            <w:pPr>
              <w:jc w:val="center"/>
              <w:rPr>
                <w:rFonts w:ascii="Times New Roman" w:hAnsi="Times New Roman"/>
                <w:b/>
                <w:szCs w:val="21"/>
              </w:rPr>
            </w:pPr>
            <w:r>
              <w:rPr>
                <w:rFonts w:hint="eastAsia" w:ascii="Times New Roman" w:hAnsi="Times New Roman"/>
                <w:b/>
                <w:szCs w:val="21"/>
              </w:rPr>
              <w:t>4,878.62</w:t>
            </w:r>
          </w:p>
        </w:tc>
        <w:tc>
          <w:tcPr>
            <w:tcW w:w="1681" w:type="dxa"/>
            <w:noWrap w:val="0"/>
            <w:tcMar>
              <w:top w:w="0" w:type="dxa"/>
              <w:left w:w="108" w:type="dxa"/>
              <w:bottom w:w="0" w:type="dxa"/>
              <w:right w:w="108" w:type="dxa"/>
            </w:tcMar>
            <w:vAlign w:val="center"/>
          </w:tcPr>
          <w:p w14:paraId="5B47B275">
            <w:pPr>
              <w:jc w:val="center"/>
              <w:rPr>
                <w:rFonts w:ascii="Times New Roman" w:hAnsi="Times New Roman"/>
                <w:b/>
                <w:szCs w:val="21"/>
              </w:rPr>
            </w:pPr>
            <w:r>
              <w:rPr>
                <w:rFonts w:hint="eastAsia" w:ascii="Times New Roman" w:hAnsi="Times New Roman"/>
                <w:b/>
                <w:szCs w:val="21"/>
              </w:rPr>
              <w:t>17.59%</w:t>
            </w:r>
          </w:p>
        </w:tc>
      </w:tr>
    </w:tbl>
    <w:p w14:paraId="71657147">
      <w:pPr>
        <w:widowControl/>
        <w:adjustRightInd w:val="0"/>
        <w:snapToGrid w:val="0"/>
        <w:ind w:firstLine="420" w:firstLineChars="200"/>
        <w:rPr>
          <w:rFonts w:hint="eastAsia" w:ascii="Times New Roman" w:hAnsi="Times New Roman"/>
          <w:kern w:val="0"/>
          <w:sz w:val="24"/>
        </w:rPr>
      </w:pPr>
      <w:r>
        <w:rPr>
          <w:lang w:bidi="ar"/>
        </w:rPr>
        <w:t>注：同一控制下合并披露</w:t>
      </w:r>
      <w:r>
        <w:rPr>
          <w:rFonts w:hint="eastAsia"/>
          <w:lang w:bidi="ar"/>
        </w:rPr>
        <w:t>。</w:t>
      </w:r>
    </w:p>
    <w:p w14:paraId="7ED1CC06">
      <w:pPr>
        <w:pStyle w:val="39"/>
        <w:adjustRightInd w:val="0"/>
        <w:snapToGrid w:val="0"/>
        <w:spacing w:before="156" w:beforeLines="50" w:after="156" w:afterLines="50"/>
        <w:ind w:firstLine="480"/>
        <w:rPr>
          <w:rFonts w:hint="eastAsia"/>
          <w:szCs w:val="24"/>
        </w:rPr>
      </w:pPr>
      <w:r>
        <w:rPr>
          <w:rFonts w:hint="eastAsia"/>
          <w:szCs w:val="24"/>
        </w:rPr>
        <w:t>根据星云开物的确认并经本所律师核查，小呗无限（深圳）科技有限公司持有标的公司控股子公司乐呗科技49%股权，基于谨慎性原则，将其认定为标的公司关联方。除上述情形外，标的公司董事、监事、高级管理人员和核心技术人员、其他主要关联方或持股百分之五以上的股东均未在报告期前五名客户、供应商中拥有权益。</w:t>
      </w:r>
    </w:p>
    <w:p w14:paraId="00A0E997">
      <w:pPr>
        <w:tabs>
          <w:tab w:val="left" w:pos="709"/>
        </w:tabs>
        <w:snapToGrid w:val="0"/>
        <w:spacing w:before="156" w:beforeLines="50" w:after="156" w:afterLines="50" w:line="360" w:lineRule="auto"/>
        <w:ind w:firstLine="482" w:firstLineChars="200"/>
        <w:rPr>
          <w:rFonts w:hint="eastAsia" w:ascii="Times New Roman" w:hAnsi="Times New Roman"/>
          <w:b/>
          <w:bCs/>
          <w:kern w:val="0"/>
          <w:sz w:val="24"/>
        </w:rPr>
      </w:pPr>
      <w:r>
        <w:rPr>
          <w:rFonts w:ascii="Times New Roman" w:hAnsi="Times New Roman"/>
          <w:b/>
          <w:bCs/>
          <w:kern w:val="0"/>
          <w:sz w:val="24"/>
          <w:lang w:eastAsia="zh"/>
        </w:rPr>
        <w:t>综上，</w:t>
      </w:r>
      <w:r>
        <w:rPr>
          <w:rFonts w:hint="eastAsia" w:ascii="Times New Roman" w:hAnsi="Times New Roman"/>
          <w:b/>
          <w:bCs/>
          <w:kern w:val="0"/>
          <w:sz w:val="24"/>
        </w:rPr>
        <w:t>本所认为：</w:t>
      </w:r>
    </w:p>
    <w:p w14:paraId="7D571411">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截至本补充法律意见书出具日，标的公司已经取得现有生产经营所需必要的资质，生产经营合法合规。</w:t>
      </w:r>
    </w:p>
    <w:p w14:paraId="7D6245F1">
      <w:pPr>
        <w:pStyle w:val="39"/>
        <w:adjustRightInd w:val="0"/>
        <w:snapToGrid w:val="0"/>
        <w:spacing w:before="156" w:beforeLines="50" w:after="156" w:afterLines="50"/>
        <w:ind w:firstLine="482"/>
        <w:outlineLvl w:val="1"/>
        <w:rPr>
          <w:b/>
          <w:bCs/>
          <w:color w:val="000000"/>
          <w:kern w:val="0"/>
          <w:szCs w:val="24"/>
        </w:rPr>
      </w:pPr>
      <w:r>
        <w:rPr>
          <w:rFonts w:hint="eastAsia"/>
          <w:b/>
          <w:bCs/>
          <w:color w:val="000000"/>
          <w:kern w:val="0"/>
          <w:szCs w:val="24"/>
        </w:rPr>
        <w:t>（四）</w:t>
      </w:r>
      <w:r>
        <w:rPr>
          <w:b/>
          <w:bCs/>
          <w:color w:val="000000"/>
          <w:kern w:val="0"/>
          <w:szCs w:val="24"/>
        </w:rPr>
        <w:t>标的</w:t>
      </w:r>
      <w:r>
        <w:rPr>
          <w:rFonts w:hint="eastAsia"/>
          <w:b/>
          <w:bCs/>
          <w:color w:val="000000"/>
          <w:kern w:val="0"/>
          <w:szCs w:val="24"/>
        </w:rPr>
        <w:t>公司的主要</w:t>
      </w:r>
      <w:r>
        <w:rPr>
          <w:b/>
          <w:bCs/>
          <w:color w:val="000000"/>
          <w:kern w:val="0"/>
          <w:szCs w:val="24"/>
        </w:rPr>
        <w:t>资产</w:t>
      </w:r>
      <w:bookmarkEnd w:id="36"/>
      <w:bookmarkEnd w:id="37"/>
    </w:p>
    <w:p w14:paraId="00D53E8F">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1、控股及参股企业</w:t>
      </w:r>
    </w:p>
    <w:p w14:paraId="0ADB0EB0">
      <w:pPr>
        <w:widowControl/>
        <w:kinsoku w:val="0"/>
        <w:autoSpaceDE w:val="0"/>
        <w:autoSpaceDN w:val="0"/>
        <w:adjustRightInd w:val="0"/>
        <w:snapToGrid w:val="0"/>
        <w:spacing w:before="156" w:beforeLines="50" w:after="156" w:afterLines="50" w:line="360" w:lineRule="auto"/>
        <w:ind w:firstLine="496" w:firstLineChars="200"/>
        <w:textAlignment w:val="baseline"/>
        <w:rPr>
          <w:rFonts w:hint="eastAsia" w:ascii="Times New Roman" w:hAnsi="Times New Roman"/>
          <w:spacing w:val="4"/>
          <w:sz w:val="24"/>
        </w:rPr>
      </w:pPr>
      <w:r>
        <w:rPr>
          <w:rFonts w:ascii="Times New Roman" w:hAnsi="Times New Roman"/>
          <w:spacing w:val="4"/>
          <w:sz w:val="24"/>
        </w:rPr>
        <w:t>经核查，</w:t>
      </w:r>
      <w:r>
        <w:rPr>
          <w:rFonts w:ascii="Times New Roman" w:hAnsi="Times New Roman"/>
          <w:sz w:val="24"/>
        </w:rPr>
        <w:t>补充核查期间内</w:t>
      </w:r>
      <w:r>
        <w:rPr>
          <w:rFonts w:ascii="Times New Roman" w:hAnsi="Times New Roman"/>
          <w:spacing w:val="4"/>
          <w:sz w:val="24"/>
        </w:rPr>
        <w:t>，</w:t>
      </w:r>
      <w:r>
        <w:rPr>
          <w:rFonts w:hint="eastAsia" w:ascii="Times New Roman" w:hAnsi="Times New Roman"/>
          <w:spacing w:val="4"/>
          <w:sz w:val="24"/>
        </w:rPr>
        <w:t>星云开物新设1家控股子公司，注销1家控股子公司，出售1家参股企业，另有一家控股子公司股权结构发生变化，具体情况如下：</w:t>
      </w:r>
    </w:p>
    <w:p w14:paraId="07380257">
      <w:pPr>
        <w:widowControl/>
        <w:numPr>
          <w:ilvl w:val="0"/>
          <w:numId w:val="3"/>
        </w:numPr>
        <w:kinsoku w:val="0"/>
        <w:autoSpaceDE w:val="0"/>
        <w:autoSpaceDN w:val="0"/>
        <w:adjustRightInd w:val="0"/>
        <w:snapToGrid w:val="0"/>
        <w:spacing w:before="156" w:beforeLines="50" w:after="156" w:afterLines="50" w:line="360" w:lineRule="auto"/>
        <w:ind w:firstLine="496" w:firstLineChars="200"/>
        <w:textAlignment w:val="baseline"/>
        <w:rPr>
          <w:rFonts w:ascii="Times New Roman" w:hAnsi="Times New Roman"/>
          <w:szCs w:val="21"/>
        </w:rPr>
      </w:pPr>
      <w:r>
        <w:rPr>
          <w:rFonts w:hint="eastAsia" w:ascii="Times New Roman" w:hAnsi="Times New Roman"/>
          <w:spacing w:val="4"/>
          <w:sz w:val="24"/>
        </w:rPr>
        <w:t>新设控股子公司—</w:t>
      </w:r>
      <w:r>
        <w:rPr>
          <w:rFonts w:ascii="Times New Roman" w:hAnsi="Times New Roman"/>
          <w:spacing w:val="4"/>
          <w:sz w:val="24"/>
        </w:rPr>
        <w:t>珠海维氪科技有限公司</w:t>
      </w:r>
    </w:p>
    <w:p w14:paraId="5990C938">
      <w:pPr>
        <w:widowControl/>
        <w:kinsoku w:val="0"/>
        <w:autoSpaceDE w:val="0"/>
        <w:autoSpaceDN w:val="0"/>
        <w:adjustRightInd w:val="0"/>
        <w:snapToGrid w:val="0"/>
        <w:spacing w:before="156" w:beforeLines="50" w:after="156" w:afterLines="50" w:line="360" w:lineRule="auto"/>
        <w:ind w:firstLine="496" w:firstLineChars="200"/>
        <w:textAlignment w:val="baseline"/>
        <w:rPr>
          <w:rFonts w:hint="eastAsia" w:ascii="Times New Roman" w:hAnsi="Times New Roman"/>
          <w:spacing w:val="4"/>
          <w:sz w:val="24"/>
        </w:rPr>
      </w:pPr>
      <w:r>
        <w:rPr>
          <w:rFonts w:hint="eastAsia" w:ascii="Times New Roman" w:hAnsi="Times New Roman"/>
          <w:spacing w:val="4"/>
          <w:sz w:val="24"/>
        </w:rPr>
        <w:t>2025年10月，因业务发展需要，由星云开物控股子公司广州宝点全资新设1家子公司</w:t>
      </w:r>
      <w:r>
        <w:rPr>
          <w:rFonts w:ascii="Times New Roman" w:hAnsi="Times New Roman"/>
          <w:spacing w:val="4"/>
          <w:sz w:val="24"/>
        </w:rPr>
        <w:t>珠海维氪科技有限公司</w:t>
      </w:r>
      <w:r>
        <w:rPr>
          <w:rFonts w:hint="eastAsia" w:ascii="Times New Roman" w:hAnsi="Times New Roman"/>
          <w:spacing w:val="4"/>
          <w:sz w:val="24"/>
        </w:rPr>
        <w:t>，其具体情况如下：</w:t>
      </w:r>
    </w:p>
    <w:tbl>
      <w:tblPr>
        <w:tblStyle w:val="21"/>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2887"/>
        <w:gridCol w:w="1958"/>
        <w:gridCol w:w="1642"/>
      </w:tblGrid>
      <w:tr w14:paraId="4AE13A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07DF55AE">
            <w:pPr>
              <w:rPr>
                <w:rFonts w:ascii="Times New Roman" w:hAnsi="Times New Roman"/>
                <w:b/>
                <w:bCs/>
                <w:szCs w:val="21"/>
              </w:rPr>
            </w:pPr>
            <w:r>
              <w:rPr>
                <w:rFonts w:ascii="Times New Roman" w:hAnsi="Times New Roman"/>
                <w:b/>
                <w:bCs/>
                <w:szCs w:val="21"/>
              </w:rPr>
              <w:t>名称</w:t>
            </w:r>
          </w:p>
        </w:tc>
        <w:tc>
          <w:tcPr>
            <w:tcW w:w="6492" w:type="dxa"/>
            <w:gridSpan w:val="3"/>
            <w:noWrap w:val="0"/>
            <w:tcMar>
              <w:top w:w="0" w:type="dxa"/>
              <w:left w:w="108" w:type="dxa"/>
              <w:bottom w:w="0" w:type="dxa"/>
              <w:right w:w="108" w:type="dxa"/>
            </w:tcMar>
            <w:vAlign w:val="center"/>
          </w:tcPr>
          <w:p w14:paraId="47E12E9D">
            <w:pPr>
              <w:rPr>
                <w:rFonts w:ascii="Times New Roman" w:hAnsi="Times New Roman"/>
                <w:szCs w:val="21"/>
              </w:rPr>
            </w:pPr>
            <w:r>
              <w:rPr>
                <w:rFonts w:ascii="Times New Roman" w:hAnsi="Times New Roman"/>
                <w:szCs w:val="21"/>
              </w:rPr>
              <w:t>珠海维氪科技有限公司</w:t>
            </w:r>
          </w:p>
        </w:tc>
      </w:tr>
      <w:tr w14:paraId="0BA4D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439A6DAD">
            <w:pPr>
              <w:rPr>
                <w:rFonts w:ascii="Times New Roman" w:hAnsi="Times New Roman"/>
                <w:b/>
                <w:bCs/>
                <w:szCs w:val="21"/>
              </w:rPr>
            </w:pPr>
            <w:r>
              <w:rPr>
                <w:rFonts w:ascii="Times New Roman" w:hAnsi="Times New Roman"/>
                <w:b/>
                <w:bCs/>
                <w:szCs w:val="21"/>
              </w:rPr>
              <w:t>统一社会信用代码</w:t>
            </w:r>
          </w:p>
        </w:tc>
        <w:tc>
          <w:tcPr>
            <w:tcW w:w="6492" w:type="dxa"/>
            <w:gridSpan w:val="3"/>
            <w:noWrap w:val="0"/>
            <w:tcMar>
              <w:top w:w="0" w:type="dxa"/>
              <w:left w:w="108" w:type="dxa"/>
              <w:bottom w:w="0" w:type="dxa"/>
              <w:right w:w="108" w:type="dxa"/>
            </w:tcMar>
            <w:vAlign w:val="center"/>
          </w:tcPr>
          <w:p w14:paraId="0E766551">
            <w:pPr>
              <w:rPr>
                <w:rFonts w:ascii="Times New Roman" w:hAnsi="Times New Roman"/>
                <w:szCs w:val="21"/>
              </w:rPr>
            </w:pPr>
            <w:r>
              <w:rPr>
                <w:rFonts w:ascii="Times New Roman" w:hAnsi="Times New Roman"/>
                <w:szCs w:val="21"/>
              </w:rPr>
              <w:t>91440003MAG09UP49U</w:t>
            </w:r>
          </w:p>
        </w:tc>
      </w:tr>
      <w:tr w14:paraId="751BB4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035" w:type="dxa"/>
            <w:noWrap w:val="0"/>
            <w:tcMar>
              <w:top w:w="0" w:type="dxa"/>
              <w:left w:w="108" w:type="dxa"/>
              <w:bottom w:w="0" w:type="dxa"/>
              <w:right w:w="108" w:type="dxa"/>
            </w:tcMar>
            <w:vAlign w:val="center"/>
          </w:tcPr>
          <w:p w14:paraId="510D1F1D">
            <w:pPr>
              <w:rPr>
                <w:rFonts w:ascii="Times New Roman" w:hAnsi="Times New Roman"/>
                <w:b/>
                <w:bCs/>
                <w:szCs w:val="21"/>
              </w:rPr>
            </w:pPr>
            <w:r>
              <w:rPr>
                <w:rFonts w:ascii="Times New Roman" w:hAnsi="Times New Roman"/>
                <w:b/>
                <w:bCs/>
                <w:szCs w:val="21"/>
              </w:rPr>
              <w:t>注册资本</w:t>
            </w:r>
          </w:p>
        </w:tc>
        <w:tc>
          <w:tcPr>
            <w:tcW w:w="6492" w:type="dxa"/>
            <w:gridSpan w:val="3"/>
            <w:noWrap w:val="0"/>
            <w:tcMar>
              <w:top w:w="0" w:type="dxa"/>
              <w:left w:w="108" w:type="dxa"/>
              <w:bottom w:w="0" w:type="dxa"/>
              <w:right w:w="108" w:type="dxa"/>
            </w:tcMar>
            <w:vAlign w:val="center"/>
          </w:tcPr>
          <w:p w14:paraId="57F0A0D7">
            <w:pPr>
              <w:rPr>
                <w:rFonts w:ascii="Times New Roman" w:hAnsi="Times New Roman"/>
                <w:szCs w:val="21"/>
              </w:rPr>
            </w:pPr>
            <w:r>
              <w:rPr>
                <w:rFonts w:ascii="Times New Roman" w:hAnsi="Times New Roman"/>
                <w:szCs w:val="21"/>
              </w:rPr>
              <w:t>人民币1</w:t>
            </w:r>
            <w:r>
              <w:rPr>
                <w:rFonts w:hint="eastAsia" w:ascii="Times New Roman" w:hAnsi="Times New Roman"/>
                <w:szCs w:val="21"/>
              </w:rPr>
              <w:t>0</w:t>
            </w:r>
            <w:r>
              <w:rPr>
                <w:rFonts w:ascii="Times New Roman" w:hAnsi="Times New Roman"/>
                <w:szCs w:val="21"/>
              </w:rPr>
              <w:t>万元</w:t>
            </w:r>
          </w:p>
        </w:tc>
      </w:tr>
      <w:tr w14:paraId="3AD807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32ECDEA4">
            <w:pPr>
              <w:rPr>
                <w:rFonts w:ascii="Times New Roman" w:hAnsi="Times New Roman"/>
                <w:b/>
                <w:bCs/>
                <w:szCs w:val="21"/>
              </w:rPr>
            </w:pPr>
            <w:r>
              <w:rPr>
                <w:rFonts w:ascii="Times New Roman" w:hAnsi="Times New Roman"/>
                <w:b/>
                <w:bCs/>
                <w:szCs w:val="21"/>
              </w:rPr>
              <w:t>法定代表人</w:t>
            </w:r>
          </w:p>
        </w:tc>
        <w:tc>
          <w:tcPr>
            <w:tcW w:w="6492" w:type="dxa"/>
            <w:gridSpan w:val="3"/>
            <w:noWrap w:val="0"/>
            <w:tcMar>
              <w:top w:w="0" w:type="dxa"/>
              <w:left w:w="108" w:type="dxa"/>
              <w:bottom w:w="0" w:type="dxa"/>
              <w:right w:w="108" w:type="dxa"/>
            </w:tcMar>
            <w:vAlign w:val="center"/>
          </w:tcPr>
          <w:p w14:paraId="74EC8BC9">
            <w:pPr>
              <w:rPr>
                <w:rFonts w:hint="eastAsia" w:ascii="Times New Roman" w:hAnsi="Times New Roman"/>
                <w:szCs w:val="21"/>
              </w:rPr>
            </w:pPr>
            <w:r>
              <w:rPr>
                <w:rFonts w:hint="eastAsia" w:ascii="Times New Roman" w:hAnsi="Times New Roman"/>
                <w:szCs w:val="21"/>
              </w:rPr>
              <w:t>张超</w:t>
            </w:r>
          </w:p>
        </w:tc>
      </w:tr>
      <w:tr w14:paraId="6EE74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1AF5C564">
            <w:pPr>
              <w:rPr>
                <w:rFonts w:ascii="Times New Roman" w:hAnsi="Times New Roman"/>
                <w:b/>
                <w:bCs/>
                <w:szCs w:val="21"/>
              </w:rPr>
            </w:pPr>
            <w:r>
              <w:rPr>
                <w:rFonts w:ascii="Times New Roman" w:hAnsi="Times New Roman"/>
                <w:b/>
                <w:bCs/>
                <w:szCs w:val="21"/>
              </w:rPr>
              <w:t>成立日期</w:t>
            </w:r>
          </w:p>
        </w:tc>
        <w:tc>
          <w:tcPr>
            <w:tcW w:w="6492" w:type="dxa"/>
            <w:gridSpan w:val="3"/>
            <w:noWrap w:val="0"/>
            <w:tcMar>
              <w:top w:w="0" w:type="dxa"/>
              <w:left w:w="108" w:type="dxa"/>
              <w:bottom w:w="0" w:type="dxa"/>
              <w:right w:w="108" w:type="dxa"/>
            </w:tcMar>
            <w:vAlign w:val="center"/>
          </w:tcPr>
          <w:p w14:paraId="5D4392B1">
            <w:pPr>
              <w:rPr>
                <w:rFonts w:ascii="Times New Roman" w:hAnsi="Times New Roman"/>
                <w:szCs w:val="21"/>
              </w:rPr>
            </w:pPr>
            <w:r>
              <w:rPr>
                <w:rFonts w:ascii="Times New Roman" w:hAnsi="Times New Roman"/>
                <w:szCs w:val="21"/>
              </w:rPr>
              <w:t>202</w:t>
            </w:r>
            <w:r>
              <w:rPr>
                <w:rFonts w:hint="eastAsia" w:ascii="Times New Roman" w:hAnsi="Times New Roman"/>
                <w:szCs w:val="21"/>
              </w:rPr>
              <w:t>5</w:t>
            </w:r>
            <w:r>
              <w:rPr>
                <w:rFonts w:ascii="Times New Roman" w:hAnsi="Times New Roman"/>
                <w:szCs w:val="21"/>
              </w:rPr>
              <w:t>年</w:t>
            </w:r>
            <w:r>
              <w:rPr>
                <w:rFonts w:hint="eastAsia" w:ascii="Times New Roman" w:hAnsi="Times New Roman"/>
                <w:szCs w:val="21"/>
              </w:rPr>
              <w:t>10</w:t>
            </w:r>
            <w:r>
              <w:rPr>
                <w:rFonts w:ascii="Times New Roman" w:hAnsi="Times New Roman"/>
                <w:szCs w:val="21"/>
              </w:rPr>
              <w:t>月</w:t>
            </w:r>
            <w:r>
              <w:rPr>
                <w:rFonts w:hint="eastAsia" w:ascii="Times New Roman" w:hAnsi="Times New Roman"/>
                <w:szCs w:val="21"/>
              </w:rPr>
              <w:t>16</w:t>
            </w:r>
            <w:r>
              <w:rPr>
                <w:rFonts w:ascii="Times New Roman" w:hAnsi="Times New Roman"/>
                <w:szCs w:val="21"/>
              </w:rPr>
              <w:t>日</w:t>
            </w:r>
          </w:p>
        </w:tc>
      </w:tr>
      <w:tr w14:paraId="1FFC1A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0EA4CC86">
            <w:pPr>
              <w:rPr>
                <w:rFonts w:ascii="Times New Roman" w:hAnsi="Times New Roman"/>
                <w:b/>
                <w:bCs/>
                <w:szCs w:val="21"/>
              </w:rPr>
            </w:pPr>
            <w:r>
              <w:rPr>
                <w:rFonts w:ascii="Times New Roman" w:hAnsi="Times New Roman"/>
                <w:b/>
                <w:bCs/>
                <w:szCs w:val="21"/>
              </w:rPr>
              <w:t>注册地址</w:t>
            </w:r>
          </w:p>
        </w:tc>
        <w:tc>
          <w:tcPr>
            <w:tcW w:w="6492" w:type="dxa"/>
            <w:gridSpan w:val="3"/>
            <w:noWrap w:val="0"/>
            <w:tcMar>
              <w:top w:w="0" w:type="dxa"/>
              <w:left w:w="108" w:type="dxa"/>
              <w:bottom w:w="0" w:type="dxa"/>
              <w:right w:w="108" w:type="dxa"/>
            </w:tcMar>
            <w:vAlign w:val="center"/>
          </w:tcPr>
          <w:p w14:paraId="14FCBC1B">
            <w:pPr>
              <w:rPr>
                <w:rFonts w:ascii="Times New Roman" w:hAnsi="Times New Roman"/>
                <w:szCs w:val="21"/>
              </w:rPr>
            </w:pPr>
            <w:r>
              <w:rPr>
                <w:rFonts w:ascii="Times New Roman" w:hAnsi="Times New Roman"/>
                <w:szCs w:val="21"/>
              </w:rPr>
              <w:t>珠海市横琴新区兴盛一路128号1010办公A</w:t>
            </w:r>
          </w:p>
        </w:tc>
      </w:tr>
      <w:tr w14:paraId="0EE312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73395077">
            <w:pPr>
              <w:rPr>
                <w:rFonts w:ascii="Times New Roman" w:hAnsi="Times New Roman"/>
                <w:b/>
                <w:bCs/>
                <w:szCs w:val="21"/>
              </w:rPr>
            </w:pPr>
            <w:r>
              <w:rPr>
                <w:rFonts w:ascii="Times New Roman" w:hAnsi="Times New Roman"/>
                <w:b/>
                <w:bCs/>
                <w:szCs w:val="21"/>
              </w:rPr>
              <w:t>营业范围</w:t>
            </w:r>
          </w:p>
        </w:tc>
        <w:tc>
          <w:tcPr>
            <w:tcW w:w="6492" w:type="dxa"/>
            <w:gridSpan w:val="3"/>
            <w:noWrap w:val="0"/>
            <w:tcMar>
              <w:top w:w="0" w:type="dxa"/>
              <w:left w:w="108" w:type="dxa"/>
              <w:bottom w:w="0" w:type="dxa"/>
              <w:right w:w="108" w:type="dxa"/>
            </w:tcMar>
            <w:vAlign w:val="center"/>
          </w:tcPr>
          <w:p w14:paraId="18A7B021">
            <w:pPr>
              <w:rPr>
                <w:rFonts w:ascii="Times New Roman" w:hAnsi="Times New Roman"/>
                <w:szCs w:val="21"/>
              </w:rPr>
            </w:pPr>
            <w:r>
              <w:rPr>
                <w:rFonts w:ascii="Times New Roman" w:hAnsi="Times New Roman"/>
                <w:szCs w:val="21"/>
              </w:rPr>
              <w:t>一般项目：技术服务、技术开发、技术咨询、技术交流、技术转让、技术推广；软件开发；人工智能基础软件开发；数字文化创意软件开发；互联网销售（除销售需要许可的商品）；软件销售；电子产品销售；信息技术咨询服务；信息系统运行维护服务；网络技术服务；广告设计、代理；广告发布；广告制作；货物进出口；技术进出口；以自有资金从事投资活动；普通露天游乐场所游乐设备销售；动漫游戏开发；计算机软硬件及辅助设备批发；商业综合体管理服务；会议及展览服务（出国办展须经相关部门审批）；游艺用品及室内游艺器材销售；网络与信息安全软件开发；工业互联网数据服务；文艺创作；信息咨询服务（不含许可类信息咨询服务）；大数据服务；企业形象策划；咨询策划服务；市场营销策划；组织文化艺术交流活动；社会经济咨询服务；日用品销售；日用杂品销售；日用百货销售；摄像及视频制作服务；工业设计服务；专业设计服务；平面设计；个人商务服务；数据处理服务。（除依法须经批准的项目外，凭营业执照依法自主开展经营活动）</w:t>
            </w:r>
          </w:p>
        </w:tc>
      </w:tr>
      <w:tr w14:paraId="77168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noWrap w:val="0"/>
            <w:tcMar>
              <w:top w:w="0" w:type="dxa"/>
              <w:left w:w="108" w:type="dxa"/>
              <w:bottom w:w="0" w:type="dxa"/>
              <w:right w:w="108" w:type="dxa"/>
            </w:tcMar>
            <w:vAlign w:val="center"/>
          </w:tcPr>
          <w:p w14:paraId="59B40034">
            <w:pPr>
              <w:rPr>
                <w:rFonts w:ascii="Times New Roman" w:hAnsi="Times New Roman"/>
                <w:b/>
                <w:bCs/>
                <w:szCs w:val="21"/>
              </w:rPr>
            </w:pPr>
            <w:r>
              <w:rPr>
                <w:rFonts w:ascii="Times New Roman" w:hAnsi="Times New Roman"/>
                <w:b/>
                <w:bCs/>
                <w:szCs w:val="21"/>
              </w:rPr>
              <w:t>经营期限</w:t>
            </w:r>
          </w:p>
        </w:tc>
        <w:tc>
          <w:tcPr>
            <w:tcW w:w="6492" w:type="dxa"/>
            <w:gridSpan w:val="3"/>
            <w:noWrap w:val="0"/>
            <w:tcMar>
              <w:top w:w="0" w:type="dxa"/>
              <w:left w:w="108" w:type="dxa"/>
              <w:bottom w:w="0" w:type="dxa"/>
              <w:right w:w="108" w:type="dxa"/>
            </w:tcMar>
            <w:vAlign w:val="center"/>
          </w:tcPr>
          <w:p w14:paraId="52C7A2A4">
            <w:pPr>
              <w:rPr>
                <w:rFonts w:ascii="Times New Roman" w:hAnsi="Times New Roman"/>
                <w:szCs w:val="21"/>
              </w:rPr>
            </w:pPr>
            <w:r>
              <w:rPr>
                <w:rFonts w:ascii="Times New Roman" w:hAnsi="Times New Roman"/>
                <w:szCs w:val="21"/>
              </w:rPr>
              <w:t>2025-10-16至无固定期限</w:t>
            </w:r>
          </w:p>
        </w:tc>
      </w:tr>
      <w:tr w14:paraId="6FF5C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vMerge w:val="restart"/>
            <w:noWrap w:val="0"/>
            <w:tcMar>
              <w:top w:w="0" w:type="dxa"/>
              <w:left w:w="108" w:type="dxa"/>
              <w:bottom w:w="0" w:type="dxa"/>
              <w:right w:w="108" w:type="dxa"/>
            </w:tcMar>
            <w:vAlign w:val="center"/>
          </w:tcPr>
          <w:p w14:paraId="2BDA7358">
            <w:pPr>
              <w:rPr>
                <w:rFonts w:ascii="Times New Roman" w:hAnsi="Times New Roman"/>
                <w:b/>
                <w:bCs/>
                <w:szCs w:val="21"/>
              </w:rPr>
            </w:pPr>
            <w:r>
              <w:rPr>
                <w:rFonts w:ascii="Times New Roman" w:hAnsi="Times New Roman"/>
                <w:b/>
                <w:bCs/>
                <w:szCs w:val="21"/>
              </w:rPr>
              <w:t>股权结构</w:t>
            </w:r>
          </w:p>
        </w:tc>
        <w:tc>
          <w:tcPr>
            <w:tcW w:w="2889" w:type="dxa"/>
            <w:noWrap w:val="0"/>
            <w:tcMar>
              <w:top w:w="0" w:type="dxa"/>
              <w:left w:w="108" w:type="dxa"/>
              <w:bottom w:w="0" w:type="dxa"/>
              <w:right w:w="108" w:type="dxa"/>
            </w:tcMar>
            <w:vAlign w:val="center"/>
          </w:tcPr>
          <w:p w14:paraId="2A0C8AC1">
            <w:pPr>
              <w:widowControl/>
              <w:jc w:val="center"/>
              <w:rPr>
                <w:rFonts w:ascii="Times New Roman" w:hAnsi="Times New Roman"/>
                <w:b/>
                <w:szCs w:val="21"/>
              </w:rPr>
            </w:pPr>
            <w:r>
              <w:rPr>
                <w:rFonts w:ascii="Times New Roman" w:hAnsi="Times New Roman"/>
                <w:b/>
                <w:kern w:val="0"/>
                <w:szCs w:val="21"/>
              </w:rPr>
              <w:t>股东名称</w:t>
            </w:r>
          </w:p>
        </w:tc>
        <w:tc>
          <w:tcPr>
            <w:tcW w:w="1960" w:type="dxa"/>
            <w:noWrap w:val="0"/>
            <w:tcMar>
              <w:top w:w="0" w:type="dxa"/>
              <w:left w:w="108" w:type="dxa"/>
              <w:bottom w:w="0" w:type="dxa"/>
              <w:right w:w="108" w:type="dxa"/>
            </w:tcMar>
            <w:vAlign w:val="center"/>
          </w:tcPr>
          <w:p w14:paraId="22A2FA4C">
            <w:pPr>
              <w:widowControl/>
              <w:jc w:val="center"/>
              <w:rPr>
                <w:rFonts w:ascii="Times New Roman" w:hAnsi="Times New Roman"/>
                <w:b/>
                <w:szCs w:val="21"/>
              </w:rPr>
            </w:pPr>
            <w:r>
              <w:rPr>
                <w:rFonts w:ascii="Times New Roman" w:hAnsi="Times New Roman"/>
                <w:b/>
                <w:kern w:val="0"/>
                <w:szCs w:val="21"/>
              </w:rPr>
              <w:t>注册资本（万元）</w:t>
            </w:r>
          </w:p>
        </w:tc>
        <w:tc>
          <w:tcPr>
            <w:tcW w:w="1643" w:type="dxa"/>
            <w:noWrap w:val="0"/>
            <w:tcMar>
              <w:top w:w="0" w:type="dxa"/>
              <w:left w:w="108" w:type="dxa"/>
              <w:bottom w:w="0" w:type="dxa"/>
              <w:right w:w="108" w:type="dxa"/>
            </w:tcMar>
            <w:vAlign w:val="center"/>
          </w:tcPr>
          <w:p w14:paraId="6CA17DFC">
            <w:pPr>
              <w:widowControl/>
              <w:jc w:val="center"/>
              <w:rPr>
                <w:rFonts w:ascii="Times New Roman" w:hAnsi="Times New Roman"/>
                <w:b/>
                <w:szCs w:val="21"/>
              </w:rPr>
            </w:pPr>
            <w:r>
              <w:rPr>
                <w:rFonts w:ascii="Times New Roman" w:hAnsi="Times New Roman"/>
                <w:b/>
                <w:kern w:val="0"/>
                <w:szCs w:val="21"/>
              </w:rPr>
              <w:t>持股比例</w:t>
            </w:r>
          </w:p>
        </w:tc>
      </w:tr>
      <w:tr w14:paraId="05ADC0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vMerge w:val="continue"/>
            <w:noWrap w:val="0"/>
            <w:tcMar>
              <w:top w:w="0" w:type="dxa"/>
              <w:left w:w="108" w:type="dxa"/>
              <w:bottom w:w="0" w:type="dxa"/>
              <w:right w:w="108" w:type="dxa"/>
            </w:tcMar>
            <w:vAlign w:val="center"/>
          </w:tcPr>
          <w:p w14:paraId="63F31357">
            <w:pPr>
              <w:rPr>
                <w:rFonts w:ascii="Times New Roman" w:hAnsi="Times New Roman"/>
                <w:b/>
                <w:bCs/>
                <w:szCs w:val="21"/>
              </w:rPr>
            </w:pPr>
          </w:p>
        </w:tc>
        <w:tc>
          <w:tcPr>
            <w:tcW w:w="2889" w:type="dxa"/>
            <w:noWrap w:val="0"/>
            <w:tcMar>
              <w:top w:w="0" w:type="dxa"/>
              <w:left w:w="108" w:type="dxa"/>
              <w:bottom w:w="0" w:type="dxa"/>
              <w:right w:w="108" w:type="dxa"/>
            </w:tcMar>
            <w:vAlign w:val="center"/>
          </w:tcPr>
          <w:p w14:paraId="5F7B3575">
            <w:pPr>
              <w:jc w:val="center"/>
              <w:rPr>
                <w:rFonts w:ascii="Times New Roman" w:hAnsi="Times New Roman"/>
                <w:szCs w:val="21"/>
              </w:rPr>
            </w:pPr>
            <w:r>
              <w:rPr>
                <w:rFonts w:hint="eastAsia" w:ascii="Times New Roman" w:hAnsi="Times New Roman"/>
                <w:szCs w:val="21"/>
              </w:rPr>
              <w:t>广州宝点</w:t>
            </w:r>
          </w:p>
        </w:tc>
        <w:tc>
          <w:tcPr>
            <w:tcW w:w="1960" w:type="dxa"/>
            <w:noWrap w:val="0"/>
            <w:tcMar>
              <w:top w:w="0" w:type="dxa"/>
              <w:left w:w="108" w:type="dxa"/>
              <w:bottom w:w="0" w:type="dxa"/>
              <w:right w:w="108" w:type="dxa"/>
            </w:tcMar>
            <w:vAlign w:val="center"/>
          </w:tcPr>
          <w:p w14:paraId="029143DE">
            <w:pPr>
              <w:jc w:val="center"/>
              <w:rPr>
                <w:rFonts w:ascii="Times New Roman" w:hAnsi="Times New Roman"/>
                <w:szCs w:val="21"/>
              </w:rPr>
            </w:pPr>
            <w:r>
              <w:rPr>
                <w:rFonts w:hint="eastAsia" w:ascii="Times New Roman" w:hAnsi="Times New Roman"/>
                <w:szCs w:val="21"/>
              </w:rPr>
              <w:t>10.00</w:t>
            </w:r>
          </w:p>
        </w:tc>
        <w:tc>
          <w:tcPr>
            <w:tcW w:w="1643" w:type="dxa"/>
            <w:noWrap w:val="0"/>
            <w:tcMar>
              <w:top w:w="0" w:type="dxa"/>
              <w:left w:w="108" w:type="dxa"/>
              <w:bottom w:w="0" w:type="dxa"/>
              <w:right w:w="108" w:type="dxa"/>
            </w:tcMar>
            <w:vAlign w:val="center"/>
          </w:tcPr>
          <w:p w14:paraId="0AAC2F25">
            <w:pPr>
              <w:jc w:val="center"/>
              <w:rPr>
                <w:rFonts w:ascii="Times New Roman" w:hAnsi="Times New Roman"/>
                <w:szCs w:val="21"/>
              </w:rPr>
            </w:pPr>
            <w:r>
              <w:rPr>
                <w:rFonts w:hint="eastAsia" w:ascii="Times New Roman" w:hAnsi="Times New Roman"/>
                <w:szCs w:val="21"/>
              </w:rPr>
              <w:t>100</w:t>
            </w:r>
            <w:r>
              <w:rPr>
                <w:rFonts w:ascii="Times New Roman" w:hAnsi="Times New Roman"/>
                <w:szCs w:val="21"/>
              </w:rPr>
              <w:t>.00%</w:t>
            </w:r>
          </w:p>
        </w:tc>
      </w:tr>
      <w:tr w14:paraId="71E2C2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35" w:type="dxa"/>
            <w:vMerge w:val="continue"/>
            <w:noWrap w:val="0"/>
            <w:tcMar>
              <w:top w:w="0" w:type="dxa"/>
              <w:left w:w="108" w:type="dxa"/>
              <w:bottom w:w="0" w:type="dxa"/>
              <w:right w:w="108" w:type="dxa"/>
            </w:tcMar>
            <w:vAlign w:val="center"/>
          </w:tcPr>
          <w:p w14:paraId="68F21099">
            <w:pPr>
              <w:rPr>
                <w:rFonts w:ascii="Times New Roman" w:hAnsi="Times New Roman"/>
                <w:b/>
                <w:bCs/>
                <w:szCs w:val="21"/>
              </w:rPr>
            </w:pPr>
          </w:p>
        </w:tc>
        <w:tc>
          <w:tcPr>
            <w:tcW w:w="2889" w:type="dxa"/>
            <w:noWrap w:val="0"/>
            <w:tcMar>
              <w:top w:w="0" w:type="dxa"/>
              <w:left w:w="108" w:type="dxa"/>
              <w:bottom w:w="0" w:type="dxa"/>
              <w:right w:w="108" w:type="dxa"/>
            </w:tcMar>
            <w:vAlign w:val="center"/>
          </w:tcPr>
          <w:p w14:paraId="6CABB2A5">
            <w:pPr>
              <w:jc w:val="center"/>
              <w:rPr>
                <w:rFonts w:ascii="Times New Roman" w:hAnsi="Times New Roman"/>
                <w:b/>
                <w:szCs w:val="21"/>
              </w:rPr>
            </w:pPr>
            <w:r>
              <w:rPr>
                <w:rFonts w:ascii="Times New Roman" w:hAnsi="Times New Roman"/>
                <w:b/>
                <w:szCs w:val="21"/>
              </w:rPr>
              <w:t>合计</w:t>
            </w:r>
          </w:p>
        </w:tc>
        <w:tc>
          <w:tcPr>
            <w:tcW w:w="1960" w:type="dxa"/>
            <w:noWrap w:val="0"/>
            <w:tcMar>
              <w:top w:w="0" w:type="dxa"/>
              <w:left w:w="108" w:type="dxa"/>
              <w:bottom w:w="0" w:type="dxa"/>
              <w:right w:w="108" w:type="dxa"/>
            </w:tcMar>
            <w:vAlign w:val="center"/>
          </w:tcPr>
          <w:p w14:paraId="59640DB2">
            <w:pPr>
              <w:jc w:val="center"/>
              <w:rPr>
                <w:rFonts w:ascii="Times New Roman" w:hAnsi="Times New Roman"/>
                <w:b/>
                <w:szCs w:val="21"/>
              </w:rPr>
            </w:pPr>
            <w:r>
              <w:rPr>
                <w:rFonts w:ascii="Times New Roman" w:hAnsi="Times New Roman"/>
                <w:b/>
                <w:szCs w:val="21"/>
              </w:rPr>
              <w:t>1</w:t>
            </w:r>
            <w:r>
              <w:rPr>
                <w:rFonts w:hint="eastAsia" w:ascii="Times New Roman" w:hAnsi="Times New Roman"/>
                <w:b/>
                <w:szCs w:val="21"/>
              </w:rPr>
              <w:t>0.00</w:t>
            </w:r>
          </w:p>
        </w:tc>
        <w:tc>
          <w:tcPr>
            <w:tcW w:w="1643" w:type="dxa"/>
            <w:noWrap w:val="0"/>
            <w:tcMar>
              <w:top w:w="0" w:type="dxa"/>
              <w:left w:w="108" w:type="dxa"/>
              <w:bottom w:w="0" w:type="dxa"/>
              <w:right w:w="108" w:type="dxa"/>
            </w:tcMar>
            <w:vAlign w:val="center"/>
          </w:tcPr>
          <w:p w14:paraId="091E7A0D">
            <w:pPr>
              <w:jc w:val="center"/>
              <w:rPr>
                <w:rFonts w:ascii="Times New Roman" w:hAnsi="Times New Roman"/>
                <w:b/>
                <w:szCs w:val="21"/>
              </w:rPr>
            </w:pPr>
            <w:r>
              <w:rPr>
                <w:rFonts w:ascii="Times New Roman" w:hAnsi="Times New Roman"/>
                <w:b/>
                <w:szCs w:val="21"/>
              </w:rPr>
              <w:t>100.00%</w:t>
            </w:r>
          </w:p>
        </w:tc>
      </w:tr>
    </w:tbl>
    <w:p w14:paraId="050FF4C6">
      <w:pPr>
        <w:widowControl/>
        <w:adjustRightInd w:val="0"/>
        <w:snapToGrid w:val="0"/>
        <w:spacing w:before="156" w:beforeLines="50" w:line="360" w:lineRule="auto"/>
        <w:ind w:firstLine="480" w:firstLineChars="200"/>
        <w:rPr>
          <w:rFonts w:ascii="Times New Roman" w:hAnsi="Times New Roman"/>
          <w:kern w:val="0"/>
          <w:sz w:val="24"/>
        </w:rPr>
      </w:pPr>
      <w:r>
        <w:rPr>
          <w:rFonts w:hint="eastAsia" w:ascii="Times New Roman" w:hAnsi="Times New Roman"/>
          <w:kern w:val="0"/>
          <w:sz w:val="24"/>
        </w:rPr>
        <w:t>（2）注销控股子公司—湖南小充</w:t>
      </w:r>
    </w:p>
    <w:p w14:paraId="217D95A6">
      <w:pPr>
        <w:widowControl/>
        <w:kinsoku w:val="0"/>
        <w:autoSpaceDE w:val="0"/>
        <w:autoSpaceDN w:val="0"/>
        <w:adjustRightInd w:val="0"/>
        <w:snapToGrid w:val="0"/>
        <w:spacing w:before="156" w:beforeLines="50" w:after="156" w:afterLines="50" w:line="360" w:lineRule="auto"/>
        <w:ind w:firstLine="480" w:firstLineChars="200"/>
        <w:textAlignment w:val="baseline"/>
        <w:rPr>
          <w:rFonts w:ascii="Times New Roman" w:hAnsi="Times New Roman"/>
          <w:spacing w:val="4"/>
          <w:sz w:val="24"/>
        </w:rPr>
      </w:pPr>
      <w:r>
        <w:rPr>
          <w:rFonts w:hint="eastAsia" w:ascii="Times New Roman" w:hAnsi="Times New Roman"/>
          <w:kern w:val="0"/>
          <w:sz w:val="24"/>
        </w:rPr>
        <w:t>星云开物原控股子公司湖南小充因已无实际经营业务而启动决议注销程序。2026年3月2日，</w:t>
      </w:r>
      <w:r>
        <w:rPr>
          <w:rFonts w:ascii="Times New Roman" w:hAnsi="Times New Roman"/>
          <w:kern w:val="0"/>
          <w:sz w:val="24"/>
        </w:rPr>
        <w:t>湖南小充</w:t>
      </w:r>
      <w:r>
        <w:rPr>
          <w:rFonts w:hint="eastAsia" w:ascii="Times New Roman" w:hAnsi="Times New Roman"/>
          <w:kern w:val="0"/>
          <w:sz w:val="24"/>
        </w:rPr>
        <w:t>完成决议注销工商登记手续，完成注销程序。</w:t>
      </w:r>
    </w:p>
    <w:p w14:paraId="05FA6F34">
      <w:pPr>
        <w:widowControl/>
        <w:kinsoku w:val="0"/>
        <w:autoSpaceDE w:val="0"/>
        <w:autoSpaceDN w:val="0"/>
        <w:adjustRightInd w:val="0"/>
        <w:snapToGrid w:val="0"/>
        <w:spacing w:before="156" w:beforeLines="50" w:after="156" w:afterLines="50" w:line="360" w:lineRule="auto"/>
        <w:ind w:firstLine="496" w:firstLineChars="200"/>
        <w:textAlignment w:val="baseline"/>
        <w:rPr>
          <w:rFonts w:ascii="Times New Roman" w:hAnsi="Times New Roman"/>
          <w:spacing w:val="4"/>
          <w:sz w:val="24"/>
        </w:rPr>
      </w:pPr>
      <w:r>
        <w:rPr>
          <w:rFonts w:ascii="Times New Roman" w:hAnsi="Times New Roman"/>
          <w:spacing w:val="4"/>
          <w:sz w:val="24"/>
        </w:rPr>
        <w:t>（</w:t>
      </w:r>
      <w:r>
        <w:rPr>
          <w:rFonts w:hint="eastAsia" w:ascii="Times New Roman" w:hAnsi="Times New Roman"/>
          <w:spacing w:val="4"/>
          <w:sz w:val="24"/>
        </w:rPr>
        <w:t>3</w:t>
      </w:r>
      <w:r>
        <w:rPr>
          <w:rFonts w:ascii="Times New Roman" w:hAnsi="Times New Roman"/>
          <w:spacing w:val="4"/>
          <w:sz w:val="24"/>
        </w:rPr>
        <w:t>）</w:t>
      </w:r>
      <w:r>
        <w:rPr>
          <w:rFonts w:hint="eastAsia" w:ascii="Times New Roman" w:hAnsi="Times New Roman"/>
          <w:spacing w:val="4"/>
          <w:sz w:val="24"/>
        </w:rPr>
        <w:t>出售1家参股企业—七曜星熠</w:t>
      </w:r>
    </w:p>
    <w:p w14:paraId="03B498EA">
      <w:pPr>
        <w:widowControl/>
        <w:kinsoku w:val="0"/>
        <w:autoSpaceDE w:val="0"/>
        <w:autoSpaceDN w:val="0"/>
        <w:adjustRightInd w:val="0"/>
        <w:snapToGrid w:val="0"/>
        <w:spacing w:before="156" w:beforeLines="50" w:after="156" w:afterLines="50" w:line="360" w:lineRule="auto"/>
        <w:ind w:firstLine="496" w:firstLineChars="200"/>
        <w:textAlignment w:val="baseline"/>
        <w:rPr>
          <w:rFonts w:ascii="Times New Roman" w:hAnsi="Times New Roman"/>
          <w:spacing w:val="4"/>
          <w:sz w:val="24"/>
        </w:rPr>
      </w:pPr>
      <w:r>
        <w:rPr>
          <w:rFonts w:hint="eastAsia" w:ascii="Times New Roman" w:hAnsi="Times New Roman"/>
          <w:spacing w:val="4"/>
          <w:sz w:val="24"/>
        </w:rPr>
        <w:t>2025年10月30日</w:t>
      </w:r>
      <w:r>
        <w:rPr>
          <w:rFonts w:ascii="Times New Roman" w:hAnsi="Times New Roman"/>
          <w:spacing w:val="4"/>
          <w:sz w:val="24"/>
        </w:rPr>
        <w:t>，</w:t>
      </w:r>
      <w:r>
        <w:rPr>
          <w:rFonts w:hint="eastAsia" w:ascii="Times New Roman" w:hAnsi="Times New Roman"/>
          <w:spacing w:val="4"/>
          <w:sz w:val="24"/>
        </w:rPr>
        <w:t>星云开物控股子公司乐呗科技</w:t>
      </w:r>
      <w:r>
        <w:rPr>
          <w:rFonts w:ascii="Times New Roman" w:hAnsi="Times New Roman"/>
          <w:spacing w:val="4"/>
          <w:sz w:val="24"/>
        </w:rPr>
        <w:t>与抚州云象科技有限公司（以下简称</w:t>
      </w:r>
      <w:r>
        <w:rPr>
          <w:rFonts w:hint="eastAsia" w:ascii="Times New Roman" w:hAnsi="Times New Roman"/>
          <w:spacing w:val="4"/>
          <w:sz w:val="24"/>
        </w:rPr>
        <w:t>“抚州云象”</w:t>
      </w:r>
      <w:r>
        <w:rPr>
          <w:rFonts w:ascii="Times New Roman" w:hAnsi="Times New Roman"/>
          <w:spacing w:val="4"/>
          <w:sz w:val="24"/>
        </w:rPr>
        <w:t>）签署《股份转让协议书》，</w:t>
      </w:r>
      <w:r>
        <w:rPr>
          <w:rFonts w:hint="eastAsia" w:ascii="Times New Roman" w:hAnsi="Times New Roman"/>
          <w:spacing w:val="4"/>
          <w:sz w:val="24"/>
        </w:rPr>
        <w:t>约定乐呗科技</w:t>
      </w:r>
      <w:r>
        <w:rPr>
          <w:rFonts w:ascii="Times New Roman" w:hAnsi="Times New Roman"/>
          <w:spacing w:val="4"/>
          <w:sz w:val="24"/>
        </w:rPr>
        <w:t>将其持有的</w:t>
      </w:r>
      <w:r>
        <w:rPr>
          <w:rFonts w:hint="eastAsia" w:ascii="Times New Roman" w:hAnsi="Times New Roman"/>
          <w:spacing w:val="4"/>
          <w:sz w:val="24"/>
        </w:rPr>
        <w:t>七曜星熠100</w:t>
      </w:r>
      <w:r>
        <w:rPr>
          <w:rFonts w:ascii="Times New Roman" w:hAnsi="Times New Roman"/>
          <w:spacing w:val="4"/>
          <w:sz w:val="24"/>
        </w:rPr>
        <w:t>万</w:t>
      </w:r>
      <w:r>
        <w:rPr>
          <w:rFonts w:hint="eastAsia" w:ascii="Times New Roman" w:hAnsi="Times New Roman"/>
          <w:spacing w:val="4"/>
          <w:sz w:val="24"/>
        </w:rPr>
        <w:t>元的出资额</w:t>
      </w:r>
      <w:r>
        <w:rPr>
          <w:rFonts w:ascii="Times New Roman" w:hAnsi="Times New Roman"/>
          <w:spacing w:val="4"/>
          <w:sz w:val="24"/>
        </w:rPr>
        <w:t xml:space="preserve">（占总股本 </w:t>
      </w:r>
      <w:r>
        <w:rPr>
          <w:rFonts w:hint="eastAsia" w:ascii="Times New Roman" w:hAnsi="Times New Roman"/>
          <w:spacing w:val="4"/>
          <w:sz w:val="24"/>
        </w:rPr>
        <w:t>20</w:t>
      </w:r>
      <w:r>
        <w:rPr>
          <w:rFonts w:ascii="Times New Roman" w:hAnsi="Times New Roman"/>
          <w:spacing w:val="4"/>
          <w:sz w:val="24"/>
        </w:rPr>
        <w:t>%）转让给</w:t>
      </w:r>
      <w:r>
        <w:rPr>
          <w:rFonts w:hint="eastAsia" w:ascii="Times New Roman" w:hAnsi="Times New Roman"/>
          <w:spacing w:val="4"/>
          <w:sz w:val="24"/>
        </w:rPr>
        <w:t>抚州云象</w:t>
      </w:r>
      <w:r>
        <w:rPr>
          <w:rFonts w:ascii="Times New Roman" w:hAnsi="Times New Roman"/>
          <w:spacing w:val="4"/>
          <w:sz w:val="24"/>
        </w:rPr>
        <w:t>。</w:t>
      </w:r>
      <w:r>
        <w:rPr>
          <w:rFonts w:hint="eastAsia" w:ascii="Times New Roman" w:hAnsi="Times New Roman"/>
          <w:spacing w:val="4"/>
          <w:sz w:val="24"/>
        </w:rPr>
        <w:t>2025年10月31日，七曜星熠完成本次转让的工商变更登记手续。</w:t>
      </w:r>
      <w:r>
        <w:rPr>
          <w:rFonts w:ascii="Times New Roman" w:hAnsi="Times New Roman"/>
          <w:spacing w:val="4"/>
          <w:sz w:val="24"/>
        </w:rPr>
        <w:t>截至本</w:t>
      </w:r>
      <w:r>
        <w:rPr>
          <w:rFonts w:hint="eastAsia" w:ascii="Times New Roman" w:hAnsi="Times New Roman"/>
          <w:spacing w:val="4"/>
          <w:sz w:val="24"/>
        </w:rPr>
        <w:t>补充法律意见书</w:t>
      </w:r>
      <w:r>
        <w:rPr>
          <w:rFonts w:ascii="Times New Roman" w:hAnsi="Times New Roman"/>
          <w:spacing w:val="4"/>
          <w:sz w:val="24"/>
        </w:rPr>
        <w:t>出具日，</w:t>
      </w:r>
      <w:r>
        <w:rPr>
          <w:rFonts w:hint="eastAsia" w:ascii="Times New Roman" w:hAnsi="Times New Roman"/>
          <w:spacing w:val="4"/>
          <w:sz w:val="24"/>
        </w:rPr>
        <w:t>标的公司</w:t>
      </w:r>
      <w:r>
        <w:rPr>
          <w:rFonts w:ascii="Times New Roman" w:hAnsi="Times New Roman"/>
          <w:spacing w:val="4"/>
          <w:sz w:val="24"/>
        </w:rPr>
        <w:t>不再持有</w:t>
      </w:r>
      <w:r>
        <w:rPr>
          <w:rFonts w:hint="eastAsia" w:ascii="Times New Roman" w:hAnsi="Times New Roman"/>
          <w:spacing w:val="4"/>
          <w:sz w:val="24"/>
        </w:rPr>
        <w:t>七曜星熠</w:t>
      </w:r>
      <w:r>
        <w:rPr>
          <w:rFonts w:ascii="Times New Roman" w:hAnsi="Times New Roman"/>
          <w:spacing w:val="4"/>
          <w:sz w:val="24"/>
        </w:rPr>
        <w:t>的</w:t>
      </w:r>
      <w:r>
        <w:rPr>
          <w:rFonts w:hint="eastAsia" w:ascii="Times New Roman" w:hAnsi="Times New Roman"/>
          <w:spacing w:val="4"/>
          <w:sz w:val="24"/>
        </w:rPr>
        <w:t>任何股权</w:t>
      </w:r>
      <w:r>
        <w:rPr>
          <w:rFonts w:ascii="Times New Roman" w:hAnsi="Times New Roman"/>
          <w:spacing w:val="4"/>
          <w:sz w:val="24"/>
        </w:rPr>
        <w:t>。</w:t>
      </w:r>
    </w:p>
    <w:p w14:paraId="0293426E">
      <w:pPr>
        <w:widowControl/>
        <w:adjustRightInd w:val="0"/>
        <w:snapToGrid w:val="0"/>
        <w:spacing w:before="156" w:beforeLines="50" w:line="360" w:lineRule="auto"/>
        <w:ind w:firstLine="480" w:firstLineChars="200"/>
        <w:rPr>
          <w:rFonts w:hint="eastAsia" w:ascii="Times New Roman" w:hAnsi="Times New Roman"/>
          <w:kern w:val="0"/>
          <w:sz w:val="24"/>
        </w:rPr>
      </w:pPr>
      <w:r>
        <w:rPr>
          <w:rFonts w:hint="eastAsia" w:ascii="Times New Roman" w:hAnsi="Times New Roman"/>
          <w:kern w:val="0"/>
          <w:sz w:val="24"/>
        </w:rPr>
        <w:t>（4）控股子公司股权结构发生变化—</w:t>
      </w:r>
      <w:r>
        <w:rPr>
          <w:rFonts w:ascii="Times New Roman" w:hAnsi="Times New Roman"/>
          <w:kern w:val="0"/>
          <w:sz w:val="24"/>
        </w:rPr>
        <w:t>智绘数字化</w:t>
      </w:r>
    </w:p>
    <w:p w14:paraId="6C609C94">
      <w:pPr>
        <w:widowControl/>
        <w:adjustRightInd w:val="0"/>
        <w:snapToGrid w:val="0"/>
        <w:spacing w:before="156" w:beforeLines="50" w:line="360" w:lineRule="auto"/>
        <w:ind w:firstLine="480" w:firstLineChars="200"/>
        <w:rPr>
          <w:rFonts w:hint="eastAsia" w:ascii="Times New Roman" w:hAnsi="Times New Roman"/>
          <w:kern w:val="0"/>
          <w:sz w:val="24"/>
        </w:rPr>
      </w:pPr>
      <w:r>
        <w:rPr>
          <w:rFonts w:ascii="Times New Roman" w:hAnsi="Times New Roman"/>
          <w:kern w:val="0"/>
          <w:sz w:val="24"/>
        </w:rPr>
        <w:t>2025年8月13日，智绘数字化</w:t>
      </w:r>
      <w:r>
        <w:rPr>
          <w:rFonts w:hint="eastAsia" w:ascii="Times New Roman" w:hAnsi="Times New Roman"/>
          <w:kern w:val="0"/>
          <w:sz w:val="24"/>
        </w:rPr>
        <w:t>全体股东作出股东会决议，同意星云开物的控股子公司广州宝点的认缴注册资本由0.631344万元变更为0.723896万元，广州宝点的持股比例由63.1344%变更为72.3896%。同日，广州宝点与</w:t>
      </w:r>
      <w:r>
        <w:rPr>
          <w:rFonts w:ascii="Times New Roman" w:hAnsi="Times New Roman"/>
          <w:kern w:val="0"/>
          <w:sz w:val="24"/>
        </w:rPr>
        <w:t>智绘数字化</w:t>
      </w:r>
      <w:r>
        <w:rPr>
          <w:rFonts w:hint="eastAsia" w:ascii="Times New Roman" w:hAnsi="Times New Roman"/>
          <w:kern w:val="0"/>
          <w:sz w:val="24"/>
        </w:rPr>
        <w:t>其余4名股东签署《股权转让合同》，约定</w:t>
      </w:r>
      <w:r>
        <w:rPr>
          <w:rFonts w:ascii="Times New Roman" w:hAnsi="Times New Roman"/>
          <w:kern w:val="0"/>
          <w:sz w:val="24"/>
        </w:rPr>
        <w:t>绘数字化</w:t>
      </w:r>
      <w:r>
        <w:rPr>
          <w:rFonts w:hint="eastAsia" w:ascii="Times New Roman" w:hAnsi="Times New Roman"/>
          <w:kern w:val="0"/>
          <w:sz w:val="24"/>
        </w:rPr>
        <w:t>其余4名股东合计将0.092552万元认缴注册资本转让给广州宝点。</w:t>
      </w:r>
    </w:p>
    <w:p w14:paraId="2E6CDD7F">
      <w:pPr>
        <w:widowControl/>
        <w:adjustRightInd w:val="0"/>
        <w:snapToGrid w:val="0"/>
        <w:spacing w:before="156" w:beforeLines="50" w:line="360" w:lineRule="auto"/>
        <w:ind w:firstLine="480" w:firstLineChars="200"/>
        <w:rPr>
          <w:rFonts w:hint="eastAsia" w:ascii="Times New Roman" w:hAnsi="Times New Roman"/>
          <w:kern w:val="0"/>
          <w:sz w:val="24"/>
        </w:rPr>
      </w:pPr>
      <w:r>
        <w:rPr>
          <w:rFonts w:hint="eastAsia" w:ascii="Times New Roman" w:hAnsi="Times New Roman"/>
          <w:kern w:val="0"/>
          <w:sz w:val="24"/>
        </w:rPr>
        <w:t>2025年10月23日，</w:t>
      </w:r>
      <w:r>
        <w:rPr>
          <w:rFonts w:ascii="Times New Roman" w:hAnsi="Times New Roman"/>
          <w:kern w:val="0"/>
          <w:sz w:val="24"/>
        </w:rPr>
        <w:t>智绘数字化</w:t>
      </w:r>
      <w:r>
        <w:rPr>
          <w:rFonts w:hint="eastAsia" w:ascii="Times New Roman" w:hAnsi="Times New Roman"/>
          <w:kern w:val="0"/>
          <w:sz w:val="24"/>
        </w:rPr>
        <w:t>完成前述转让的工商变更登记。截止本补充法律意见书出具日，</w:t>
      </w:r>
      <w:r>
        <w:rPr>
          <w:rFonts w:ascii="Times New Roman" w:hAnsi="Times New Roman"/>
          <w:kern w:val="0"/>
          <w:sz w:val="24"/>
        </w:rPr>
        <w:t>智绘数字化</w:t>
      </w:r>
      <w:r>
        <w:rPr>
          <w:rFonts w:hint="eastAsia" w:ascii="Times New Roman" w:hAnsi="Times New Roman"/>
          <w:kern w:val="0"/>
          <w:sz w:val="24"/>
        </w:rPr>
        <w:t>的具体信息如下：</w:t>
      </w:r>
    </w:p>
    <w:tbl>
      <w:tblPr>
        <w:tblStyle w:val="2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2187"/>
        <w:gridCol w:w="2187"/>
        <w:gridCol w:w="2187"/>
      </w:tblGrid>
      <w:tr w14:paraId="72D39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588957D2">
            <w:pPr>
              <w:widowControl/>
              <w:jc w:val="center"/>
              <w:rPr>
                <w:rFonts w:ascii="Times New Roman" w:hAnsi="Times New Roman"/>
                <w:b/>
                <w:bCs/>
                <w:kern w:val="0"/>
                <w:szCs w:val="21"/>
              </w:rPr>
            </w:pPr>
            <w:r>
              <w:rPr>
                <w:rFonts w:ascii="Times New Roman" w:hAnsi="Times New Roman"/>
                <w:b/>
                <w:bCs/>
                <w:kern w:val="0"/>
                <w:szCs w:val="21"/>
              </w:rPr>
              <w:t>公司名称</w:t>
            </w:r>
          </w:p>
        </w:tc>
        <w:tc>
          <w:tcPr>
            <w:tcW w:w="6561" w:type="dxa"/>
            <w:gridSpan w:val="3"/>
            <w:noWrap w:val="0"/>
            <w:tcMar>
              <w:top w:w="0" w:type="dxa"/>
              <w:left w:w="108" w:type="dxa"/>
              <w:bottom w:w="0" w:type="dxa"/>
              <w:right w:w="108" w:type="dxa"/>
            </w:tcMar>
            <w:vAlign w:val="center"/>
          </w:tcPr>
          <w:p w14:paraId="43F9D7B7">
            <w:pPr>
              <w:widowControl/>
              <w:rPr>
                <w:rFonts w:ascii="Times New Roman" w:hAnsi="Times New Roman"/>
                <w:kern w:val="0"/>
                <w:szCs w:val="21"/>
              </w:rPr>
            </w:pPr>
            <w:r>
              <w:rPr>
                <w:rFonts w:ascii="Times New Roman" w:hAnsi="Times New Roman"/>
                <w:kern w:val="0"/>
                <w:szCs w:val="21"/>
              </w:rPr>
              <w:t>广州智绘数字化科技有限公司</w:t>
            </w:r>
          </w:p>
        </w:tc>
      </w:tr>
      <w:tr w14:paraId="598950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6B539D70">
            <w:pPr>
              <w:widowControl/>
              <w:jc w:val="center"/>
              <w:rPr>
                <w:rFonts w:ascii="Times New Roman" w:hAnsi="Times New Roman"/>
                <w:b/>
                <w:bCs/>
                <w:kern w:val="0"/>
                <w:szCs w:val="21"/>
              </w:rPr>
            </w:pPr>
            <w:r>
              <w:rPr>
                <w:rFonts w:ascii="Times New Roman" w:hAnsi="Times New Roman"/>
                <w:b/>
                <w:bCs/>
                <w:kern w:val="0"/>
                <w:szCs w:val="21"/>
              </w:rPr>
              <w:t>统一社会信用代码</w:t>
            </w:r>
          </w:p>
        </w:tc>
        <w:tc>
          <w:tcPr>
            <w:tcW w:w="6561" w:type="dxa"/>
            <w:gridSpan w:val="3"/>
            <w:noWrap w:val="0"/>
            <w:tcMar>
              <w:top w:w="0" w:type="dxa"/>
              <w:left w:w="108" w:type="dxa"/>
              <w:bottom w:w="0" w:type="dxa"/>
              <w:right w:w="108" w:type="dxa"/>
            </w:tcMar>
            <w:vAlign w:val="center"/>
          </w:tcPr>
          <w:p w14:paraId="10202C74">
            <w:pPr>
              <w:widowControl/>
              <w:rPr>
                <w:rFonts w:ascii="Times New Roman" w:hAnsi="Times New Roman"/>
                <w:kern w:val="0"/>
                <w:szCs w:val="21"/>
              </w:rPr>
            </w:pPr>
            <w:r>
              <w:rPr>
                <w:rFonts w:ascii="Times New Roman" w:hAnsi="Times New Roman"/>
                <w:kern w:val="0"/>
                <w:szCs w:val="21"/>
              </w:rPr>
              <w:t>91440113MACD6KFJ99</w:t>
            </w:r>
          </w:p>
        </w:tc>
      </w:tr>
      <w:tr w14:paraId="31C14D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4E3979B5">
            <w:pPr>
              <w:widowControl/>
              <w:jc w:val="center"/>
              <w:rPr>
                <w:rFonts w:ascii="Times New Roman" w:hAnsi="Times New Roman"/>
                <w:b/>
                <w:bCs/>
                <w:kern w:val="0"/>
                <w:szCs w:val="21"/>
              </w:rPr>
            </w:pPr>
            <w:r>
              <w:rPr>
                <w:rFonts w:ascii="Times New Roman" w:hAnsi="Times New Roman"/>
                <w:b/>
                <w:bCs/>
                <w:kern w:val="0"/>
                <w:szCs w:val="21"/>
              </w:rPr>
              <w:t>企业类型</w:t>
            </w:r>
          </w:p>
        </w:tc>
        <w:tc>
          <w:tcPr>
            <w:tcW w:w="6561" w:type="dxa"/>
            <w:gridSpan w:val="3"/>
            <w:noWrap w:val="0"/>
            <w:tcMar>
              <w:top w:w="0" w:type="dxa"/>
              <w:left w:w="108" w:type="dxa"/>
              <w:bottom w:w="0" w:type="dxa"/>
              <w:right w:w="108" w:type="dxa"/>
            </w:tcMar>
            <w:vAlign w:val="center"/>
          </w:tcPr>
          <w:p w14:paraId="302F1AA7">
            <w:pPr>
              <w:widowControl/>
              <w:rPr>
                <w:rFonts w:ascii="Times New Roman" w:hAnsi="Times New Roman"/>
                <w:kern w:val="0"/>
                <w:szCs w:val="21"/>
              </w:rPr>
            </w:pPr>
            <w:r>
              <w:rPr>
                <w:rFonts w:ascii="Times New Roman" w:hAnsi="Times New Roman"/>
                <w:kern w:val="0"/>
                <w:szCs w:val="21"/>
              </w:rPr>
              <w:t>有限责任公司（外商投资企业与内资合资）</w:t>
            </w:r>
          </w:p>
        </w:tc>
      </w:tr>
      <w:tr w14:paraId="46813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063EEF52">
            <w:pPr>
              <w:widowControl/>
              <w:jc w:val="center"/>
              <w:rPr>
                <w:rFonts w:ascii="Times New Roman" w:hAnsi="Times New Roman"/>
                <w:b/>
                <w:bCs/>
                <w:kern w:val="0"/>
                <w:szCs w:val="21"/>
              </w:rPr>
            </w:pPr>
            <w:r>
              <w:rPr>
                <w:rFonts w:ascii="Times New Roman" w:hAnsi="Times New Roman"/>
                <w:b/>
                <w:bCs/>
                <w:kern w:val="0"/>
                <w:szCs w:val="21"/>
              </w:rPr>
              <w:t>法定代表人</w:t>
            </w:r>
          </w:p>
        </w:tc>
        <w:tc>
          <w:tcPr>
            <w:tcW w:w="6561" w:type="dxa"/>
            <w:gridSpan w:val="3"/>
            <w:noWrap w:val="0"/>
            <w:tcMar>
              <w:top w:w="0" w:type="dxa"/>
              <w:left w:w="108" w:type="dxa"/>
              <w:bottom w:w="0" w:type="dxa"/>
              <w:right w:w="108" w:type="dxa"/>
            </w:tcMar>
            <w:vAlign w:val="center"/>
          </w:tcPr>
          <w:p w14:paraId="2F18F177">
            <w:pPr>
              <w:widowControl/>
              <w:rPr>
                <w:rFonts w:ascii="Times New Roman" w:hAnsi="Times New Roman"/>
                <w:kern w:val="0"/>
                <w:szCs w:val="21"/>
              </w:rPr>
            </w:pPr>
            <w:r>
              <w:rPr>
                <w:rFonts w:ascii="Times New Roman" w:hAnsi="Times New Roman"/>
              </w:rPr>
              <w:fldChar w:fldCharType="begin"/>
            </w:r>
            <w:r>
              <w:rPr>
                <w:rFonts w:ascii="Times New Roman" w:hAnsi="Times New Roman"/>
              </w:rPr>
              <w:instrText xml:space="preserve"> HYPERLINK "https://www.qcc.com/pl/p0e776f2b9e5fbb0a138da9e0a761491.html" \t "https://www.qcc.com/firm/_blank" </w:instrText>
            </w:r>
            <w:r>
              <w:rPr>
                <w:rFonts w:ascii="Times New Roman" w:hAnsi="Times New Roman"/>
              </w:rPr>
              <w:fldChar w:fldCharType="separate"/>
            </w:r>
            <w:r>
              <w:rPr>
                <w:rFonts w:ascii="Times New Roman" w:hAnsi="Times New Roman"/>
                <w:kern w:val="0"/>
                <w:szCs w:val="21"/>
              </w:rPr>
              <w:t>张超</w:t>
            </w:r>
            <w:r>
              <w:rPr>
                <w:rFonts w:ascii="Times New Roman" w:hAnsi="Times New Roman"/>
                <w:kern w:val="0"/>
                <w:szCs w:val="21"/>
              </w:rPr>
              <w:fldChar w:fldCharType="end"/>
            </w:r>
          </w:p>
        </w:tc>
      </w:tr>
      <w:tr w14:paraId="3FC1E7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39F5BE6B">
            <w:pPr>
              <w:widowControl/>
              <w:jc w:val="center"/>
              <w:rPr>
                <w:rFonts w:ascii="Times New Roman" w:hAnsi="Times New Roman"/>
                <w:b/>
                <w:bCs/>
                <w:kern w:val="0"/>
                <w:szCs w:val="21"/>
              </w:rPr>
            </w:pPr>
            <w:r>
              <w:rPr>
                <w:rFonts w:ascii="Times New Roman" w:hAnsi="Times New Roman"/>
                <w:b/>
                <w:bCs/>
                <w:kern w:val="0"/>
                <w:szCs w:val="21"/>
              </w:rPr>
              <w:t>注册资本</w:t>
            </w:r>
          </w:p>
        </w:tc>
        <w:tc>
          <w:tcPr>
            <w:tcW w:w="6561" w:type="dxa"/>
            <w:gridSpan w:val="3"/>
            <w:noWrap w:val="0"/>
            <w:tcMar>
              <w:top w:w="0" w:type="dxa"/>
              <w:left w:w="108" w:type="dxa"/>
              <w:bottom w:w="0" w:type="dxa"/>
              <w:right w:w="108" w:type="dxa"/>
            </w:tcMar>
            <w:vAlign w:val="center"/>
          </w:tcPr>
          <w:p w14:paraId="6EEB9A54">
            <w:pPr>
              <w:widowControl/>
              <w:rPr>
                <w:rFonts w:ascii="Times New Roman" w:hAnsi="Times New Roman"/>
                <w:kern w:val="0"/>
                <w:szCs w:val="21"/>
              </w:rPr>
            </w:pPr>
            <w:r>
              <w:rPr>
                <w:rFonts w:ascii="Times New Roman" w:hAnsi="Times New Roman"/>
                <w:kern w:val="0"/>
                <w:szCs w:val="21"/>
              </w:rPr>
              <w:t>1万元</w:t>
            </w:r>
          </w:p>
        </w:tc>
      </w:tr>
      <w:tr w14:paraId="53DF78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4A8CFA38">
            <w:pPr>
              <w:widowControl/>
              <w:jc w:val="center"/>
              <w:rPr>
                <w:rFonts w:ascii="Times New Roman" w:hAnsi="Times New Roman"/>
                <w:b/>
                <w:bCs/>
                <w:kern w:val="0"/>
                <w:szCs w:val="21"/>
              </w:rPr>
            </w:pPr>
            <w:r>
              <w:rPr>
                <w:rFonts w:ascii="Times New Roman" w:hAnsi="Times New Roman"/>
                <w:b/>
                <w:bCs/>
                <w:kern w:val="0"/>
                <w:szCs w:val="21"/>
              </w:rPr>
              <w:t>注册地址</w:t>
            </w:r>
          </w:p>
        </w:tc>
        <w:tc>
          <w:tcPr>
            <w:tcW w:w="6561" w:type="dxa"/>
            <w:gridSpan w:val="3"/>
            <w:noWrap w:val="0"/>
            <w:tcMar>
              <w:top w:w="0" w:type="dxa"/>
              <w:left w:w="108" w:type="dxa"/>
              <w:bottom w:w="0" w:type="dxa"/>
              <w:right w:w="108" w:type="dxa"/>
            </w:tcMar>
            <w:vAlign w:val="center"/>
          </w:tcPr>
          <w:p w14:paraId="07C80006">
            <w:pPr>
              <w:widowControl/>
              <w:rPr>
                <w:rFonts w:ascii="Times New Roman" w:hAnsi="Times New Roman"/>
                <w:kern w:val="0"/>
                <w:szCs w:val="21"/>
              </w:rPr>
            </w:pPr>
            <w:r>
              <w:rPr>
                <w:rFonts w:ascii="Times New Roman" w:hAnsi="Times New Roman"/>
                <w:kern w:val="0"/>
                <w:szCs w:val="21"/>
              </w:rPr>
              <w:t>广州市番禺区东环街迎星东路143号星力动漫游戏产业园G16</w:t>
            </w:r>
          </w:p>
        </w:tc>
      </w:tr>
      <w:tr w14:paraId="0DE7FF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6B940EA8">
            <w:pPr>
              <w:widowControl/>
              <w:jc w:val="center"/>
              <w:rPr>
                <w:rFonts w:ascii="Times New Roman" w:hAnsi="Times New Roman"/>
                <w:b/>
                <w:bCs/>
                <w:kern w:val="0"/>
                <w:szCs w:val="21"/>
              </w:rPr>
            </w:pPr>
            <w:r>
              <w:rPr>
                <w:rFonts w:ascii="Times New Roman" w:hAnsi="Times New Roman"/>
                <w:b/>
                <w:bCs/>
                <w:kern w:val="0"/>
                <w:szCs w:val="21"/>
              </w:rPr>
              <w:t>经营范围</w:t>
            </w:r>
          </w:p>
        </w:tc>
        <w:tc>
          <w:tcPr>
            <w:tcW w:w="6561" w:type="dxa"/>
            <w:gridSpan w:val="3"/>
            <w:noWrap w:val="0"/>
            <w:tcMar>
              <w:top w:w="0" w:type="dxa"/>
              <w:left w:w="108" w:type="dxa"/>
              <w:bottom w:w="0" w:type="dxa"/>
              <w:right w:w="108" w:type="dxa"/>
            </w:tcMar>
            <w:vAlign w:val="center"/>
          </w:tcPr>
          <w:p w14:paraId="6E02ACD4">
            <w:pPr>
              <w:widowControl/>
              <w:rPr>
                <w:rFonts w:hint="eastAsia" w:ascii="Times New Roman" w:hAnsi="Times New Roman"/>
                <w:kern w:val="0"/>
                <w:szCs w:val="21"/>
              </w:rPr>
            </w:pPr>
            <w:r>
              <w:rPr>
                <w:rFonts w:ascii="Times New Roman" w:hAnsi="Times New Roman"/>
                <w:kern w:val="0"/>
                <w:szCs w:val="21"/>
              </w:rPr>
              <w:t>技术进出口;通信设备销售;游艺用品及室内游艺器材制造;软件开发;工程和技术研究和试验发展;信息技术咨询服务;人工智能应用软件开发;数字文化创意软件开发;信息系统集成服务;移动终端设备制造;网络技术服务;软件销售;网络与信息安全软件开发;数字内容制作服务（不含出版发行）;物联网设备制造;电子产品销售;计算机系统服务;电子元器件零售;自然科学研究和试验发展;人工智能基础软件开发;办公设备耗材销售;票务代理服务;信息咨询服务（不含许可类信息咨询服务）;计算机软硬件及辅助设备零售;技术服务、技术开发、技术咨询、技术交流、技术转让、技术推广;货物进出口</w:t>
            </w:r>
            <w:r>
              <w:rPr>
                <w:rFonts w:hint="eastAsia" w:ascii="Times New Roman" w:hAnsi="Times New Roman"/>
                <w:kern w:val="0"/>
                <w:szCs w:val="21"/>
              </w:rPr>
              <w:t>。</w:t>
            </w:r>
          </w:p>
        </w:tc>
      </w:tr>
      <w:tr w14:paraId="45E98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noWrap w:val="0"/>
            <w:tcMar>
              <w:top w:w="0" w:type="dxa"/>
              <w:left w:w="108" w:type="dxa"/>
              <w:bottom w:w="0" w:type="dxa"/>
              <w:right w:w="108" w:type="dxa"/>
            </w:tcMar>
            <w:vAlign w:val="center"/>
          </w:tcPr>
          <w:p w14:paraId="5832762D">
            <w:pPr>
              <w:widowControl/>
              <w:jc w:val="center"/>
              <w:rPr>
                <w:rFonts w:ascii="Times New Roman" w:hAnsi="Times New Roman"/>
                <w:kern w:val="0"/>
                <w:szCs w:val="21"/>
              </w:rPr>
            </w:pPr>
            <w:r>
              <w:rPr>
                <w:rFonts w:ascii="Times New Roman" w:hAnsi="Times New Roman"/>
                <w:b/>
                <w:bCs/>
                <w:kern w:val="0"/>
                <w:szCs w:val="21"/>
              </w:rPr>
              <w:t>营业期限</w:t>
            </w:r>
          </w:p>
        </w:tc>
        <w:tc>
          <w:tcPr>
            <w:tcW w:w="6561" w:type="dxa"/>
            <w:gridSpan w:val="3"/>
            <w:noWrap w:val="0"/>
            <w:tcMar>
              <w:top w:w="0" w:type="dxa"/>
              <w:left w:w="108" w:type="dxa"/>
              <w:bottom w:w="0" w:type="dxa"/>
              <w:right w:w="108" w:type="dxa"/>
            </w:tcMar>
            <w:vAlign w:val="center"/>
          </w:tcPr>
          <w:p w14:paraId="5AC3D652">
            <w:pPr>
              <w:widowControl/>
              <w:rPr>
                <w:rFonts w:ascii="Times New Roman" w:hAnsi="Times New Roman"/>
                <w:kern w:val="0"/>
                <w:szCs w:val="21"/>
              </w:rPr>
            </w:pPr>
            <w:r>
              <w:rPr>
                <w:rFonts w:ascii="Times New Roman" w:hAnsi="Times New Roman"/>
                <w:kern w:val="0"/>
                <w:szCs w:val="21"/>
              </w:rPr>
              <w:t>2023-03-06 至 无固定期限</w:t>
            </w:r>
          </w:p>
        </w:tc>
      </w:tr>
      <w:tr w14:paraId="15B926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restart"/>
            <w:noWrap w:val="0"/>
            <w:tcMar>
              <w:top w:w="0" w:type="dxa"/>
              <w:left w:w="108" w:type="dxa"/>
              <w:bottom w:w="0" w:type="dxa"/>
              <w:right w:w="108" w:type="dxa"/>
            </w:tcMar>
            <w:vAlign w:val="center"/>
          </w:tcPr>
          <w:p w14:paraId="11F4D4CD">
            <w:pPr>
              <w:widowControl/>
              <w:jc w:val="center"/>
              <w:rPr>
                <w:rFonts w:ascii="Times New Roman" w:hAnsi="Times New Roman"/>
                <w:b/>
                <w:bCs/>
                <w:kern w:val="0"/>
                <w:szCs w:val="21"/>
              </w:rPr>
            </w:pPr>
            <w:r>
              <w:rPr>
                <w:rFonts w:ascii="Times New Roman" w:hAnsi="Times New Roman"/>
                <w:b/>
                <w:bCs/>
                <w:kern w:val="0"/>
                <w:szCs w:val="21"/>
              </w:rPr>
              <w:t>股权结构</w:t>
            </w:r>
          </w:p>
        </w:tc>
        <w:tc>
          <w:tcPr>
            <w:tcW w:w="2187" w:type="dxa"/>
            <w:noWrap w:val="0"/>
            <w:tcMar>
              <w:top w:w="0" w:type="dxa"/>
              <w:left w:w="108" w:type="dxa"/>
              <w:bottom w:w="0" w:type="dxa"/>
              <w:right w:w="108" w:type="dxa"/>
            </w:tcMar>
            <w:vAlign w:val="center"/>
          </w:tcPr>
          <w:p w14:paraId="2BC0BF15">
            <w:pPr>
              <w:widowControl/>
              <w:jc w:val="center"/>
              <w:rPr>
                <w:rFonts w:ascii="Times New Roman" w:hAnsi="Times New Roman"/>
                <w:kern w:val="0"/>
                <w:szCs w:val="21"/>
              </w:rPr>
            </w:pPr>
            <w:r>
              <w:rPr>
                <w:rFonts w:ascii="Times New Roman" w:hAnsi="Times New Roman"/>
                <w:kern w:val="0"/>
                <w:szCs w:val="21"/>
              </w:rPr>
              <w:t>股东名称</w:t>
            </w:r>
          </w:p>
        </w:tc>
        <w:tc>
          <w:tcPr>
            <w:tcW w:w="2187" w:type="dxa"/>
            <w:noWrap w:val="0"/>
            <w:tcMar>
              <w:top w:w="0" w:type="dxa"/>
              <w:left w:w="108" w:type="dxa"/>
              <w:bottom w:w="0" w:type="dxa"/>
              <w:right w:w="108" w:type="dxa"/>
            </w:tcMar>
            <w:vAlign w:val="center"/>
          </w:tcPr>
          <w:p w14:paraId="291B53CA">
            <w:pPr>
              <w:widowControl/>
              <w:jc w:val="center"/>
              <w:rPr>
                <w:rFonts w:ascii="Times New Roman" w:hAnsi="Times New Roman"/>
                <w:kern w:val="0"/>
                <w:szCs w:val="21"/>
              </w:rPr>
            </w:pPr>
            <w:r>
              <w:rPr>
                <w:rFonts w:ascii="Times New Roman" w:hAnsi="Times New Roman"/>
                <w:kern w:val="0"/>
                <w:szCs w:val="21"/>
              </w:rPr>
              <w:t>注册资本（万元）</w:t>
            </w:r>
          </w:p>
        </w:tc>
        <w:tc>
          <w:tcPr>
            <w:tcW w:w="2187" w:type="dxa"/>
            <w:noWrap w:val="0"/>
            <w:tcMar>
              <w:top w:w="0" w:type="dxa"/>
              <w:left w:w="108" w:type="dxa"/>
              <w:bottom w:w="0" w:type="dxa"/>
              <w:right w:w="108" w:type="dxa"/>
            </w:tcMar>
            <w:vAlign w:val="center"/>
          </w:tcPr>
          <w:p w14:paraId="71544D3F">
            <w:pPr>
              <w:widowControl/>
              <w:jc w:val="center"/>
              <w:rPr>
                <w:rFonts w:ascii="Times New Roman" w:hAnsi="Times New Roman"/>
                <w:kern w:val="0"/>
                <w:szCs w:val="21"/>
              </w:rPr>
            </w:pPr>
            <w:r>
              <w:rPr>
                <w:rFonts w:ascii="Times New Roman" w:hAnsi="Times New Roman"/>
                <w:kern w:val="0"/>
                <w:szCs w:val="21"/>
              </w:rPr>
              <w:t>持股比例</w:t>
            </w:r>
          </w:p>
        </w:tc>
      </w:tr>
      <w:tr w14:paraId="1F247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01B02D5A">
            <w:pPr>
              <w:widowControl/>
              <w:rPr>
                <w:rFonts w:ascii="Times New Roman" w:hAnsi="Times New Roman"/>
                <w:szCs w:val="21"/>
              </w:rPr>
            </w:pPr>
          </w:p>
        </w:tc>
        <w:tc>
          <w:tcPr>
            <w:tcW w:w="2187" w:type="dxa"/>
            <w:noWrap w:val="0"/>
            <w:tcMar>
              <w:top w:w="0" w:type="dxa"/>
              <w:left w:w="108" w:type="dxa"/>
              <w:bottom w:w="0" w:type="dxa"/>
              <w:right w:w="108" w:type="dxa"/>
            </w:tcMar>
            <w:vAlign w:val="center"/>
          </w:tcPr>
          <w:p w14:paraId="472A26E3">
            <w:pPr>
              <w:widowControl/>
              <w:jc w:val="center"/>
              <w:rPr>
                <w:rFonts w:ascii="Times New Roman" w:hAnsi="Times New Roman"/>
                <w:kern w:val="0"/>
                <w:szCs w:val="21"/>
              </w:rPr>
            </w:pPr>
            <w:r>
              <w:rPr>
                <w:rFonts w:ascii="Times New Roman" w:hAnsi="Times New Roman"/>
                <w:kern w:val="0"/>
                <w:szCs w:val="21"/>
              </w:rPr>
              <w:t>广州宝点</w:t>
            </w:r>
          </w:p>
        </w:tc>
        <w:tc>
          <w:tcPr>
            <w:tcW w:w="2187" w:type="dxa"/>
            <w:noWrap w:val="0"/>
            <w:tcMar>
              <w:top w:w="0" w:type="dxa"/>
              <w:left w:w="108" w:type="dxa"/>
              <w:bottom w:w="0" w:type="dxa"/>
              <w:right w:w="108" w:type="dxa"/>
            </w:tcMar>
            <w:vAlign w:val="center"/>
          </w:tcPr>
          <w:p w14:paraId="4F10DEC6">
            <w:pPr>
              <w:widowControl/>
              <w:jc w:val="center"/>
              <w:rPr>
                <w:rFonts w:ascii="Times New Roman" w:hAnsi="Times New Roman"/>
              </w:rPr>
            </w:pPr>
            <w:r>
              <w:rPr>
                <w:rFonts w:ascii="Times New Roman" w:hAnsi="Times New Roman"/>
                <w:lang w:bidi="ar"/>
              </w:rPr>
              <w:t>0.723896</w:t>
            </w:r>
          </w:p>
        </w:tc>
        <w:tc>
          <w:tcPr>
            <w:tcW w:w="2187" w:type="dxa"/>
            <w:noWrap w:val="0"/>
            <w:tcMar>
              <w:top w:w="0" w:type="dxa"/>
              <w:left w:w="108" w:type="dxa"/>
              <w:bottom w:w="0" w:type="dxa"/>
              <w:right w:w="108" w:type="dxa"/>
            </w:tcMar>
            <w:vAlign w:val="center"/>
          </w:tcPr>
          <w:p w14:paraId="607036C4">
            <w:pPr>
              <w:widowControl/>
              <w:jc w:val="center"/>
              <w:rPr>
                <w:rFonts w:ascii="Times New Roman" w:hAnsi="Times New Roman"/>
                <w:kern w:val="0"/>
                <w:szCs w:val="21"/>
              </w:rPr>
            </w:pPr>
            <w:r>
              <w:rPr>
                <w:rFonts w:ascii="Times New Roman" w:hAnsi="Times New Roman"/>
                <w:kern w:val="0"/>
                <w:szCs w:val="21"/>
                <w:lang w:bidi="ar"/>
              </w:rPr>
              <w:t>72.3896%</w:t>
            </w:r>
          </w:p>
        </w:tc>
      </w:tr>
      <w:tr w14:paraId="5D59FA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2BD18AAA">
            <w:pPr>
              <w:widowControl/>
              <w:rPr>
                <w:rFonts w:ascii="Times New Roman" w:hAnsi="Times New Roman"/>
                <w:szCs w:val="21"/>
              </w:rPr>
            </w:pPr>
          </w:p>
        </w:tc>
        <w:tc>
          <w:tcPr>
            <w:tcW w:w="2187" w:type="dxa"/>
            <w:noWrap w:val="0"/>
            <w:tcMar>
              <w:top w:w="0" w:type="dxa"/>
              <w:left w:w="108" w:type="dxa"/>
              <w:bottom w:w="0" w:type="dxa"/>
              <w:right w:w="108" w:type="dxa"/>
            </w:tcMar>
            <w:vAlign w:val="center"/>
          </w:tcPr>
          <w:p w14:paraId="4180901B">
            <w:pPr>
              <w:widowControl/>
              <w:jc w:val="center"/>
              <w:rPr>
                <w:rFonts w:ascii="Times New Roman" w:hAnsi="Times New Roman"/>
                <w:kern w:val="0"/>
                <w:szCs w:val="21"/>
              </w:rPr>
            </w:pPr>
            <w:r>
              <w:rPr>
                <w:rFonts w:ascii="Times New Roman" w:hAnsi="Times New Roman"/>
              </w:rPr>
              <w:fldChar w:fldCharType="begin"/>
            </w:r>
            <w:r>
              <w:rPr>
                <w:rFonts w:ascii="Times New Roman" w:hAnsi="Times New Roman"/>
              </w:rPr>
              <w:instrText xml:space="preserve"> HYPERLINK "https://www.qcc.com/firm/9bba3b23ba2ae16ba09e6d3684d75eee.html" \t "https://www.qcc.com/firm/_blank" </w:instrText>
            </w:r>
            <w:r>
              <w:rPr>
                <w:rFonts w:ascii="Times New Roman" w:hAnsi="Times New Roman"/>
              </w:rPr>
              <w:fldChar w:fldCharType="separate"/>
            </w:r>
            <w:r>
              <w:rPr>
                <w:rFonts w:ascii="Times New Roman" w:hAnsi="Times New Roman"/>
                <w:kern w:val="0"/>
                <w:szCs w:val="21"/>
              </w:rPr>
              <w:t>广州星盛动漫科技有限公司</w:t>
            </w:r>
            <w:r>
              <w:rPr>
                <w:rFonts w:ascii="Times New Roman" w:hAnsi="Times New Roman"/>
                <w:kern w:val="0"/>
                <w:szCs w:val="21"/>
              </w:rPr>
              <w:fldChar w:fldCharType="end"/>
            </w:r>
          </w:p>
        </w:tc>
        <w:tc>
          <w:tcPr>
            <w:tcW w:w="2187" w:type="dxa"/>
            <w:noWrap w:val="0"/>
            <w:tcMar>
              <w:top w:w="0" w:type="dxa"/>
              <w:left w:w="108" w:type="dxa"/>
              <w:bottom w:w="0" w:type="dxa"/>
              <w:right w:w="108" w:type="dxa"/>
            </w:tcMar>
            <w:vAlign w:val="center"/>
          </w:tcPr>
          <w:p w14:paraId="34EA869F">
            <w:pPr>
              <w:widowControl/>
              <w:jc w:val="center"/>
              <w:rPr>
                <w:rFonts w:ascii="Times New Roman" w:hAnsi="Times New Roman"/>
              </w:rPr>
            </w:pPr>
            <w:r>
              <w:rPr>
                <w:rFonts w:ascii="Times New Roman" w:hAnsi="Times New Roman"/>
                <w:lang w:bidi="ar"/>
              </w:rPr>
              <w:t>0.160636</w:t>
            </w:r>
          </w:p>
        </w:tc>
        <w:tc>
          <w:tcPr>
            <w:tcW w:w="2187" w:type="dxa"/>
            <w:noWrap w:val="0"/>
            <w:tcMar>
              <w:top w:w="0" w:type="dxa"/>
              <w:left w:w="108" w:type="dxa"/>
              <w:bottom w:w="0" w:type="dxa"/>
              <w:right w:w="108" w:type="dxa"/>
            </w:tcMar>
            <w:vAlign w:val="center"/>
          </w:tcPr>
          <w:p w14:paraId="221EFD44">
            <w:pPr>
              <w:widowControl/>
              <w:jc w:val="center"/>
              <w:rPr>
                <w:rFonts w:ascii="Times New Roman" w:hAnsi="Times New Roman"/>
                <w:kern w:val="0"/>
                <w:szCs w:val="21"/>
              </w:rPr>
            </w:pPr>
            <w:r>
              <w:rPr>
                <w:rFonts w:ascii="Times New Roman" w:hAnsi="Times New Roman"/>
                <w:kern w:val="0"/>
                <w:szCs w:val="21"/>
                <w:lang w:bidi="ar"/>
              </w:rPr>
              <w:t>16.0636%</w:t>
            </w:r>
          </w:p>
        </w:tc>
      </w:tr>
      <w:tr w14:paraId="0478D7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588BE39D">
            <w:pPr>
              <w:widowControl/>
              <w:rPr>
                <w:rFonts w:ascii="Times New Roman" w:hAnsi="Times New Roman"/>
                <w:szCs w:val="21"/>
              </w:rPr>
            </w:pPr>
          </w:p>
        </w:tc>
        <w:tc>
          <w:tcPr>
            <w:tcW w:w="2187" w:type="dxa"/>
            <w:noWrap w:val="0"/>
            <w:tcMar>
              <w:top w:w="0" w:type="dxa"/>
              <w:left w:w="108" w:type="dxa"/>
              <w:bottom w:w="0" w:type="dxa"/>
              <w:right w:w="108" w:type="dxa"/>
            </w:tcMar>
            <w:vAlign w:val="center"/>
          </w:tcPr>
          <w:p w14:paraId="68975BF8">
            <w:pPr>
              <w:widowControl/>
              <w:jc w:val="center"/>
              <w:rPr>
                <w:rFonts w:ascii="Times New Roman" w:hAnsi="Times New Roman"/>
                <w:kern w:val="0"/>
                <w:szCs w:val="21"/>
              </w:rPr>
            </w:pPr>
            <w:r>
              <w:rPr>
                <w:rFonts w:ascii="Times New Roman" w:hAnsi="Times New Roman"/>
              </w:rPr>
              <w:fldChar w:fldCharType="begin"/>
            </w:r>
            <w:r>
              <w:rPr>
                <w:rFonts w:ascii="Times New Roman" w:hAnsi="Times New Roman"/>
              </w:rPr>
              <w:instrText xml:space="preserve"> HYPERLINK "https://www.qcc.com/firm/009c175596a9a0165669c11c1dbb18b7.html" \t "https://www.qcc.com/firm/_blank" </w:instrText>
            </w:r>
            <w:r>
              <w:rPr>
                <w:rFonts w:ascii="Times New Roman" w:hAnsi="Times New Roman"/>
              </w:rPr>
              <w:fldChar w:fldCharType="separate"/>
            </w:r>
            <w:r>
              <w:rPr>
                <w:rFonts w:ascii="Times New Roman" w:hAnsi="Times New Roman"/>
                <w:kern w:val="0"/>
                <w:szCs w:val="21"/>
              </w:rPr>
              <w:t>深圳前海绘云科技有限公司</w:t>
            </w:r>
            <w:r>
              <w:rPr>
                <w:rFonts w:ascii="Times New Roman" w:hAnsi="Times New Roman"/>
                <w:kern w:val="0"/>
                <w:szCs w:val="21"/>
              </w:rPr>
              <w:fldChar w:fldCharType="end"/>
            </w:r>
          </w:p>
        </w:tc>
        <w:tc>
          <w:tcPr>
            <w:tcW w:w="2187" w:type="dxa"/>
            <w:noWrap w:val="0"/>
            <w:tcMar>
              <w:top w:w="0" w:type="dxa"/>
              <w:left w:w="108" w:type="dxa"/>
              <w:bottom w:w="0" w:type="dxa"/>
              <w:right w:w="108" w:type="dxa"/>
            </w:tcMar>
            <w:vAlign w:val="center"/>
          </w:tcPr>
          <w:p w14:paraId="7C1FC1BA">
            <w:pPr>
              <w:widowControl/>
              <w:jc w:val="center"/>
              <w:rPr>
                <w:rFonts w:ascii="Times New Roman" w:hAnsi="Times New Roman"/>
              </w:rPr>
            </w:pPr>
            <w:r>
              <w:rPr>
                <w:rFonts w:ascii="Times New Roman" w:hAnsi="Times New Roman"/>
                <w:lang w:bidi="ar"/>
              </w:rPr>
              <w:t>0.060775</w:t>
            </w:r>
          </w:p>
        </w:tc>
        <w:tc>
          <w:tcPr>
            <w:tcW w:w="2187" w:type="dxa"/>
            <w:noWrap w:val="0"/>
            <w:tcMar>
              <w:top w:w="0" w:type="dxa"/>
              <w:left w:w="108" w:type="dxa"/>
              <w:bottom w:w="0" w:type="dxa"/>
              <w:right w:w="108" w:type="dxa"/>
            </w:tcMar>
            <w:vAlign w:val="center"/>
          </w:tcPr>
          <w:p w14:paraId="09446D73">
            <w:pPr>
              <w:widowControl/>
              <w:jc w:val="center"/>
              <w:rPr>
                <w:rFonts w:ascii="Times New Roman" w:hAnsi="Times New Roman"/>
                <w:kern w:val="0"/>
                <w:szCs w:val="21"/>
              </w:rPr>
            </w:pPr>
            <w:r>
              <w:rPr>
                <w:rFonts w:ascii="Times New Roman" w:hAnsi="Times New Roman"/>
                <w:kern w:val="0"/>
                <w:szCs w:val="21"/>
                <w:lang w:bidi="ar"/>
              </w:rPr>
              <w:t>6.0775%</w:t>
            </w:r>
          </w:p>
        </w:tc>
      </w:tr>
      <w:tr w14:paraId="47A888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26CFEC98">
            <w:pPr>
              <w:widowControl/>
              <w:rPr>
                <w:rFonts w:ascii="Times New Roman" w:hAnsi="Times New Roman"/>
                <w:szCs w:val="21"/>
              </w:rPr>
            </w:pPr>
          </w:p>
        </w:tc>
        <w:tc>
          <w:tcPr>
            <w:tcW w:w="2187" w:type="dxa"/>
            <w:noWrap w:val="0"/>
            <w:tcMar>
              <w:top w:w="0" w:type="dxa"/>
              <w:left w:w="108" w:type="dxa"/>
              <w:bottom w:w="0" w:type="dxa"/>
              <w:right w:w="108" w:type="dxa"/>
            </w:tcMar>
            <w:vAlign w:val="center"/>
          </w:tcPr>
          <w:p w14:paraId="33B06547">
            <w:pPr>
              <w:widowControl/>
              <w:jc w:val="center"/>
              <w:rPr>
                <w:rFonts w:ascii="Times New Roman" w:hAnsi="Times New Roman"/>
                <w:kern w:val="0"/>
                <w:szCs w:val="21"/>
              </w:rPr>
            </w:pPr>
            <w:r>
              <w:rPr>
                <w:rFonts w:ascii="Times New Roman" w:hAnsi="Times New Roman"/>
              </w:rPr>
              <w:fldChar w:fldCharType="begin"/>
            </w:r>
            <w:r>
              <w:rPr>
                <w:rFonts w:ascii="Times New Roman" w:hAnsi="Times New Roman"/>
              </w:rPr>
              <w:instrText xml:space="preserve"> HYPERLINK "https://www.qcc.com/firm/cd04b8a4e6cf61bcdd957e5cbc4a9bf1.html" \t "https://www.qcc.com/firm/_blank" </w:instrText>
            </w:r>
            <w:r>
              <w:rPr>
                <w:rFonts w:ascii="Times New Roman" w:hAnsi="Times New Roman"/>
              </w:rPr>
              <w:fldChar w:fldCharType="separate"/>
            </w:r>
            <w:r>
              <w:rPr>
                <w:rFonts w:ascii="Times New Roman" w:hAnsi="Times New Roman"/>
                <w:kern w:val="0"/>
                <w:szCs w:val="21"/>
              </w:rPr>
              <w:t>广州华立科技股份有限公司</w:t>
            </w:r>
            <w:r>
              <w:rPr>
                <w:rFonts w:ascii="Times New Roman" w:hAnsi="Times New Roman"/>
                <w:kern w:val="0"/>
                <w:szCs w:val="21"/>
              </w:rPr>
              <w:fldChar w:fldCharType="end"/>
            </w:r>
          </w:p>
        </w:tc>
        <w:tc>
          <w:tcPr>
            <w:tcW w:w="2187" w:type="dxa"/>
            <w:noWrap w:val="0"/>
            <w:tcMar>
              <w:top w:w="0" w:type="dxa"/>
              <w:left w:w="108" w:type="dxa"/>
              <w:bottom w:w="0" w:type="dxa"/>
              <w:right w:w="108" w:type="dxa"/>
            </w:tcMar>
            <w:vAlign w:val="center"/>
          </w:tcPr>
          <w:p w14:paraId="1632F0EE">
            <w:pPr>
              <w:widowControl/>
              <w:jc w:val="center"/>
              <w:rPr>
                <w:rFonts w:ascii="Times New Roman" w:hAnsi="Times New Roman"/>
              </w:rPr>
            </w:pPr>
            <w:r>
              <w:rPr>
                <w:rFonts w:ascii="Times New Roman" w:hAnsi="Times New Roman"/>
                <w:lang w:bidi="ar"/>
              </w:rPr>
              <w:t>0.051149</w:t>
            </w:r>
          </w:p>
        </w:tc>
        <w:tc>
          <w:tcPr>
            <w:tcW w:w="2187" w:type="dxa"/>
            <w:noWrap w:val="0"/>
            <w:tcMar>
              <w:top w:w="0" w:type="dxa"/>
              <w:left w:w="108" w:type="dxa"/>
              <w:bottom w:w="0" w:type="dxa"/>
              <w:right w:w="108" w:type="dxa"/>
            </w:tcMar>
            <w:vAlign w:val="center"/>
          </w:tcPr>
          <w:p w14:paraId="3C25BB18">
            <w:pPr>
              <w:widowControl/>
              <w:jc w:val="center"/>
              <w:rPr>
                <w:rFonts w:ascii="Times New Roman" w:hAnsi="Times New Roman"/>
                <w:kern w:val="0"/>
                <w:szCs w:val="21"/>
              </w:rPr>
            </w:pPr>
            <w:r>
              <w:rPr>
                <w:rFonts w:ascii="Times New Roman" w:hAnsi="Times New Roman"/>
                <w:kern w:val="0"/>
                <w:szCs w:val="21"/>
                <w:lang w:bidi="ar"/>
              </w:rPr>
              <w:t>5.1149%</w:t>
            </w:r>
          </w:p>
        </w:tc>
      </w:tr>
      <w:tr w14:paraId="79FCEA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67FEA7AF">
            <w:pPr>
              <w:widowControl/>
              <w:rPr>
                <w:rFonts w:ascii="Times New Roman" w:hAnsi="Times New Roman"/>
                <w:szCs w:val="21"/>
              </w:rPr>
            </w:pPr>
          </w:p>
        </w:tc>
        <w:tc>
          <w:tcPr>
            <w:tcW w:w="2187" w:type="dxa"/>
            <w:noWrap w:val="0"/>
            <w:tcMar>
              <w:top w:w="0" w:type="dxa"/>
              <w:left w:w="108" w:type="dxa"/>
              <w:bottom w:w="0" w:type="dxa"/>
              <w:right w:w="108" w:type="dxa"/>
            </w:tcMar>
            <w:vAlign w:val="center"/>
          </w:tcPr>
          <w:p w14:paraId="1888FB50">
            <w:pPr>
              <w:widowControl/>
              <w:jc w:val="center"/>
              <w:rPr>
                <w:rFonts w:ascii="Times New Roman" w:hAnsi="Times New Roman"/>
                <w:kern w:val="0"/>
                <w:szCs w:val="21"/>
              </w:rPr>
            </w:pPr>
            <w:r>
              <w:rPr>
                <w:rFonts w:ascii="Times New Roman" w:hAnsi="Times New Roman"/>
              </w:rPr>
              <w:fldChar w:fldCharType="begin"/>
            </w:r>
            <w:r>
              <w:rPr>
                <w:rFonts w:ascii="Times New Roman" w:hAnsi="Times New Roman"/>
              </w:rPr>
              <w:instrText xml:space="preserve"> HYPERLINK "https://www.qcc.com/firm/2890ec5b43b6622634184ad8c2efbec4.html" \t "https://www.qcc.com/firm/_blank" </w:instrText>
            </w:r>
            <w:r>
              <w:rPr>
                <w:rFonts w:ascii="Times New Roman" w:hAnsi="Times New Roman"/>
              </w:rPr>
              <w:fldChar w:fldCharType="separate"/>
            </w:r>
            <w:r>
              <w:rPr>
                <w:rFonts w:ascii="Times New Roman" w:hAnsi="Times New Roman"/>
                <w:kern w:val="0"/>
                <w:szCs w:val="21"/>
              </w:rPr>
              <w:t>重庆悦游文化传播有限公司</w:t>
            </w:r>
            <w:r>
              <w:rPr>
                <w:rFonts w:ascii="Times New Roman" w:hAnsi="Times New Roman"/>
                <w:kern w:val="0"/>
                <w:szCs w:val="21"/>
              </w:rPr>
              <w:fldChar w:fldCharType="end"/>
            </w:r>
          </w:p>
        </w:tc>
        <w:tc>
          <w:tcPr>
            <w:tcW w:w="2187" w:type="dxa"/>
            <w:noWrap w:val="0"/>
            <w:tcMar>
              <w:top w:w="0" w:type="dxa"/>
              <w:left w:w="108" w:type="dxa"/>
              <w:bottom w:w="0" w:type="dxa"/>
              <w:right w:w="108" w:type="dxa"/>
            </w:tcMar>
            <w:vAlign w:val="center"/>
          </w:tcPr>
          <w:p w14:paraId="734E40F7">
            <w:pPr>
              <w:widowControl/>
              <w:jc w:val="center"/>
              <w:rPr>
                <w:rFonts w:ascii="Times New Roman" w:hAnsi="Times New Roman"/>
              </w:rPr>
            </w:pPr>
            <w:r>
              <w:rPr>
                <w:rFonts w:ascii="Times New Roman" w:hAnsi="Times New Roman"/>
                <w:lang w:bidi="ar"/>
              </w:rPr>
              <w:t>0.003544</w:t>
            </w:r>
          </w:p>
        </w:tc>
        <w:tc>
          <w:tcPr>
            <w:tcW w:w="2187" w:type="dxa"/>
            <w:noWrap w:val="0"/>
            <w:tcMar>
              <w:top w:w="0" w:type="dxa"/>
              <w:left w:w="108" w:type="dxa"/>
              <w:bottom w:w="0" w:type="dxa"/>
              <w:right w:w="108" w:type="dxa"/>
            </w:tcMar>
            <w:vAlign w:val="center"/>
          </w:tcPr>
          <w:p w14:paraId="20A1C6A3">
            <w:pPr>
              <w:widowControl/>
              <w:jc w:val="center"/>
              <w:rPr>
                <w:rFonts w:ascii="Times New Roman" w:hAnsi="Times New Roman"/>
                <w:kern w:val="0"/>
                <w:szCs w:val="21"/>
              </w:rPr>
            </w:pPr>
            <w:r>
              <w:rPr>
                <w:rFonts w:ascii="Times New Roman" w:hAnsi="Times New Roman"/>
                <w:kern w:val="0"/>
                <w:szCs w:val="21"/>
                <w:lang w:bidi="ar"/>
              </w:rPr>
              <w:t>0.3544%</w:t>
            </w:r>
          </w:p>
        </w:tc>
      </w:tr>
      <w:tr w14:paraId="0E524A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8" w:type="dxa"/>
            <w:vMerge w:val="continue"/>
            <w:noWrap w:val="0"/>
            <w:tcMar>
              <w:top w:w="0" w:type="dxa"/>
              <w:left w:w="108" w:type="dxa"/>
              <w:bottom w:w="0" w:type="dxa"/>
              <w:right w:w="108" w:type="dxa"/>
            </w:tcMar>
            <w:vAlign w:val="center"/>
          </w:tcPr>
          <w:p w14:paraId="7FF9C14A">
            <w:pPr>
              <w:widowControl/>
              <w:rPr>
                <w:rFonts w:ascii="Times New Roman" w:hAnsi="Times New Roman"/>
                <w:kern w:val="0"/>
                <w:szCs w:val="21"/>
              </w:rPr>
            </w:pPr>
          </w:p>
        </w:tc>
        <w:tc>
          <w:tcPr>
            <w:tcW w:w="2187" w:type="dxa"/>
            <w:noWrap w:val="0"/>
            <w:tcMar>
              <w:top w:w="0" w:type="dxa"/>
              <w:left w:w="108" w:type="dxa"/>
              <w:bottom w:w="0" w:type="dxa"/>
              <w:right w:w="108" w:type="dxa"/>
            </w:tcMar>
            <w:vAlign w:val="center"/>
          </w:tcPr>
          <w:p w14:paraId="093F274A">
            <w:pPr>
              <w:widowControl/>
              <w:jc w:val="center"/>
              <w:rPr>
                <w:rFonts w:ascii="Times New Roman" w:hAnsi="Times New Roman"/>
                <w:kern w:val="0"/>
                <w:szCs w:val="21"/>
              </w:rPr>
            </w:pPr>
            <w:r>
              <w:rPr>
                <w:rFonts w:ascii="Times New Roman" w:hAnsi="Times New Roman"/>
                <w:kern w:val="0"/>
                <w:szCs w:val="21"/>
              </w:rPr>
              <w:t>合计</w:t>
            </w:r>
          </w:p>
        </w:tc>
        <w:tc>
          <w:tcPr>
            <w:tcW w:w="2187" w:type="dxa"/>
            <w:noWrap w:val="0"/>
            <w:tcMar>
              <w:top w:w="0" w:type="dxa"/>
              <w:left w:w="108" w:type="dxa"/>
              <w:bottom w:w="0" w:type="dxa"/>
              <w:right w:w="108" w:type="dxa"/>
            </w:tcMar>
            <w:vAlign w:val="center"/>
          </w:tcPr>
          <w:p w14:paraId="37882F78">
            <w:pPr>
              <w:widowControl/>
              <w:jc w:val="center"/>
              <w:rPr>
                <w:rFonts w:ascii="Times New Roman" w:hAnsi="Times New Roman"/>
                <w:kern w:val="0"/>
                <w:szCs w:val="21"/>
              </w:rPr>
            </w:pPr>
            <w:r>
              <w:rPr>
                <w:rFonts w:ascii="Times New Roman" w:hAnsi="Times New Roman"/>
                <w:kern w:val="0"/>
                <w:szCs w:val="21"/>
              </w:rPr>
              <w:t>1.00</w:t>
            </w:r>
          </w:p>
        </w:tc>
        <w:tc>
          <w:tcPr>
            <w:tcW w:w="2187" w:type="dxa"/>
            <w:noWrap w:val="0"/>
            <w:tcMar>
              <w:top w:w="0" w:type="dxa"/>
              <w:left w:w="108" w:type="dxa"/>
              <w:bottom w:w="0" w:type="dxa"/>
              <w:right w:w="108" w:type="dxa"/>
            </w:tcMar>
            <w:vAlign w:val="center"/>
          </w:tcPr>
          <w:p w14:paraId="7AF2788E">
            <w:pPr>
              <w:widowControl/>
              <w:jc w:val="center"/>
              <w:rPr>
                <w:rFonts w:ascii="Times New Roman" w:hAnsi="Times New Roman"/>
                <w:kern w:val="0"/>
                <w:szCs w:val="21"/>
              </w:rPr>
            </w:pPr>
            <w:r>
              <w:rPr>
                <w:rFonts w:ascii="Times New Roman" w:hAnsi="Times New Roman"/>
                <w:kern w:val="0"/>
                <w:szCs w:val="21"/>
              </w:rPr>
              <w:t>100.00%</w:t>
            </w:r>
          </w:p>
        </w:tc>
      </w:tr>
    </w:tbl>
    <w:p w14:paraId="612DED5F">
      <w:pPr>
        <w:widowControl/>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根据星云开物提供的资料并经本所律师核查，截至本</w:t>
      </w:r>
      <w:r>
        <w:rPr>
          <w:rFonts w:hint="eastAsia" w:ascii="Times New Roman" w:hAnsi="Times New Roman"/>
          <w:kern w:val="0"/>
          <w:sz w:val="24"/>
        </w:rPr>
        <w:t>补充</w:t>
      </w:r>
      <w:r>
        <w:rPr>
          <w:rFonts w:ascii="Times New Roman" w:hAnsi="Times New Roman"/>
          <w:kern w:val="0"/>
          <w:sz w:val="24"/>
        </w:rPr>
        <w:t>法律意见书出具日，</w:t>
      </w:r>
      <w:r>
        <w:rPr>
          <w:rFonts w:hint="eastAsia" w:ascii="Times New Roman" w:hAnsi="Times New Roman"/>
          <w:kern w:val="0"/>
          <w:sz w:val="24"/>
        </w:rPr>
        <w:t>标的公司</w:t>
      </w:r>
      <w:r>
        <w:rPr>
          <w:rFonts w:ascii="Times New Roman" w:hAnsi="Times New Roman"/>
          <w:kern w:val="0"/>
          <w:sz w:val="24"/>
        </w:rPr>
        <w:t>上述控股</w:t>
      </w:r>
      <w:r>
        <w:rPr>
          <w:rFonts w:hint="eastAsia" w:ascii="Times New Roman" w:hAnsi="Times New Roman"/>
          <w:kern w:val="0"/>
          <w:sz w:val="24"/>
        </w:rPr>
        <w:t>、</w:t>
      </w:r>
      <w:r>
        <w:rPr>
          <w:rFonts w:ascii="Times New Roman" w:hAnsi="Times New Roman"/>
          <w:kern w:val="0"/>
          <w:sz w:val="24"/>
        </w:rPr>
        <w:t>参股企业的设立或变更均依法履行了必备的法律手续</w:t>
      </w:r>
      <w:r>
        <w:rPr>
          <w:rFonts w:hint="eastAsia" w:ascii="Times New Roman" w:hAnsi="Times New Roman"/>
          <w:kern w:val="0"/>
          <w:sz w:val="24"/>
        </w:rPr>
        <w:t>，标的公司</w:t>
      </w:r>
      <w:r>
        <w:rPr>
          <w:rFonts w:ascii="Times New Roman" w:hAnsi="Times New Roman"/>
          <w:kern w:val="0"/>
          <w:sz w:val="24"/>
        </w:rPr>
        <w:t>对上述控股</w:t>
      </w:r>
      <w:r>
        <w:rPr>
          <w:rFonts w:hint="eastAsia" w:ascii="Times New Roman" w:hAnsi="Times New Roman"/>
          <w:kern w:val="0"/>
          <w:sz w:val="24"/>
        </w:rPr>
        <w:t>、</w:t>
      </w:r>
      <w:r>
        <w:rPr>
          <w:rFonts w:ascii="Times New Roman" w:hAnsi="Times New Roman"/>
          <w:kern w:val="0"/>
          <w:sz w:val="24"/>
        </w:rPr>
        <w:t>参股企业的出资合法</w:t>
      </w:r>
      <w:r>
        <w:rPr>
          <w:rFonts w:hint="eastAsia" w:ascii="Times New Roman" w:hAnsi="Times New Roman"/>
          <w:kern w:val="0"/>
          <w:sz w:val="24"/>
        </w:rPr>
        <w:t>、</w:t>
      </w:r>
      <w:r>
        <w:rPr>
          <w:rFonts w:ascii="Times New Roman" w:hAnsi="Times New Roman"/>
          <w:kern w:val="0"/>
          <w:sz w:val="24"/>
        </w:rPr>
        <w:t>合规</w:t>
      </w:r>
      <w:r>
        <w:rPr>
          <w:rFonts w:hint="eastAsia" w:ascii="Times New Roman" w:hAnsi="Times New Roman"/>
          <w:kern w:val="0"/>
          <w:sz w:val="24"/>
        </w:rPr>
        <w:t>、</w:t>
      </w:r>
      <w:r>
        <w:rPr>
          <w:rFonts w:ascii="Times New Roman" w:hAnsi="Times New Roman"/>
          <w:kern w:val="0"/>
          <w:sz w:val="24"/>
        </w:rPr>
        <w:t>真实</w:t>
      </w:r>
      <w:r>
        <w:rPr>
          <w:rFonts w:hint="eastAsia" w:ascii="Times New Roman" w:hAnsi="Times New Roman"/>
          <w:kern w:val="0"/>
          <w:sz w:val="24"/>
        </w:rPr>
        <w:t>、</w:t>
      </w:r>
      <w:r>
        <w:rPr>
          <w:rFonts w:ascii="Times New Roman" w:hAnsi="Times New Roman"/>
          <w:kern w:val="0"/>
          <w:sz w:val="24"/>
        </w:rPr>
        <w:t>有效。</w:t>
      </w:r>
    </w:p>
    <w:p w14:paraId="2D4D2318">
      <w:pPr>
        <w:widowControl/>
        <w:adjustRightInd w:val="0"/>
        <w:snapToGrid w:val="0"/>
        <w:spacing w:before="156" w:beforeLines="50" w:line="360" w:lineRule="auto"/>
        <w:ind w:firstLine="480" w:firstLineChars="200"/>
        <w:rPr>
          <w:rFonts w:ascii="Times New Roman" w:hAnsi="Times New Roman"/>
          <w:kern w:val="0"/>
          <w:sz w:val="24"/>
          <w:lang w:eastAsia="zh"/>
        </w:rPr>
      </w:pPr>
      <w:r>
        <w:rPr>
          <w:rFonts w:hint="eastAsia" w:ascii="Times New Roman" w:hAnsi="Times New Roman"/>
          <w:kern w:val="0"/>
          <w:sz w:val="24"/>
        </w:rPr>
        <w:t>截至本补充法律意见书出具日，标的公司的</w:t>
      </w:r>
      <w:r>
        <w:rPr>
          <w:rFonts w:ascii="Times New Roman" w:hAnsi="Times New Roman"/>
          <w:kern w:val="0"/>
          <w:sz w:val="24"/>
        </w:rPr>
        <w:t>子公司</w:t>
      </w:r>
      <w:r>
        <w:rPr>
          <w:rFonts w:hint="eastAsia" w:ascii="Times New Roman" w:hAnsi="Times New Roman"/>
          <w:kern w:val="0"/>
          <w:sz w:val="24"/>
        </w:rPr>
        <w:t>均</w:t>
      </w:r>
      <w:r>
        <w:rPr>
          <w:rFonts w:ascii="Times New Roman" w:hAnsi="Times New Roman"/>
          <w:kern w:val="0"/>
          <w:sz w:val="24"/>
        </w:rPr>
        <w:t>为依法设立并有效存续的企业法人，不存在根据相关法律法规、规范性文件以及其公司章程的规定需要终止的情形，且</w:t>
      </w:r>
      <w:r>
        <w:rPr>
          <w:rFonts w:hint="eastAsia" w:ascii="Times New Roman" w:hAnsi="Times New Roman"/>
          <w:kern w:val="0"/>
          <w:sz w:val="24"/>
        </w:rPr>
        <w:t>标的公司</w:t>
      </w:r>
      <w:r>
        <w:rPr>
          <w:rFonts w:ascii="Times New Roman" w:hAnsi="Times New Roman"/>
          <w:kern w:val="0"/>
          <w:sz w:val="24"/>
          <w:lang w:eastAsia="zh"/>
        </w:rPr>
        <w:t>持有</w:t>
      </w:r>
      <w:r>
        <w:rPr>
          <w:rFonts w:ascii="Times New Roman" w:hAnsi="Times New Roman"/>
          <w:kern w:val="0"/>
          <w:sz w:val="24"/>
        </w:rPr>
        <w:t>子</w:t>
      </w:r>
      <w:r>
        <w:rPr>
          <w:rFonts w:ascii="Times New Roman" w:hAnsi="Times New Roman"/>
          <w:kern w:val="0"/>
          <w:sz w:val="24"/>
          <w:lang w:eastAsia="zh"/>
        </w:rPr>
        <w:t>公司的股权不存在质押、冻结等权利受到限制的情形。</w:t>
      </w:r>
    </w:p>
    <w:p w14:paraId="12C23693">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ascii="Times New Roman" w:hAnsi="Times New Roman"/>
          <w:b/>
          <w:bCs/>
          <w:sz w:val="24"/>
        </w:rPr>
        <w:t>2、注册商标</w:t>
      </w:r>
    </w:p>
    <w:p w14:paraId="08365E43">
      <w:pPr>
        <w:pStyle w:val="39"/>
        <w:adjustRightInd w:val="0"/>
        <w:snapToGrid w:val="0"/>
        <w:spacing w:before="156" w:beforeLines="50" w:after="156" w:afterLines="50"/>
        <w:ind w:firstLine="496"/>
        <w:rPr>
          <w:rFonts w:hint="eastAsia"/>
        </w:rPr>
      </w:pPr>
      <w:r>
        <w:rPr>
          <w:spacing w:val="4"/>
          <w:szCs w:val="24"/>
        </w:rPr>
        <w:t>根据</w:t>
      </w:r>
      <w:r>
        <w:rPr>
          <w:rFonts w:hint="eastAsia"/>
          <w:szCs w:val="24"/>
        </w:rPr>
        <w:t>星云开物</w:t>
      </w:r>
      <w:r>
        <w:rPr>
          <w:spacing w:val="4"/>
          <w:szCs w:val="24"/>
        </w:rPr>
        <w:t>提供的</w:t>
      </w:r>
      <w:r>
        <w:rPr>
          <w:rFonts w:hint="eastAsia"/>
          <w:spacing w:val="4"/>
          <w:szCs w:val="24"/>
        </w:rPr>
        <w:t>商标</w:t>
      </w:r>
      <w:r>
        <w:rPr>
          <w:spacing w:val="4"/>
          <w:szCs w:val="24"/>
        </w:rPr>
        <w:t>证书</w:t>
      </w:r>
      <w:r>
        <w:rPr>
          <w:rFonts w:hint="eastAsia"/>
          <w:spacing w:val="4"/>
          <w:szCs w:val="24"/>
        </w:rPr>
        <w:t>并经核查</w:t>
      </w:r>
      <w:r>
        <w:rPr>
          <w:szCs w:val="24"/>
        </w:rPr>
        <w:t>，补充核查期间，</w:t>
      </w:r>
      <w:r>
        <w:rPr>
          <w:rFonts w:hint="eastAsia"/>
          <w:spacing w:val="4"/>
          <w:szCs w:val="24"/>
        </w:rPr>
        <w:t>星云开物</w:t>
      </w:r>
      <w:r>
        <w:rPr>
          <w:spacing w:val="4"/>
          <w:szCs w:val="24"/>
        </w:rPr>
        <w:t>新增</w:t>
      </w:r>
      <w:r>
        <w:rPr>
          <w:rFonts w:hint="eastAsia"/>
          <w:spacing w:val="4"/>
          <w:szCs w:val="24"/>
        </w:rPr>
        <w:t>3</w:t>
      </w:r>
      <w:r>
        <w:rPr>
          <w:spacing w:val="-7"/>
          <w:szCs w:val="24"/>
        </w:rPr>
        <w:t>项</w:t>
      </w:r>
      <w:r>
        <w:rPr>
          <w:rFonts w:hint="eastAsia"/>
          <w:spacing w:val="4"/>
          <w:szCs w:val="24"/>
        </w:rPr>
        <w:t>注册商标</w:t>
      </w:r>
      <w:r>
        <w:rPr>
          <w:spacing w:val="-7"/>
          <w:szCs w:val="24"/>
        </w:rPr>
        <w:t>，具体情况如下</w:t>
      </w:r>
      <w:r>
        <w:rPr>
          <w:rFonts w:hint="eastAsia"/>
          <w:spacing w:val="-7"/>
          <w:szCs w:val="24"/>
        </w:rPr>
        <w:t>：</w:t>
      </w:r>
    </w:p>
    <w:tbl>
      <w:tblPr>
        <w:tblStyle w:val="21"/>
        <w:tblW w:w="86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108" w:type="dxa"/>
          <w:bottom w:w="28" w:type="dxa"/>
          <w:right w:w="108" w:type="dxa"/>
        </w:tblCellMar>
      </w:tblPr>
      <w:tblGrid>
        <w:gridCol w:w="299"/>
        <w:gridCol w:w="1196"/>
        <w:gridCol w:w="1341"/>
        <w:gridCol w:w="1796"/>
        <w:gridCol w:w="1049"/>
        <w:gridCol w:w="1549"/>
        <w:gridCol w:w="823"/>
        <w:gridCol w:w="569"/>
      </w:tblGrid>
      <w:tr w14:paraId="74F188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cantSplit/>
          <w:trHeight w:val="454" w:hRule="atLeast"/>
          <w:tblHeader/>
          <w:jc w:val="center"/>
        </w:trPr>
        <w:tc>
          <w:tcPr>
            <w:tcW w:w="299" w:type="dxa"/>
            <w:noWrap w:val="0"/>
            <w:vAlign w:val="center"/>
          </w:tcPr>
          <w:p w14:paraId="483E7219">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序号</w:t>
            </w:r>
          </w:p>
        </w:tc>
        <w:tc>
          <w:tcPr>
            <w:tcW w:w="1196" w:type="dxa"/>
            <w:noWrap w:val="0"/>
            <w:vAlign w:val="center"/>
          </w:tcPr>
          <w:p w14:paraId="0A61AE6D">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权利人</w:t>
            </w:r>
          </w:p>
        </w:tc>
        <w:tc>
          <w:tcPr>
            <w:tcW w:w="1341" w:type="dxa"/>
            <w:noWrap w:val="0"/>
            <w:vAlign w:val="center"/>
          </w:tcPr>
          <w:p w14:paraId="21B34C6E">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注册商标</w:t>
            </w:r>
          </w:p>
        </w:tc>
        <w:tc>
          <w:tcPr>
            <w:tcW w:w="1796" w:type="dxa"/>
            <w:noWrap w:val="0"/>
            <w:vAlign w:val="center"/>
          </w:tcPr>
          <w:p w14:paraId="1BEEE468">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国际分类</w:t>
            </w:r>
          </w:p>
        </w:tc>
        <w:tc>
          <w:tcPr>
            <w:tcW w:w="1049" w:type="dxa"/>
            <w:noWrap w:val="0"/>
            <w:vAlign w:val="center"/>
          </w:tcPr>
          <w:p w14:paraId="2FD23FB6">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注册号</w:t>
            </w:r>
          </w:p>
        </w:tc>
        <w:tc>
          <w:tcPr>
            <w:tcW w:w="1549" w:type="dxa"/>
            <w:noWrap w:val="0"/>
            <w:vAlign w:val="center"/>
          </w:tcPr>
          <w:p w14:paraId="0D35059F">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lang w:eastAsia="zh"/>
              </w:rPr>
              <w:t>商标专用期限</w:t>
            </w:r>
          </w:p>
        </w:tc>
        <w:tc>
          <w:tcPr>
            <w:tcW w:w="823" w:type="dxa"/>
            <w:noWrap w:val="0"/>
            <w:vAlign w:val="center"/>
          </w:tcPr>
          <w:p w14:paraId="62F30DEC">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取得方式</w:t>
            </w:r>
          </w:p>
        </w:tc>
        <w:tc>
          <w:tcPr>
            <w:tcW w:w="569" w:type="dxa"/>
            <w:noWrap w:val="0"/>
            <w:vAlign w:val="center"/>
          </w:tcPr>
          <w:p w14:paraId="7959C427">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他项权利</w:t>
            </w:r>
          </w:p>
        </w:tc>
      </w:tr>
      <w:tr w14:paraId="0A765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cantSplit/>
          <w:trHeight w:val="454" w:hRule="atLeast"/>
          <w:jc w:val="center"/>
        </w:trPr>
        <w:tc>
          <w:tcPr>
            <w:tcW w:w="299" w:type="dxa"/>
            <w:noWrap w:val="0"/>
            <w:vAlign w:val="center"/>
          </w:tcPr>
          <w:p w14:paraId="1DA279E7">
            <w:pPr>
              <w:widowControl/>
              <w:jc w:val="center"/>
              <w:textAlignment w:val="bottom"/>
              <w:rPr>
                <w:rFonts w:ascii="Times New Roman" w:hAnsi="Times New Roman"/>
                <w:szCs w:val="21"/>
              </w:rPr>
            </w:pPr>
            <w:r>
              <w:rPr>
                <w:rFonts w:ascii="Times New Roman" w:hAnsi="Times New Roman"/>
                <w:color w:val="000000"/>
                <w:kern w:val="0"/>
                <w:sz w:val="20"/>
                <w:szCs w:val="20"/>
                <w:lang w:bidi="ar"/>
              </w:rPr>
              <w:t>1</w:t>
            </w:r>
          </w:p>
        </w:tc>
        <w:tc>
          <w:tcPr>
            <w:tcW w:w="1196" w:type="dxa"/>
            <w:noWrap w:val="0"/>
            <w:vAlign w:val="center"/>
          </w:tcPr>
          <w:p w14:paraId="10634229">
            <w:pPr>
              <w:widowControl/>
              <w:jc w:val="center"/>
              <w:textAlignment w:val="center"/>
              <w:rPr>
                <w:rFonts w:ascii="Times New Roman" w:hAnsi="Times New Roman"/>
                <w:color w:val="000000"/>
                <w:szCs w:val="21"/>
              </w:rPr>
            </w:pPr>
            <w:r>
              <w:rPr>
                <w:rFonts w:ascii="Times New Roman" w:hAnsi="Times New Roman"/>
                <w:color w:val="000000"/>
                <w:kern w:val="0"/>
                <w:szCs w:val="21"/>
                <w:lang w:bidi="ar"/>
              </w:rPr>
              <w:t>星云开物</w:t>
            </w:r>
          </w:p>
        </w:tc>
        <w:tc>
          <w:tcPr>
            <w:tcW w:w="1341" w:type="dxa"/>
            <w:noWrap w:val="0"/>
            <w:vAlign w:val="center"/>
          </w:tcPr>
          <w:p w14:paraId="0B2CDAAF">
            <w:pPr>
              <w:widowControl/>
              <w:jc w:val="center"/>
              <w:textAlignment w:val="bottom"/>
              <w:rPr>
                <w:rFonts w:ascii="Times New Roman" w:hAnsi="Times New Roman"/>
                <w:szCs w:val="21"/>
              </w:rPr>
            </w:pPr>
            <w:r>
              <w:rPr>
                <w:rFonts w:ascii="Arial" w:hAnsi="Arial" w:cs="Arial"/>
                <w:color w:val="000000"/>
                <w:kern w:val="0"/>
                <w:sz w:val="20"/>
                <w:szCs w:val="20"/>
                <w:lang w:bidi="ar"/>
              </w:rPr>
              <w:drawing>
                <wp:inline distT="0" distB="0" distL="114300" distR="114300">
                  <wp:extent cx="457200" cy="152400"/>
                  <wp:effectExtent l="0" t="0" r="0" b="0"/>
                  <wp:docPr id="4" name="图片 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7"/>
                          <pic:cNvPicPr>
                            <a:picLocks noChangeAspect="1"/>
                          </pic:cNvPicPr>
                        </pic:nvPicPr>
                        <pic:blipFill>
                          <a:blip r:embed="rId9"/>
                          <a:stretch>
                            <a:fillRect/>
                          </a:stretch>
                        </pic:blipFill>
                        <pic:spPr>
                          <a:xfrm>
                            <a:off x="0" y="0"/>
                            <a:ext cx="457200" cy="152400"/>
                          </a:xfrm>
                          <a:prstGeom prst="rect">
                            <a:avLst/>
                          </a:prstGeom>
                          <a:noFill/>
                          <a:ln>
                            <a:noFill/>
                          </a:ln>
                        </pic:spPr>
                      </pic:pic>
                    </a:graphicData>
                  </a:graphic>
                </wp:inline>
              </w:drawing>
            </w:r>
          </w:p>
        </w:tc>
        <w:tc>
          <w:tcPr>
            <w:tcW w:w="1796" w:type="dxa"/>
            <w:noWrap w:val="0"/>
            <w:vAlign w:val="center"/>
          </w:tcPr>
          <w:p w14:paraId="76E0E25F">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42类 设计研究</w:t>
            </w:r>
          </w:p>
        </w:tc>
        <w:tc>
          <w:tcPr>
            <w:tcW w:w="1049" w:type="dxa"/>
            <w:noWrap w:val="0"/>
            <w:vAlign w:val="center"/>
          </w:tcPr>
          <w:p w14:paraId="0B1344B2">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86589977</w:t>
            </w:r>
          </w:p>
        </w:tc>
        <w:tc>
          <w:tcPr>
            <w:tcW w:w="1549" w:type="dxa"/>
            <w:noWrap w:val="0"/>
            <w:vAlign w:val="center"/>
          </w:tcPr>
          <w:p w14:paraId="6B224771">
            <w:pPr>
              <w:widowControl/>
              <w:jc w:val="left"/>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2026.1.28-2036.01.27</w:t>
            </w:r>
          </w:p>
        </w:tc>
        <w:tc>
          <w:tcPr>
            <w:tcW w:w="823" w:type="dxa"/>
            <w:noWrap w:val="0"/>
            <w:vAlign w:val="center"/>
          </w:tcPr>
          <w:p w14:paraId="2E1190F2">
            <w:pPr>
              <w:widowControl/>
              <w:jc w:val="center"/>
              <w:textAlignment w:val="center"/>
              <w:rPr>
                <w:rFonts w:ascii="Times New Roman" w:hAnsi="Times New Roman"/>
                <w:color w:val="000000"/>
                <w:szCs w:val="21"/>
              </w:rPr>
            </w:pPr>
            <w:r>
              <w:rPr>
                <w:rFonts w:ascii="Times New Roman" w:hAnsi="Times New Roman"/>
                <w:color w:val="000000"/>
                <w:kern w:val="0"/>
                <w:szCs w:val="21"/>
                <w:lang w:bidi="ar"/>
              </w:rPr>
              <w:t>原始取得</w:t>
            </w:r>
          </w:p>
        </w:tc>
        <w:tc>
          <w:tcPr>
            <w:tcW w:w="569" w:type="dxa"/>
            <w:noWrap w:val="0"/>
            <w:vAlign w:val="center"/>
          </w:tcPr>
          <w:p w14:paraId="421F9130">
            <w:pPr>
              <w:adjustRightInd w:val="0"/>
              <w:snapToGrid w:val="0"/>
              <w:jc w:val="center"/>
              <w:rPr>
                <w:rFonts w:ascii="Times New Roman" w:hAnsi="Times New Roman"/>
                <w:color w:val="000000"/>
                <w:szCs w:val="21"/>
              </w:rPr>
            </w:pPr>
            <w:r>
              <w:rPr>
                <w:rFonts w:ascii="Times New Roman" w:hAnsi="Times New Roman"/>
                <w:color w:val="000000"/>
                <w:szCs w:val="21"/>
              </w:rPr>
              <w:t>无</w:t>
            </w:r>
          </w:p>
        </w:tc>
      </w:tr>
      <w:tr w14:paraId="4AFB42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cantSplit/>
          <w:trHeight w:val="454" w:hRule="atLeast"/>
          <w:jc w:val="center"/>
        </w:trPr>
        <w:tc>
          <w:tcPr>
            <w:tcW w:w="299" w:type="dxa"/>
            <w:shd w:val="clear" w:color="auto" w:fill="FFFFFF"/>
            <w:noWrap w:val="0"/>
            <w:vAlign w:val="center"/>
          </w:tcPr>
          <w:p w14:paraId="24774DFB">
            <w:pPr>
              <w:widowControl/>
              <w:jc w:val="center"/>
              <w:textAlignment w:val="bottom"/>
              <w:rPr>
                <w:rFonts w:ascii="Times New Roman" w:hAnsi="Times New Roman"/>
                <w:color w:val="000000"/>
                <w:kern w:val="0"/>
                <w:szCs w:val="21"/>
              </w:rPr>
            </w:pPr>
            <w:r>
              <w:rPr>
                <w:rFonts w:ascii="Times New Roman" w:hAnsi="Times New Roman"/>
                <w:color w:val="000000"/>
                <w:kern w:val="0"/>
                <w:sz w:val="20"/>
                <w:szCs w:val="20"/>
                <w:lang w:bidi="ar"/>
              </w:rPr>
              <w:t>2</w:t>
            </w:r>
          </w:p>
        </w:tc>
        <w:tc>
          <w:tcPr>
            <w:tcW w:w="1196" w:type="dxa"/>
            <w:shd w:val="clear" w:color="auto" w:fill="FFFFFF"/>
            <w:noWrap w:val="0"/>
            <w:vAlign w:val="center"/>
          </w:tcPr>
          <w:p w14:paraId="1CBA1CFB">
            <w:pPr>
              <w:widowControl/>
              <w:jc w:val="center"/>
              <w:textAlignment w:val="center"/>
              <w:rPr>
                <w:rFonts w:ascii="Times New Roman" w:hAnsi="Times New Roman"/>
                <w:color w:val="000000"/>
                <w:kern w:val="0"/>
                <w:szCs w:val="21"/>
              </w:rPr>
            </w:pPr>
            <w:r>
              <w:rPr>
                <w:rFonts w:ascii="Times New Roman" w:hAnsi="Times New Roman"/>
                <w:color w:val="000000"/>
                <w:kern w:val="0"/>
                <w:szCs w:val="21"/>
                <w:lang w:bidi="ar"/>
              </w:rPr>
              <w:t>星云开物</w:t>
            </w:r>
          </w:p>
        </w:tc>
        <w:tc>
          <w:tcPr>
            <w:tcW w:w="1341" w:type="dxa"/>
            <w:shd w:val="clear" w:color="auto" w:fill="FFFFFF"/>
            <w:noWrap w:val="0"/>
            <w:vAlign w:val="center"/>
          </w:tcPr>
          <w:p w14:paraId="17B01382">
            <w:pPr>
              <w:widowControl/>
              <w:jc w:val="center"/>
              <w:textAlignment w:val="bottom"/>
              <w:rPr>
                <w:rFonts w:ascii="Times New Roman" w:hAnsi="Times New Roman"/>
                <w:color w:val="000000"/>
                <w:kern w:val="0"/>
                <w:szCs w:val="21"/>
              </w:rPr>
            </w:pPr>
            <w:r>
              <w:rPr>
                <w:rFonts w:ascii="Arial" w:hAnsi="Arial" w:cs="Arial"/>
                <w:color w:val="000000"/>
                <w:kern w:val="0"/>
                <w:sz w:val="20"/>
                <w:szCs w:val="20"/>
                <w:lang w:bidi="ar"/>
              </w:rPr>
              <w:drawing>
                <wp:inline distT="0" distB="0" distL="114300" distR="114300">
                  <wp:extent cx="457200" cy="152400"/>
                  <wp:effectExtent l="0" t="0" r="0" b="0"/>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9"/>
                          <a:stretch>
                            <a:fillRect/>
                          </a:stretch>
                        </pic:blipFill>
                        <pic:spPr>
                          <a:xfrm>
                            <a:off x="0" y="0"/>
                            <a:ext cx="457200" cy="152400"/>
                          </a:xfrm>
                          <a:prstGeom prst="rect">
                            <a:avLst/>
                          </a:prstGeom>
                          <a:noFill/>
                          <a:ln>
                            <a:noFill/>
                          </a:ln>
                        </pic:spPr>
                      </pic:pic>
                    </a:graphicData>
                  </a:graphic>
                </wp:inline>
              </w:drawing>
            </w:r>
          </w:p>
        </w:tc>
        <w:tc>
          <w:tcPr>
            <w:tcW w:w="1796" w:type="dxa"/>
            <w:shd w:val="clear" w:color="auto" w:fill="FFFFFF"/>
            <w:noWrap w:val="0"/>
            <w:vAlign w:val="center"/>
          </w:tcPr>
          <w:p w14:paraId="7E642375">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35类 广告销售</w:t>
            </w:r>
          </w:p>
        </w:tc>
        <w:tc>
          <w:tcPr>
            <w:tcW w:w="1049" w:type="dxa"/>
            <w:shd w:val="clear" w:color="auto" w:fill="FFFFFF"/>
            <w:noWrap w:val="0"/>
            <w:vAlign w:val="center"/>
          </w:tcPr>
          <w:p w14:paraId="4ADF4EF6">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86588717</w:t>
            </w:r>
          </w:p>
        </w:tc>
        <w:tc>
          <w:tcPr>
            <w:tcW w:w="1549" w:type="dxa"/>
            <w:shd w:val="clear" w:color="auto" w:fill="FFFFFF"/>
            <w:noWrap w:val="0"/>
            <w:vAlign w:val="center"/>
          </w:tcPr>
          <w:p w14:paraId="569153AD">
            <w:pPr>
              <w:widowControl/>
              <w:jc w:val="left"/>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2026.1.28-2036.01.27</w:t>
            </w:r>
          </w:p>
        </w:tc>
        <w:tc>
          <w:tcPr>
            <w:tcW w:w="823" w:type="dxa"/>
            <w:shd w:val="clear" w:color="auto" w:fill="FFFFFF"/>
            <w:noWrap w:val="0"/>
            <w:vAlign w:val="center"/>
          </w:tcPr>
          <w:p w14:paraId="1736C401">
            <w:pPr>
              <w:widowControl/>
              <w:jc w:val="center"/>
              <w:textAlignment w:val="center"/>
              <w:rPr>
                <w:rFonts w:ascii="Times New Roman" w:hAnsi="Times New Roman"/>
                <w:color w:val="000000"/>
                <w:kern w:val="0"/>
                <w:szCs w:val="21"/>
              </w:rPr>
            </w:pPr>
            <w:r>
              <w:rPr>
                <w:rFonts w:ascii="Times New Roman" w:hAnsi="Times New Roman"/>
                <w:color w:val="000000"/>
                <w:kern w:val="0"/>
                <w:szCs w:val="21"/>
                <w:lang w:bidi="ar"/>
              </w:rPr>
              <w:t>原始取得</w:t>
            </w:r>
          </w:p>
        </w:tc>
        <w:tc>
          <w:tcPr>
            <w:tcW w:w="569" w:type="dxa"/>
            <w:shd w:val="clear" w:color="auto" w:fill="FFFFFF"/>
            <w:noWrap w:val="0"/>
            <w:vAlign w:val="center"/>
          </w:tcPr>
          <w:p w14:paraId="589B1FC2">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无</w:t>
            </w:r>
          </w:p>
        </w:tc>
      </w:tr>
      <w:tr w14:paraId="7B172D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cantSplit/>
          <w:trHeight w:val="454" w:hRule="atLeast"/>
          <w:jc w:val="center"/>
        </w:trPr>
        <w:tc>
          <w:tcPr>
            <w:tcW w:w="299" w:type="dxa"/>
            <w:shd w:val="clear" w:color="auto" w:fill="FFFFFF"/>
            <w:noWrap w:val="0"/>
            <w:vAlign w:val="center"/>
          </w:tcPr>
          <w:p w14:paraId="3D4104F4">
            <w:pPr>
              <w:widowControl/>
              <w:jc w:val="center"/>
              <w:textAlignment w:val="bottom"/>
              <w:rPr>
                <w:rFonts w:ascii="Times New Roman" w:hAnsi="Times New Roman"/>
                <w:color w:val="000000"/>
                <w:kern w:val="0"/>
                <w:szCs w:val="21"/>
              </w:rPr>
            </w:pPr>
            <w:r>
              <w:rPr>
                <w:rFonts w:ascii="Times New Roman" w:hAnsi="Times New Roman"/>
                <w:color w:val="000000"/>
                <w:kern w:val="0"/>
                <w:sz w:val="20"/>
                <w:szCs w:val="20"/>
                <w:lang w:bidi="ar"/>
              </w:rPr>
              <w:t>3</w:t>
            </w:r>
          </w:p>
        </w:tc>
        <w:tc>
          <w:tcPr>
            <w:tcW w:w="1196" w:type="dxa"/>
            <w:shd w:val="clear" w:color="auto" w:fill="FFFFFF"/>
            <w:noWrap w:val="0"/>
            <w:vAlign w:val="center"/>
          </w:tcPr>
          <w:p w14:paraId="2FEA28C8">
            <w:pPr>
              <w:widowControl/>
              <w:jc w:val="center"/>
              <w:textAlignment w:val="center"/>
              <w:rPr>
                <w:rFonts w:ascii="Times New Roman" w:hAnsi="Times New Roman"/>
                <w:color w:val="000000"/>
                <w:kern w:val="0"/>
                <w:szCs w:val="21"/>
              </w:rPr>
            </w:pPr>
            <w:r>
              <w:rPr>
                <w:rFonts w:ascii="Times New Roman" w:hAnsi="Times New Roman"/>
                <w:color w:val="000000"/>
                <w:kern w:val="0"/>
                <w:szCs w:val="21"/>
                <w:lang w:bidi="ar"/>
              </w:rPr>
              <w:t>星云开物</w:t>
            </w:r>
          </w:p>
        </w:tc>
        <w:tc>
          <w:tcPr>
            <w:tcW w:w="1341" w:type="dxa"/>
            <w:shd w:val="clear" w:color="auto" w:fill="FFFFFF"/>
            <w:noWrap w:val="0"/>
            <w:vAlign w:val="center"/>
          </w:tcPr>
          <w:p w14:paraId="16095E0A">
            <w:pPr>
              <w:widowControl/>
              <w:jc w:val="center"/>
              <w:textAlignment w:val="bottom"/>
              <w:rPr>
                <w:rFonts w:ascii="Times New Roman" w:hAnsi="Times New Roman"/>
                <w:color w:val="000000"/>
                <w:kern w:val="0"/>
                <w:szCs w:val="21"/>
              </w:rPr>
            </w:pPr>
            <w:r>
              <w:rPr>
                <w:rFonts w:ascii="Arial" w:hAnsi="Arial" w:cs="Arial"/>
                <w:color w:val="000000"/>
                <w:kern w:val="0"/>
                <w:sz w:val="20"/>
                <w:szCs w:val="20"/>
                <w:lang w:bidi="ar"/>
              </w:rPr>
              <w:drawing>
                <wp:inline distT="0" distB="0" distL="114300" distR="114300">
                  <wp:extent cx="453390" cy="345440"/>
                  <wp:effectExtent l="0" t="0" r="3810" b="508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10"/>
                          <a:stretch>
                            <a:fillRect/>
                          </a:stretch>
                        </pic:blipFill>
                        <pic:spPr>
                          <a:xfrm>
                            <a:off x="0" y="0"/>
                            <a:ext cx="453390" cy="345440"/>
                          </a:xfrm>
                          <a:prstGeom prst="rect">
                            <a:avLst/>
                          </a:prstGeom>
                          <a:noFill/>
                          <a:ln>
                            <a:noFill/>
                          </a:ln>
                        </pic:spPr>
                      </pic:pic>
                    </a:graphicData>
                  </a:graphic>
                </wp:inline>
              </w:drawing>
            </w:r>
          </w:p>
        </w:tc>
        <w:tc>
          <w:tcPr>
            <w:tcW w:w="1796" w:type="dxa"/>
            <w:shd w:val="clear" w:color="auto" w:fill="FFFFFF"/>
            <w:noWrap w:val="0"/>
            <w:vAlign w:val="center"/>
          </w:tcPr>
          <w:p w14:paraId="43D9C050">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9类 科学仪器</w:t>
            </w:r>
          </w:p>
        </w:tc>
        <w:tc>
          <w:tcPr>
            <w:tcW w:w="1049" w:type="dxa"/>
            <w:shd w:val="clear" w:color="auto" w:fill="FFFFFF"/>
            <w:noWrap w:val="0"/>
            <w:vAlign w:val="center"/>
          </w:tcPr>
          <w:p w14:paraId="68623D27">
            <w:pPr>
              <w:widowControl/>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83038510</w:t>
            </w:r>
          </w:p>
        </w:tc>
        <w:tc>
          <w:tcPr>
            <w:tcW w:w="1549" w:type="dxa"/>
            <w:shd w:val="clear" w:color="auto" w:fill="FFFFFF"/>
            <w:noWrap w:val="0"/>
            <w:vAlign w:val="center"/>
          </w:tcPr>
          <w:p w14:paraId="7B02D239">
            <w:pPr>
              <w:widowControl/>
              <w:jc w:val="left"/>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2025.10.21-2035.10.20</w:t>
            </w:r>
          </w:p>
        </w:tc>
        <w:tc>
          <w:tcPr>
            <w:tcW w:w="823" w:type="dxa"/>
            <w:shd w:val="clear" w:color="auto" w:fill="FFFFFF"/>
            <w:noWrap w:val="0"/>
            <w:vAlign w:val="center"/>
          </w:tcPr>
          <w:p w14:paraId="7B237695">
            <w:pPr>
              <w:widowControl/>
              <w:jc w:val="center"/>
              <w:textAlignment w:val="center"/>
              <w:rPr>
                <w:rFonts w:ascii="Times New Roman" w:hAnsi="Times New Roman"/>
                <w:color w:val="000000"/>
                <w:kern w:val="0"/>
                <w:szCs w:val="21"/>
              </w:rPr>
            </w:pPr>
            <w:r>
              <w:rPr>
                <w:rFonts w:ascii="Times New Roman" w:hAnsi="Times New Roman"/>
                <w:color w:val="000000"/>
                <w:kern w:val="0"/>
                <w:szCs w:val="21"/>
                <w:lang w:bidi="ar"/>
              </w:rPr>
              <w:t>原始取得</w:t>
            </w:r>
          </w:p>
        </w:tc>
        <w:tc>
          <w:tcPr>
            <w:tcW w:w="569" w:type="dxa"/>
            <w:shd w:val="clear" w:color="auto" w:fill="FFFFFF"/>
            <w:noWrap w:val="0"/>
            <w:vAlign w:val="center"/>
          </w:tcPr>
          <w:p w14:paraId="624E8BF0">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无</w:t>
            </w:r>
          </w:p>
        </w:tc>
      </w:tr>
    </w:tbl>
    <w:p w14:paraId="50D10F5A">
      <w:pPr>
        <w:tabs>
          <w:tab w:val="left" w:pos="709"/>
        </w:tabs>
        <w:snapToGrid w:val="0"/>
        <w:spacing w:before="156" w:beforeLines="50" w:after="156" w:afterLines="50" w:line="360" w:lineRule="auto"/>
        <w:ind w:firstLine="482" w:firstLineChars="200"/>
        <w:outlineLvl w:val="2"/>
        <w:rPr>
          <w:rFonts w:ascii="Times New Roman" w:hAnsi="Times New Roman"/>
          <w:b/>
          <w:bCs/>
          <w:sz w:val="24"/>
          <w:lang w:eastAsia="zh"/>
        </w:rPr>
      </w:pPr>
      <w:r>
        <w:rPr>
          <w:rFonts w:ascii="Times New Roman" w:hAnsi="Times New Roman"/>
          <w:b/>
          <w:bCs/>
          <w:sz w:val="24"/>
        </w:rPr>
        <w:t>3、</w:t>
      </w:r>
      <w:r>
        <w:rPr>
          <w:rFonts w:ascii="Times New Roman" w:hAnsi="Times New Roman"/>
          <w:b/>
          <w:bCs/>
          <w:sz w:val="24"/>
          <w:lang w:eastAsia="zh"/>
        </w:rPr>
        <w:t>专利</w:t>
      </w:r>
    </w:p>
    <w:p w14:paraId="4F8554C5">
      <w:pPr>
        <w:pStyle w:val="39"/>
        <w:adjustRightInd w:val="0"/>
        <w:snapToGrid w:val="0"/>
        <w:spacing w:before="156" w:beforeLines="50" w:after="156" w:afterLines="50"/>
        <w:ind w:firstLine="496"/>
        <w:rPr>
          <w:rFonts w:hint="eastAsia"/>
          <w:spacing w:val="-7"/>
          <w:szCs w:val="24"/>
        </w:rPr>
      </w:pPr>
      <w:r>
        <w:rPr>
          <w:spacing w:val="4"/>
          <w:szCs w:val="24"/>
        </w:rPr>
        <w:t>根据</w:t>
      </w:r>
      <w:r>
        <w:rPr>
          <w:rFonts w:hint="eastAsia"/>
          <w:szCs w:val="24"/>
        </w:rPr>
        <w:t>星云开物</w:t>
      </w:r>
      <w:r>
        <w:rPr>
          <w:spacing w:val="4"/>
          <w:szCs w:val="24"/>
        </w:rPr>
        <w:t>提供的专利证书</w:t>
      </w:r>
      <w:r>
        <w:rPr>
          <w:rFonts w:hint="eastAsia"/>
          <w:spacing w:val="4"/>
          <w:szCs w:val="24"/>
        </w:rPr>
        <w:t>并经核查，补充核查期间，星云开物</w:t>
      </w:r>
      <w:r>
        <w:rPr>
          <w:spacing w:val="4"/>
          <w:szCs w:val="24"/>
        </w:rPr>
        <w:t>新增</w:t>
      </w:r>
      <w:r>
        <w:rPr>
          <w:rFonts w:hint="eastAsia"/>
          <w:spacing w:val="4"/>
          <w:szCs w:val="24"/>
        </w:rPr>
        <w:t>16</w:t>
      </w:r>
      <w:r>
        <w:rPr>
          <w:spacing w:val="-7"/>
          <w:szCs w:val="24"/>
        </w:rPr>
        <w:t>项</w:t>
      </w:r>
      <w:r>
        <w:rPr>
          <w:rFonts w:hint="eastAsia"/>
          <w:spacing w:val="4"/>
          <w:szCs w:val="24"/>
        </w:rPr>
        <w:t>专利</w:t>
      </w:r>
      <w:r>
        <w:rPr>
          <w:spacing w:val="4"/>
          <w:szCs w:val="24"/>
        </w:rPr>
        <w:t>权</w:t>
      </w:r>
      <w:r>
        <w:rPr>
          <w:spacing w:val="-7"/>
          <w:szCs w:val="24"/>
        </w:rPr>
        <w:t>，具体情况如下</w:t>
      </w:r>
      <w:r>
        <w:rPr>
          <w:rFonts w:hint="eastAsia"/>
          <w:spacing w:val="-7"/>
          <w:szCs w:val="24"/>
        </w:rPr>
        <w:t>：</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128"/>
        <w:gridCol w:w="2617"/>
        <w:gridCol w:w="683"/>
        <w:gridCol w:w="1193"/>
        <w:gridCol w:w="1363"/>
        <w:gridCol w:w="683"/>
        <w:gridCol w:w="428"/>
      </w:tblGrid>
      <w:tr w14:paraId="2D2D4A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72431269">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序号</w:t>
            </w:r>
          </w:p>
        </w:tc>
        <w:tc>
          <w:tcPr>
            <w:tcW w:w="1128" w:type="dxa"/>
            <w:noWrap w:val="0"/>
            <w:vAlign w:val="center"/>
          </w:tcPr>
          <w:p w14:paraId="1813031C">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专利权人</w:t>
            </w:r>
          </w:p>
        </w:tc>
        <w:tc>
          <w:tcPr>
            <w:tcW w:w="2617" w:type="dxa"/>
            <w:noWrap w:val="0"/>
            <w:vAlign w:val="center"/>
          </w:tcPr>
          <w:p w14:paraId="607742F4">
            <w:pPr>
              <w:adjustRightInd w:val="0"/>
              <w:snapToGrid w:val="0"/>
              <w:spacing w:line="360" w:lineRule="exact"/>
              <w:jc w:val="center"/>
              <w:rPr>
                <w:rFonts w:ascii="Times New Roman" w:hAnsi="Times New Roman"/>
                <w:b/>
                <w:bCs/>
                <w:color w:val="000000"/>
                <w:kern w:val="0"/>
                <w:szCs w:val="21"/>
              </w:rPr>
            </w:pPr>
            <w:r>
              <w:rPr>
                <w:rFonts w:ascii="Times New Roman" w:hAnsi="Times New Roman"/>
                <w:b/>
                <w:bCs/>
                <w:color w:val="000000"/>
                <w:kern w:val="0"/>
                <w:szCs w:val="21"/>
              </w:rPr>
              <w:t>专利名称</w:t>
            </w:r>
          </w:p>
        </w:tc>
        <w:tc>
          <w:tcPr>
            <w:tcW w:w="683" w:type="dxa"/>
            <w:noWrap w:val="0"/>
            <w:vAlign w:val="center"/>
          </w:tcPr>
          <w:p w14:paraId="61E90A24">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专利类型</w:t>
            </w:r>
          </w:p>
        </w:tc>
        <w:tc>
          <w:tcPr>
            <w:tcW w:w="1193" w:type="dxa"/>
            <w:noWrap w:val="0"/>
            <w:vAlign w:val="center"/>
          </w:tcPr>
          <w:p w14:paraId="75BB7476">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专利号</w:t>
            </w:r>
          </w:p>
        </w:tc>
        <w:tc>
          <w:tcPr>
            <w:tcW w:w="1363" w:type="dxa"/>
            <w:noWrap w:val="0"/>
            <w:vAlign w:val="center"/>
          </w:tcPr>
          <w:p w14:paraId="04F81FBC">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申请日期</w:t>
            </w:r>
          </w:p>
        </w:tc>
        <w:tc>
          <w:tcPr>
            <w:tcW w:w="683" w:type="dxa"/>
            <w:noWrap w:val="0"/>
            <w:vAlign w:val="center"/>
          </w:tcPr>
          <w:p w14:paraId="2BEE61C8">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取得方式</w:t>
            </w:r>
          </w:p>
        </w:tc>
        <w:tc>
          <w:tcPr>
            <w:tcW w:w="428" w:type="dxa"/>
            <w:noWrap w:val="0"/>
            <w:vAlign w:val="center"/>
          </w:tcPr>
          <w:p w14:paraId="3A6E7997">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他项</w:t>
            </w:r>
          </w:p>
          <w:p w14:paraId="72BBEEE4">
            <w:pPr>
              <w:adjustRightInd w:val="0"/>
              <w:snapToGrid w:val="0"/>
              <w:spacing w:line="360" w:lineRule="exact"/>
              <w:rPr>
                <w:rFonts w:ascii="Times New Roman" w:hAnsi="Times New Roman"/>
                <w:b/>
                <w:bCs/>
                <w:color w:val="000000"/>
                <w:kern w:val="0"/>
                <w:szCs w:val="21"/>
              </w:rPr>
            </w:pPr>
            <w:r>
              <w:rPr>
                <w:rFonts w:ascii="Times New Roman" w:hAnsi="Times New Roman"/>
                <w:b/>
                <w:bCs/>
                <w:color w:val="000000"/>
                <w:kern w:val="0"/>
                <w:szCs w:val="21"/>
              </w:rPr>
              <w:t>权利</w:t>
            </w:r>
          </w:p>
        </w:tc>
      </w:tr>
      <w:tr w14:paraId="7D21F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67A1C9C9">
            <w:pPr>
              <w:widowControl/>
              <w:tabs>
                <w:tab w:val="left" w:pos="0"/>
              </w:tabs>
              <w:adjustRightInd w:val="0"/>
              <w:snapToGrid w:val="0"/>
              <w:spacing w:line="360" w:lineRule="exact"/>
              <w:jc w:val="center"/>
              <w:rPr>
                <w:rFonts w:ascii="Times New Roman" w:hAnsi="Times New Roman"/>
                <w:szCs w:val="21"/>
                <w:lang w:eastAsia="zh"/>
              </w:rPr>
            </w:pPr>
            <w:r>
              <w:rPr>
                <w:rFonts w:ascii="Times New Roman" w:hAnsi="Times New Roman"/>
                <w:szCs w:val="21"/>
              </w:rPr>
              <w:t>1</w:t>
            </w:r>
          </w:p>
        </w:tc>
        <w:tc>
          <w:tcPr>
            <w:tcW w:w="1128" w:type="dxa"/>
            <w:noWrap w:val="0"/>
            <w:vAlign w:val="center"/>
          </w:tcPr>
          <w:p w14:paraId="328C46B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2617" w:type="dxa"/>
            <w:noWrap w:val="0"/>
            <w:vAlign w:val="center"/>
          </w:tcPr>
          <w:p w14:paraId="1FE3C977">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共享车辆车灯控制方法、系统、电子设备及存储介质</w:t>
            </w:r>
          </w:p>
        </w:tc>
        <w:tc>
          <w:tcPr>
            <w:tcW w:w="683" w:type="dxa"/>
            <w:noWrap w:val="0"/>
            <w:vAlign w:val="center"/>
          </w:tcPr>
          <w:p w14:paraId="33ED202B">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发明授权</w:t>
            </w:r>
          </w:p>
        </w:tc>
        <w:tc>
          <w:tcPr>
            <w:tcW w:w="1193" w:type="dxa"/>
            <w:noWrap w:val="0"/>
            <w:vAlign w:val="center"/>
          </w:tcPr>
          <w:p w14:paraId="7BA29CFD">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CN202311099745.3</w:t>
            </w:r>
          </w:p>
        </w:tc>
        <w:tc>
          <w:tcPr>
            <w:tcW w:w="1363" w:type="dxa"/>
            <w:noWrap w:val="0"/>
            <w:vAlign w:val="center"/>
          </w:tcPr>
          <w:p w14:paraId="1D90B38A">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2023-08-28</w:t>
            </w:r>
          </w:p>
        </w:tc>
        <w:tc>
          <w:tcPr>
            <w:tcW w:w="683" w:type="dxa"/>
            <w:noWrap w:val="0"/>
            <w:vAlign w:val="center"/>
          </w:tcPr>
          <w:p w14:paraId="77948360">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bidi="ar"/>
              </w:rPr>
              <w:t>原始取得</w:t>
            </w:r>
          </w:p>
        </w:tc>
        <w:tc>
          <w:tcPr>
            <w:tcW w:w="428" w:type="dxa"/>
            <w:noWrap w:val="0"/>
            <w:vAlign w:val="center"/>
          </w:tcPr>
          <w:p w14:paraId="10DB4679">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084704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0CB9E3DE">
            <w:pPr>
              <w:widowControl/>
              <w:tabs>
                <w:tab w:val="left" w:pos="0"/>
              </w:tabs>
              <w:adjustRightInd w:val="0"/>
              <w:snapToGrid w:val="0"/>
              <w:spacing w:line="360" w:lineRule="exact"/>
              <w:jc w:val="center"/>
              <w:rPr>
                <w:rFonts w:ascii="Times New Roman" w:hAnsi="Times New Roman"/>
                <w:szCs w:val="21"/>
                <w:lang w:eastAsia="zh"/>
              </w:rPr>
            </w:pPr>
            <w:r>
              <w:rPr>
                <w:rFonts w:ascii="Times New Roman" w:hAnsi="Times New Roman"/>
                <w:szCs w:val="21"/>
              </w:rPr>
              <w:t>2</w:t>
            </w:r>
          </w:p>
        </w:tc>
        <w:tc>
          <w:tcPr>
            <w:tcW w:w="1128" w:type="dxa"/>
            <w:noWrap w:val="0"/>
            <w:vAlign w:val="center"/>
          </w:tcPr>
          <w:p w14:paraId="1BA61247">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2617" w:type="dxa"/>
            <w:noWrap w:val="0"/>
            <w:vAlign w:val="center"/>
          </w:tcPr>
          <w:p w14:paraId="72F6679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一种用于共享按摩椅的电路、共享按摩椅及按摩椅系统</w:t>
            </w:r>
          </w:p>
        </w:tc>
        <w:tc>
          <w:tcPr>
            <w:tcW w:w="683" w:type="dxa"/>
            <w:noWrap w:val="0"/>
            <w:vAlign w:val="center"/>
          </w:tcPr>
          <w:p w14:paraId="2854C5A4">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实用新型</w:t>
            </w:r>
          </w:p>
        </w:tc>
        <w:tc>
          <w:tcPr>
            <w:tcW w:w="1193" w:type="dxa"/>
            <w:noWrap w:val="0"/>
            <w:vAlign w:val="center"/>
          </w:tcPr>
          <w:p w14:paraId="2C3DE8DD">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CN202422541613.8</w:t>
            </w:r>
          </w:p>
        </w:tc>
        <w:tc>
          <w:tcPr>
            <w:tcW w:w="1363" w:type="dxa"/>
            <w:noWrap w:val="0"/>
            <w:vAlign w:val="center"/>
          </w:tcPr>
          <w:p w14:paraId="3479665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2024-10-21</w:t>
            </w:r>
          </w:p>
        </w:tc>
        <w:tc>
          <w:tcPr>
            <w:tcW w:w="683" w:type="dxa"/>
            <w:noWrap w:val="0"/>
            <w:vAlign w:val="center"/>
          </w:tcPr>
          <w:p w14:paraId="11C5906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4B4F58BB">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313F83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0627051E">
            <w:pPr>
              <w:widowControl/>
              <w:tabs>
                <w:tab w:val="left" w:pos="0"/>
              </w:tabs>
              <w:adjustRightInd w:val="0"/>
              <w:snapToGrid w:val="0"/>
              <w:spacing w:line="360" w:lineRule="exact"/>
              <w:jc w:val="center"/>
              <w:rPr>
                <w:rFonts w:ascii="Times New Roman" w:hAnsi="Times New Roman"/>
                <w:szCs w:val="21"/>
                <w:lang w:eastAsia="zh"/>
              </w:rPr>
            </w:pPr>
            <w:r>
              <w:rPr>
                <w:rFonts w:ascii="Times New Roman" w:hAnsi="Times New Roman"/>
                <w:szCs w:val="21"/>
              </w:rPr>
              <w:t>3</w:t>
            </w:r>
          </w:p>
        </w:tc>
        <w:tc>
          <w:tcPr>
            <w:tcW w:w="1128" w:type="dxa"/>
            <w:noWrap w:val="0"/>
            <w:vAlign w:val="center"/>
          </w:tcPr>
          <w:p w14:paraId="3D6E2AF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2617" w:type="dxa"/>
            <w:noWrap w:val="0"/>
            <w:vAlign w:val="center"/>
          </w:tcPr>
          <w:p w14:paraId="799CB51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共享娱乐场所控制电路</w:t>
            </w:r>
          </w:p>
        </w:tc>
        <w:tc>
          <w:tcPr>
            <w:tcW w:w="683" w:type="dxa"/>
            <w:noWrap w:val="0"/>
            <w:vAlign w:val="center"/>
          </w:tcPr>
          <w:p w14:paraId="235AFFB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实用新型</w:t>
            </w:r>
          </w:p>
        </w:tc>
        <w:tc>
          <w:tcPr>
            <w:tcW w:w="1193" w:type="dxa"/>
            <w:noWrap w:val="0"/>
            <w:vAlign w:val="center"/>
          </w:tcPr>
          <w:p w14:paraId="54DE0DD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CN202422913796.1</w:t>
            </w:r>
          </w:p>
        </w:tc>
        <w:tc>
          <w:tcPr>
            <w:tcW w:w="1363" w:type="dxa"/>
            <w:noWrap w:val="0"/>
            <w:vAlign w:val="center"/>
          </w:tcPr>
          <w:p w14:paraId="14B75F7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2024-11-28</w:t>
            </w:r>
          </w:p>
        </w:tc>
        <w:tc>
          <w:tcPr>
            <w:tcW w:w="683" w:type="dxa"/>
            <w:noWrap w:val="0"/>
            <w:vAlign w:val="center"/>
          </w:tcPr>
          <w:p w14:paraId="0FBD80D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4A5D9E2B">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4DBEB9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16B1DA4D">
            <w:pPr>
              <w:widowControl/>
              <w:tabs>
                <w:tab w:val="left" w:pos="0"/>
              </w:tabs>
              <w:adjustRightInd w:val="0"/>
              <w:snapToGrid w:val="0"/>
              <w:spacing w:line="360" w:lineRule="exact"/>
              <w:jc w:val="center"/>
              <w:rPr>
                <w:rFonts w:ascii="Times New Roman" w:hAnsi="Times New Roman"/>
                <w:szCs w:val="21"/>
                <w:lang w:eastAsia="zh"/>
              </w:rPr>
            </w:pPr>
            <w:r>
              <w:rPr>
                <w:rFonts w:ascii="Times New Roman" w:hAnsi="Times New Roman"/>
                <w:szCs w:val="21"/>
              </w:rPr>
              <w:t>4</w:t>
            </w:r>
          </w:p>
        </w:tc>
        <w:tc>
          <w:tcPr>
            <w:tcW w:w="1128" w:type="dxa"/>
            <w:noWrap w:val="0"/>
            <w:vAlign w:val="center"/>
          </w:tcPr>
          <w:p w14:paraId="08DBCFA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2617" w:type="dxa"/>
            <w:noWrap w:val="0"/>
            <w:vAlign w:val="center"/>
          </w:tcPr>
          <w:p w14:paraId="615B186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支付设备</w:t>
            </w:r>
          </w:p>
        </w:tc>
        <w:tc>
          <w:tcPr>
            <w:tcW w:w="683" w:type="dxa"/>
            <w:noWrap w:val="0"/>
            <w:vAlign w:val="center"/>
          </w:tcPr>
          <w:p w14:paraId="306E629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343B7FC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CN202530088520.1</w:t>
            </w:r>
          </w:p>
        </w:tc>
        <w:tc>
          <w:tcPr>
            <w:tcW w:w="1363" w:type="dxa"/>
            <w:noWrap w:val="0"/>
            <w:vAlign w:val="center"/>
          </w:tcPr>
          <w:p w14:paraId="00B555D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2025-02-27</w:t>
            </w:r>
          </w:p>
        </w:tc>
        <w:tc>
          <w:tcPr>
            <w:tcW w:w="683" w:type="dxa"/>
            <w:noWrap w:val="0"/>
            <w:vAlign w:val="center"/>
          </w:tcPr>
          <w:p w14:paraId="177A313F">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1EF14567">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651A8D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3A1BCD1E">
            <w:pPr>
              <w:widowControl/>
              <w:tabs>
                <w:tab w:val="left" w:pos="0"/>
              </w:tabs>
              <w:adjustRightInd w:val="0"/>
              <w:snapToGrid w:val="0"/>
              <w:spacing w:line="360" w:lineRule="exact"/>
              <w:jc w:val="center"/>
              <w:rPr>
                <w:rFonts w:ascii="Times New Roman" w:hAnsi="Times New Roman"/>
                <w:szCs w:val="21"/>
                <w:lang w:eastAsia="zh"/>
              </w:rPr>
            </w:pPr>
            <w:r>
              <w:rPr>
                <w:rFonts w:ascii="Times New Roman" w:hAnsi="Times New Roman"/>
                <w:szCs w:val="21"/>
              </w:rPr>
              <w:t>5</w:t>
            </w:r>
          </w:p>
        </w:tc>
        <w:tc>
          <w:tcPr>
            <w:tcW w:w="1128" w:type="dxa"/>
            <w:noWrap w:val="0"/>
            <w:vAlign w:val="center"/>
          </w:tcPr>
          <w:p w14:paraId="5D6330A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2617" w:type="dxa"/>
            <w:noWrap w:val="0"/>
            <w:vAlign w:val="center"/>
          </w:tcPr>
          <w:p w14:paraId="1823A47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中控设备</w:t>
            </w:r>
          </w:p>
        </w:tc>
        <w:tc>
          <w:tcPr>
            <w:tcW w:w="683" w:type="dxa"/>
            <w:noWrap w:val="0"/>
            <w:vAlign w:val="center"/>
          </w:tcPr>
          <w:p w14:paraId="5F97B3B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765F4FF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CN202530088517.X</w:t>
            </w:r>
          </w:p>
        </w:tc>
        <w:tc>
          <w:tcPr>
            <w:tcW w:w="1363" w:type="dxa"/>
            <w:noWrap w:val="0"/>
            <w:vAlign w:val="center"/>
          </w:tcPr>
          <w:p w14:paraId="2B99BB90">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2025-02-27</w:t>
            </w:r>
          </w:p>
        </w:tc>
        <w:tc>
          <w:tcPr>
            <w:tcW w:w="683" w:type="dxa"/>
            <w:noWrap w:val="0"/>
            <w:vAlign w:val="center"/>
          </w:tcPr>
          <w:p w14:paraId="0C33ABA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3B15FA28">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0C5E6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30836DB2">
            <w:pPr>
              <w:widowControl/>
              <w:tabs>
                <w:tab w:val="left" w:pos="0"/>
              </w:tabs>
              <w:adjustRightInd w:val="0"/>
              <w:snapToGrid w:val="0"/>
              <w:spacing w:line="360" w:lineRule="exact"/>
              <w:jc w:val="center"/>
              <w:rPr>
                <w:rFonts w:hint="eastAsia" w:ascii="Times New Roman" w:hAnsi="Times New Roman"/>
                <w:szCs w:val="21"/>
              </w:rPr>
            </w:pPr>
            <w:r>
              <w:rPr>
                <w:rFonts w:hint="eastAsia" w:ascii="Times New Roman" w:hAnsi="Times New Roman"/>
                <w:szCs w:val="21"/>
              </w:rPr>
              <w:t>6</w:t>
            </w:r>
          </w:p>
        </w:tc>
        <w:tc>
          <w:tcPr>
            <w:tcW w:w="1128" w:type="dxa"/>
            <w:noWrap w:val="0"/>
            <w:vAlign w:val="center"/>
          </w:tcPr>
          <w:p w14:paraId="5B971F3D">
            <w:pPr>
              <w:widowControl/>
              <w:jc w:val="center"/>
              <w:textAlignment w:val="center"/>
              <w:rPr>
                <w:rFonts w:hint="eastAsia"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7EE7518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"https://www.qcc.com/zhuanliDetail/0305ba4ef2c10725874b3128f5f7aa45.html?source=export"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票务一体机（小智3卓越版）</w:t>
            </w:r>
            <w:r>
              <w:rPr>
                <w:rFonts w:ascii="Times New Roman" w:hAnsi="Times New Roman"/>
                <w:color w:val="000000"/>
                <w:kern w:val="0"/>
                <w:szCs w:val="21"/>
                <w:lang w:bidi="ar"/>
              </w:rPr>
              <w:fldChar w:fldCharType="end"/>
            </w:r>
          </w:p>
        </w:tc>
        <w:tc>
          <w:tcPr>
            <w:tcW w:w="683" w:type="dxa"/>
            <w:noWrap w:val="0"/>
            <w:vAlign w:val="center"/>
          </w:tcPr>
          <w:p w14:paraId="3F08391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31A61E4C">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CN202530063955.0</w:t>
            </w:r>
          </w:p>
        </w:tc>
        <w:tc>
          <w:tcPr>
            <w:tcW w:w="1363" w:type="dxa"/>
            <w:noWrap w:val="0"/>
            <w:vAlign w:val="center"/>
          </w:tcPr>
          <w:p w14:paraId="3CB17B1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2025-02-13</w:t>
            </w:r>
          </w:p>
        </w:tc>
        <w:tc>
          <w:tcPr>
            <w:tcW w:w="683" w:type="dxa"/>
            <w:noWrap w:val="0"/>
            <w:vAlign w:val="center"/>
          </w:tcPr>
          <w:p w14:paraId="555DB7AE">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46250978">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2FC70E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66D98A9D">
            <w:pPr>
              <w:widowControl/>
              <w:tabs>
                <w:tab w:val="left" w:pos="0"/>
              </w:tabs>
              <w:adjustRightInd w:val="0"/>
              <w:snapToGrid w:val="0"/>
              <w:spacing w:line="360" w:lineRule="exact"/>
              <w:jc w:val="center"/>
              <w:rPr>
                <w:rFonts w:hint="eastAsia" w:ascii="Times New Roman" w:hAnsi="Times New Roman"/>
                <w:szCs w:val="21"/>
              </w:rPr>
            </w:pPr>
            <w:r>
              <w:rPr>
                <w:rFonts w:hint="eastAsia" w:ascii="Times New Roman" w:hAnsi="Times New Roman"/>
                <w:szCs w:val="21"/>
              </w:rPr>
              <w:t>7</w:t>
            </w:r>
          </w:p>
        </w:tc>
        <w:tc>
          <w:tcPr>
            <w:tcW w:w="1128" w:type="dxa"/>
            <w:noWrap w:val="0"/>
            <w:vAlign w:val="center"/>
          </w:tcPr>
          <w:p w14:paraId="6AD7C944">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03C5FDFE">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"https://www.qcc.com/zhuanliDetail/c3dab1adbbcb622840a17b48667ef145.html?source=export"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一种基于互联网的团购套餐智能结算系统</w:t>
            </w:r>
            <w:r>
              <w:rPr>
                <w:rFonts w:ascii="Times New Roman" w:hAnsi="Times New Roman"/>
                <w:color w:val="000000"/>
                <w:kern w:val="0"/>
                <w:szCs w:val="21"/>
                <w:lang w:bidi="ar"/>
              </w:rPr>
              <w:fldChar w:fldCharType="end"/>
            </w:r>
          </w:p>
        </w:tc>
        <w:tc>
          <w:tcPr>
            <w:tcW w:w="683" w:type="dxa"/>
            <w:noWrap w:val="0"/>
            <w:vAlign w:val="center"/>
          </w:tcPr>
          <w:p w14:paraId="764D5FCB">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发明授权</w:t>
            </w:r>
          </w:p>
        </w:tc>
        <w:tc>
          <w:tcPr>
            <w:tcW w:w="1193" w:type="dxa"/>
            <w:noWrap w:val="0"/>
            <w:vAlign w:val="center"/>
          </w:tcPr>
          <w:p w14:paraId="41CAC03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CN202411590063.7</w:t>
            </w:r>
          </w:p>
        </w:tc>
        <w:tc>
          <w:tcPr>
            <w:tcW w:w="1363" w:type="dxa"/>
            <w:noWrap w:val="0"/>
            <w:vAlign w:val="center"/>
          </w:tcPr>
          <w:p w14:paraId="6E8251D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2024-11-08</w:t>
            </w:r>
          </w:p>
        </w:tc>
        <w:tc>
          <w:tcPr>
            <w:tcW w:w="683" w:type="dxa"/>
            <w:noWrap w:val="0"/>
            <w:vAlign w:val="center"/>
          </w:tcPr>
          <w:p w14:paraId="3B6924B4">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070FE070">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69702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468F8449">
            <w:pPr>
              <w:widowControl/>
              <w:tabs>
                <w:tab w:val="left" w:pos="0"/>
              </w:tabs>
              <w:adjustRightInd w:val="0"/>
              <w:snapToGrid w:val="0"/>
              <w:spacing w:line="360" w:lineRule="exact"/>
              <w:jc w:val="center"/>
              <w:rPr>
                <w:rFonts w:hint="eastAsia" w:ascii="Times New Roman" w:hAnsi="Times New Roman"/>
                <w:szCs w:val="21"/>
              </w:rPr>
            </w:pPr>
            <w:r>
              <w:rPr>
                <w:rFonts w:hint="eastAsia" w:ascii="Times New Roman" w:hAnsi="Times New Roman"/>
                <w:szCs w:val="21"/>
              </w:rPr>
              <w:t>8</w:t>
            </w:r>
          </w:p>
        </w:tc>
        <w:tc>
          <w:tcPr>
            <w:tcW w:w="1128" w:type="dxa"/>
            <w:noWrap w:val="0"/>
            <w:vAlign w:val="center"/>
          </w:tcPr>
          <w:p w14:paraId="2DE82A85">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421C981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"https://www.qcc.com/zhuanliDetail/912713cd33b022f8e5434b0b45da4c61.html?source=export"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提币机（小智10卓越版）</w:t>
            </w:r>
            <w:r>
              <w:rPr>
                <w:rFonts w:ascii="Times New Roman" w:hAnsi="Times New Roman"/>
                <w:color w:val="000000"/>
                <w:kern w:val="0"/>
                <w:szCs w:val="21"/>
                <w:lang w:bidi="ar"/>
              </w:rPr>
              <w:fldChar w:fldCharType="end"/>
            </w:r>
          </w:p>
        </w:tc>
        <w:tc>
          <w:tcPr>
            <w:tcW w:w="683" w:type="dxa"/>
            <w:noWrap w:val="0"/>
            <w:vAlign w:val="center"/>
          </w:tcPr>
          <w:p w14:paraId="5DAB26E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55056BE4">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CN202530064080.6</w:t>
            </w:r>
          </w:p>
        </w:tc>
        <w:tc>
          <w:tcPr>
            <w:tcW w:w="1363" w:type="dxa"/>
            <w:noWrap w:val="0"/>
            <w:vAlign w:val="center"/>
          </w:tcPr>
          <w:p w14:paraId="5206F52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2025-02-13</w:t>
            </w:r>
          </w:p>
        </w:tc>
        <w:tc>
          <w:tcPr>
            <w:tcW w:w="683" w:type="dxa"/>
            <w:noWrap w:val="0"/>
            <w:vAlign w:val="center"/>
          </w:tcPr>
          <w:p w14:paraId="0A2B391D">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2AA3890F">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572A19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34652CFF">
            <w:pPr>
              <w:widowControl/>
              <w:tabs>
                <w:tab w:val="left" w:pos="0"/>
              </w:tabs>
              <w:adjustRightInd w:val="0"/>
              <w:snapToGrid w:val="0"/>
              <w:spacing w:line="360" w:lineRule="exact"/>
              <w:jc w:val="center"/>
              <w:rPr>
                <w:rFonts w:hint="eastAsia" w:ascii="Times New Roman" w:hAnsi="Times New Roman"/>
                <w:szCs w:val="21"/>
              </w:rPr>
            </w:pPr>
            <w:r>
              <w:rPr>
                <w:rFonts w:hint="eastAsia" w:ascii="Times New Roman" w:hAnsi="Times New Roman"/>
                <w:szCs w:val="21"/>
              </w:rPr>
              <w:t>9</w:t>
            </w:r>
          </w:p>
        </w:tc>
        <w:tc>
          <w:tcPr>
            <w:tcW w:w="1128" w:type="dxa"/>
            <w:noWrap w:val="0"/>
            <w:vAlign w:val="center"/>
          </w:tcPr>
          <w:p w14:paraId="5251DD91">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4CF99280">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"https://www.qcc.com/zhuanliDetail/575c019df1044af9321b0e9900b05973.html?source=export"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收币车</w:t>
            </w:r>
            <w:r>
              <w:rPr>
                <w:rFonts w:ascii="Times New Roman" w:hAnsi="Times New Roman"/>
                <w:color w:val="000000"/>
                <w:kern w:val="0"/>
                <w:szCs w:val="21"/>
                <w:lang w:bidi="ar"/>
              </w:rPr>
              <w:fldChar w:fldCharType="end"/>
            </w:r>
          </w:p>
        </w:tc>
        <w:tc>
          <w:tcPr>
            <w:tcW w:w="683" w:type="dxa"/>
            <w:noWrap w:val="0"/>
            <w:vAlign w:val="center"/>
          </w:tcPr>
          <w:p w14:paraId="1A08141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4386D1B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CN202530064501.5</w:t>
            </w:r>
          </w:p>
        </w:tc>
        <w:tc>
          <w:tcPr>
            <w:tcW w:w="1363" w:type="dxa"/>
            <w:noWrap w:val="0"/>
            <w:vAlign w:val="center"/>
          </w:tcPr>
          <w:p w14:paraId="347355B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2025-02-14</w:t>
            </w:r>
          </w:p>
        </w:tc>
        <w:tc>
          <w:tcPr>
            <w:tcW w:w="683" w:type="dxa"/>
            <w:noWrap w:val="0"/>
            <w:vAlign w:val="center"/>
          </w:tcPr>
          <w:p w14:paraId="2D28096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6ABBE3C7">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24324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0E547DF0">
            <w:pPr>
              <w:widowControl/>
              <w:tabs>
                <w:tab w:val="left" w:pos="0"/>
              </w:tabs>
              <w:adjustRightInd w:val="0"/>
              <w:snapToGrid w:val="0"/>
              <w:spacing w:line="360" w:lineRule="exact"/>
              <w:jc w:val="center"/>
              <w:rPr>
                <w:rFonts w:hint="eastAsia" w:ascii="Times New Roman" w:hAnsi="Times New Roman"/>
                <w:szCs w:val="21"/>
              </w:rPr>
            </w:pPr>
            <w:r>
              <w:rPr>
                <w:rFonts w:hint="eastAsia" w:ascii="Times New Roman" w:hAnsi="Times New Roman"/>
                <w:szCs w:val="21"/>
              </w:rPr>
              <w:t>10</w:t>
            </w:r>
          </w:p>
        </w:tc>
        <w:tc>
          <w:tcPr>
            <w:tcW w:w="1128" w:type="dxa"/>
            <w:noWrap w:val="0"/>
            <w:vAlign w:val="center"/>
          </w:tcPr>
          <w:p w14:paraId="6614DF9F">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256006FB">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"https://www.qcc.com/zhuanliDetail/fc26644f45e90fabfc8b267d6c9cf597.html?source=export"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存票站（小智6卓越版）</w:t>
            </w:r>
            <w:r>
              <w:rPr>
                <w:rFonts w:ascii="Times New Roman" w:hAnsi="Times New Roman"/>
                <w:color w:val="000000"/>
                <w:kern w:val="0"/>
                <w:szCs w:val="21"/>
                <w:lang w:bidi="ar"/>
              </w:rPr>
              <w:fldChar w:fldCharType="end"/>
            </w:r>
          </w:p>
        </w:tc>
        <w:tc>
          <w:tcPr>
            <w:tcW w:w="683" w:type="dxa"/>
            <w:noWrap w:val="0"/>
            <w:vAlign w:val="center"/>
          </w:tcPr>
          <w:p w14:paraId="2D8BC7E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0FED1E0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CN202530064552.8</w:t>
            </w:r>
          </w:p>
        </w:tc>
        <w:tc>
          <w:tcPr>
            <w:tcW w:w="1363" w:type="dxa"/>
            <w:noWrap w:val="0"/>
            <w:vAlign w:val="center"/>
          </w:tcPr>
          <w:p w14:paraId="0D992BA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2025-02-14</w:t>
            </w:r>
          </w:p>
        </w:tc>
        <w:tc>
          <w:tcPr>
            <w:tcW w:w="683" w:type="dxa"/>
            <w:noWrap w:val="0"/>
            <w:vAlign w:val="center"/>
          </w:tcPr>
          <w:p w14:paraId="4A10AFAD">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40204287">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37EAF8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7BEE118F">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11</w:t>
            </w:r>
          </w:p>
        </w:tc>
        <w:tc>
          <w:tcPr>
            <w:tcW w:w="1128" w:type="dxa"/>
            <w:noWrap w:val="0"/>
            <w:vAlign w:val="center"/>
          </w:tcPr>
          <w:p w14:paraId="4F1C42A6">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0D63E35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"https://www.qcc.com/zhuanliDetail/2731dd6fd223b4c2d01d7f0fd19b2432.html?source=export"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立式存票机（小智5卓越版）</w:t>
            </w:r>
            <w:r>
              <w:rPr>
                <w:rFonts w:ascii="Times New Roman" w:hAnsi="Times New Roman"/>
                <w:color w:val="000000"/>
                <w:kern w:val="0"/>
                <w:szCs w:val="21"/>
                <w:lang w:bidi="ar"/>
              </w:rPr>
              <w:fldChar w:fldCharType="end"/>
            </w:r>
          </w:p>
        </w:tc>
        <w:tc>
          <w:tcPr>
            <w:tcW w:w="683" w:type="dxa"/>
            <w:noWrap w:val="0"/>
            <w:vAlign w:val="center"/>
          </w:tcPr>
          <w:p w14:paraId="6A907B6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70DBAAC0">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CN202530064570.6</w:t>
            </w:r>
          </w:p>
        </w:tc>
        <w:tc>
          <w:tcPr>
            <w:tcW w:w="1363" w:type="dxa"/>
            <w:noWrap w:val="0"/>
            <w:vAlign w:val="center"/>
          </w:tcPr>
          <w:p w14:paraId="6E47ABD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2025-02-14</w:t>
            </w:r>
          </w:p>
        </w:tc>
        <w:tc>
          <w:tcPr>
            <w:tcW w:w="683" w:type="dxa"/>
            <w:noWrap w:val="0"/>
            <w:vAlign w:val="center"/>
          </w:tcPr>
          <w:p w14:paraId="37F2E604">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131E59A2">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46E188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0081813A">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12</w:t>
            </w:r>
          </w:p>
        </w:tc>
        <w:tc>
          <w:tcPr>
            <w:tcW w:w="1128" w:type="dxa"/>
            <w:noWrap w:val="0"/>
            <w:vAlign w:val="center"/>
          </w:tcPr>
          <w:p w14:paraId="51F9D86D">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52F6B03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"https://www.qcc.com/zhuanliDetail/70b68187184f343ecae16fa881d0f175.html?source=export"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桌面存票机（卓越版）</w:t>
            </w:r>
            <w:r>
              <w:rPr>
                <w:rFonts w:ascii="Times New Roman" w:hAnsi="Times New Roman"/>
                <w:color w:val="000000"/>
                <w:kern w:val="0"/>
                <w:szCs w:val="21"/>
                <w:lang w:bidi="ar"/>
              </w:rPr>
              <w:fldChar w:fldCharType="end"/>
            </w:r>
          </w:p>
        </w:tc>
        <w:tc>
          <w:tcPr>
            <w:tcW w:w="683" w:type="dxa"/>
            <w:noWrap w:val="0"/>
            <w:vAlign w:val="center"/>
          </w:tcPr>
          <w:p w14:paraId="0E1B75A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39D7415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CN202530064521.2</w:t>
            </w:r>
          </w:p>
        </w:tc>
        <w:tc>
          <w:tcPr>
            <w:tcW w:w="1363" w:type="dxa"/>
            <w:noWrap w:val="0"/>
            <w:vAlign w:val="center"/>
          </w:tcPr>
          <w:p w14:paraId="62F3919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2025-02-14</w:t>
            </w:r>
          </w:p>
        </w:tc>
        <w:tc>
          <w:tcPr>
            <w:tcW w:w="683" w:type="dxa"/>
            <w:noWrap w:val="0"/>
            <w:vAlign w:val="center"/>
          </w:tcPr>
          <w:p w14:paraId="67A2CB5F">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3A3A143C">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7F4E5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512DD32C">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13</w:t>
            </w:r>
          </w:p>
        </w:tc>
        <w:tc>
          <w:tcPr>
            <w:tcW w:w="1128" w:type="dxa"/>
            <w:noWrap w:val="0"/>
            <w:vAlign w:val="center"/>
          </w:tcPr>
          <w:p w14:paraId="19EE43F3">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广州宝点，广州市鸿恒电子科技有限公司</w:t>
            </w:r>
          </w:p>
        </w:tc>
        <w:tc>
          <w:tcPr>
            <w:tcW w:w="2617" w:type="dxa"/>
            <w:noWrap w:val="0"/>
            <w:vAlign w:val="center"/>
          </w:tcPr>
          <w:p w14:paraId="2F6EF59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"https://www.qcc.com/zhuanliDetail/fb5ae5b08d37f8ab3db1d8426f802f6b.html?source=export"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出币装置</w:t>
            </w:r>
            <w:r>
              <w:rPr>
                <w:rFonts w:ascii="Times New Roman" w:hAnsi="Times New Roman"/>
                <w:color w:val="000000"/>
                <w:kern w:val="0"/>
                <w:szCs w:val="21"/>
                <w:lang w:bidi="ar"/>
              </w:rPr>
              <w:fldChar w:fldCharType="end"/>
            </w:r>
          </w:p>
        </w:tc>
        <w:tc>
          <w:tcPr>
            <w:tcW w:w="683" w:type="dxa"/>
            <w:noWrap w:val="0"/>
            <w:vAlign w:val="center"/>
          </w:tcPr>
          <w:p w14:paraId="2DBCD21C">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实用新型</w:t>
            </w:r>
          </w:p>
        </w:tc>
        <w:tc>
          <w:tcPr>
            <w:tcW w:w="1193" w:type="dxa"/>
            <w:noWrap w:val="0"/>
            <w:vAlign w:val="center"/>
          </w:tcPr>
          <w:p w14:paraId="4D9E8B07">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CN202520314923.8</w:t>
            </w:r>
          </w:p>
        </w:tc>
        <w:tc>
          <w:tcPr>
            <w:tcW w:w="1363" w:type="dxa"/>
            <w:noWrap w:val="0"/>
            <w:vAlign w:val="center"/>
          </w:tcPr>
          <w:p w14:paraId="637791D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2025-02-25</w:t>
            </w:r>
          </w:p>
        </w:tc>
        <w:tc>
          <w:tcPr>
            <w:tcW w:w="683" w:type="dxa"/>
            <w:noWrap w:val="0"/>
            <w:vAlign w:val="center"/>
          </w:tcPr>
          <w:p w14:paraId="26408EE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5659CC68">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5152DA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5CBA2F59">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14</w:t>
            </w:r>
          </w:p>
        </w:tc>
        <w:tc>
          <w:tcPr>
            <w:tcW w:w="1128" w:type="dxa"/>
            <w:noWrap w:val="0"/>
            <w:vAlign w:val="center"/>
          </w:tcPr>
          <w:p w14:paraId="564ACB30">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08DFBF4B">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"https://www.qcc.com/zhuanliDetail/ca11ca76d45d8f23a4bad853e45efcf1.html?source=export"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一种截流游戏币的出币机</w:t>
            </w:r>
            <w:r>
              <w:rPr>
                <w:rFonts w:ascii="Times New Roman" w:hAnsi="Times New Roman"/>
                <w:color w:val="000000"/>
                <w:kern w:val="0"/>
                <w:szCs w:val="21"/>
                <w:lang w:bidi="ar"/>
              </w:rPr>
              <w:fldChar w:fldCharType="end"/>
            </w:r>
          </w:p>
        </w:tc>
        <w:tc>
          <w:tcPr>
            <w:tcW w:w="683" w:type="dxa"/>
            <w:noWrap w:val="0"/>
            <w:vAlign w:val="center"/>
          </w:tcPr>
          <w:p w14:paraId="47FD2F82">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实用新型</w:t>
            </w:r>
          </w:p>
        </w:tc>
        <w:tc>
          <w:tcPr>
            <w:tcW w:w="1193" w:type="dxa"/>
            <w:noWrap w:val="0"/>
            <w:vAlign w:val="center"/>
          </w:tcPr>
          <w:p w14:paraId="4B0D0474">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CN202520233854.8</w:t>
            </w:r>
          </w:p>
        </w:tc>
        <w:tc>
          <w:tcPr>
            <w:tcW w:w="1363" w:type="dxa"/>
            <w:noWrap w:val="0"/>
            <w:vAlign w:val="center"/>
          </w:tcPr>
          <w:p w14:paraId="1113487C">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2025-02-13</w:t>
            </w:r>
          </w:p>
        </w:tc>
        <w:tc>
          <w:tcPr>
            <w:tcW w:w="683" w:type="dxa"/>
            <w:noWrap w:val="0"/>
            <w:vAlign w:val="center"/>
          </w:tcPr>
          <w:p w14:paraId="2FE7222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483EC540">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1F3893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1D865298">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15</w:t>
            </w:r>
          </w:p>
        </w:tc>
        <w:tc>
          <w:tcPr>
            <w:tcW w:w="1128" w:type="dxa"/>
            <w:noWrap w:val="0"/>
            <w:vAlign w:val="center"/>
          </w:tcPr>
          <w:p w14:paraId="55A6EC93">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5EC5D995">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"https://www.qcc.com/zhuanliDetail/294a9aaf07c2c3638b25af908b468d1e.html?source=export"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游艺机</w:t>
            </w:r>
            <w:r>
              <w:rPr>
                <w:rFonts w:ascii="Times New Roman" w:hAnsi="Times New Roman"/>
                <w:color w:val="000000"/>
                <w:kern w:val="0"/>
                <w:szCs w:val="21"/>
                <w:lang w:bidi="ar"/>
              </w:rPr>
              <w:fldChar w:fldCharType="end"/>
            </w:r>
          </w:p>
        </w:tc>
        <w:tc>
          <w:tcPr>
            <w:tcW w:w="683" w:type="dxa"/>
            <w:noWrap w:val="0"/>
            <w:vAlign w:val="center"/>
          </w:tcPr>
          <w:p w14:paraId="7EFB7FF9">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外观设计</w:t>
            </w:r>
          </w:p>
        </w:tc>
        <w:tc>
          <w:tcPr>
            <w:tcW w:w="1193" w:type="dxa"/>
            <w:noWrap w:val="0"/>
            <w:vAlign w:val="center"/>
          </w:tcPr>
          <w:p w14:paraId="22BBF26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CN202530252463.6</w:t>
            </w:r>
          </w:p>
        </w:tc>
        <w:tc>
          <w:tcPr>
            <w:tcW w:w="1363" w:type="dxa"/>
            <w:noWrap w:val="0"/>
            <w:vAlign w:val="center"/>
          </w:tcPr>
          <w:p w14:paraId="1F80300C">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2025-05-07</w:t>
            </w:r>
          </w:p>
        </w:tc>
        <w:tc>
          <w:tcPr>
            <w:tcW w:w="683" w:type="dxa"/>
            <w:noWrap w:val="0"/>
            <w:vAlign w:val="center"/>
          </w:tcPr>
          <w:p w14:paraId="778CA920">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755CDFEB">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r w14:paraId="0164EA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dxa"/>
            <w:noWrap w:val="0"/>
            <w:vAlign w:val="center"/>
          </w:tcPr>
          <w:p w14:paraId="5C139926">
            <w:pPr>
              <w:widowControl/>
              <w:tabs>
                <w:tab w:val="left" w:pos="0"/>
              </w:tabs>
              <w:adjustRightInd w:val="0"/>
              <w:snapToGrid w:val="0"/>
              <w:spacing w:line="360" w:lineRule="exact"/>
              <w:jc w:val="center"/>
              <w:rPr>
                <w:rFonts w:ascii="Times New Roman" w:hAnsi="Times New Roman"/>
                <w:szCs w:val="21"/>
              </w:rPr>
            </w:pPr>
            <w:r>
              <w:rPr>
                <w:rFonts w:hint="eastAsia" w:ascii="Times New Roman" w:hAnsi="Times New Roman"/>
                <w:szCs w:val="21"/>
              </w:rPr>
              <w:t>16</w:t>
            </w:r>
          </w:p>
        </w:tc>
        <w:tc>
          <w:tcPr>
            <w:tcW w:w="1128" w:type="dxa"/>
            <w:noWrap w:val="0"/>
            <w:vAlign w:val="center"/>
          </w:tcPr>
          <w:p w14:paraId="60AF073D">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广州宝点</w:t>
            </w:r>
          </w:p>
        </w:tc>
        <w:tc>
          <w:tcPr>
            <w:tcW w:w="2617" w:type="dxa"/>
            <w:noWrap w:val="0"/>
            <w:vAlign w:val="center"/>
          </w:tcPr>
          <w:p w14:paraId="54395CF6">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fldChar w:fldCharType="begin"/>
            </w:r>
            <w:r>
              <w:rPr>
                <w:rFonts w:ascii="Times New Roman" w:hAnsi="Times New Roman"/>
                <w:color w:val="000000"/>
                <w:kern w:val="0"/>
                <w:szCs w:val="21"/>
                <w:lang w:bidi="ar"/>
              </w:rPr>
              <w:instrText xml:space="preserve"> HYPERLINK "https://www.qcc.com/zhuanliDetail/96472b79c7fb1090744742b6a8da2ded.html?source=export" </w:instrText>
            </w:r>
            <w:r>
              <w:rPr>
                <w:rFonts w:ascii="Times New Roman" w:hAnsi="Times New Roman"/>
                <w:color w:val="000000"/>
                <w:kern w:val="0"/>
                <w:szCs w:val="21"/>
                <w:lang w:bidi="ar"/>
              </w:rPr>
              <w:fldChar w:fldCharType="separate"/>
            </w:r>
            <w:r>
              <w:rPr>
                <w:rFonts w:ascii="Times New Roman" w:hAnsi="Times New Roman"/>
                <w:color w:val="000000"/>
                <w:kern w:val="0"/>
                <w:szCs w:val="21"/>
                <w:lang w:bidi="ar"/>
              </w:rPr>
              <w:t>一种导票结构和存票机</w:t>
            </w:r>
            <w:r>
              <w:rPr>
                <w:rFonts w:ascii="Times New Roman" w:hAnsi="Times New Roman"/>
                <w:color w:val="000000"/>
                <w:kern w:val="0"/>
                <w:szCs w:val="21"/>
                <w:lang w:bidi="ar"/>
              </w:rPr>
              <w:fldChar w:fldCharType="end"/>
            </w:r>
          </w:p>
        </w:tc>
        <w:tc>
          <w:tcPr>
            <w:tcW w:w="683" w:type="dxa"/>
            <w:noWrap w:val="0"/>
            <w:vAlign w:val="center"/>
          </w:tcPr>
          <w:p w14:paraId="3F4E692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实用新型</w:t>
            </w:r>
          </w:p>
        </w:tc>
        <w:tc>
          <w:tcPr>
            <w:tcW w:w="1193" w:type="dxa"/>
            <w:noWrap w:val="0"/>
            <w:vAlign w:val="center"/>
          </w:tcPr>
          <w:p w14:paraId="5123713D">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CN202520241938.6</w:t>
            </w:r>
          </w:p>
        </w:tc>
        <w:tc>
          <w:tcPr>
            <w:tcW w:w="1363" w:type="dxa"/>
            <w:noWrap w:val="0"/>
            <w:vAlign w:val="center"/>
          </w:tcPr>
          <w:p w14:paraId="3362B918">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2025-02-14</w:t>
            </w:r>
          </w:p>
        </w:tc>
        <w:tc>
          <w:tcPr>
            <w:tcW w:w="683" w:type="dxa"/>
            <w:noWrap w:val="0"/>
            <w:vAlign w:val="center"/>
          </w:tcPr>
          <w:p w14:paraId="3BF299AA">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原始取得</w:t>
            </w:r>
          </w:p>
        </w:tc>
        <w:tc>
          <w:tcPr>
            <w:tcW w:w="428" w:type="dxa"/>
            <w:noWrap w:val="0"/>
            <w:vAlign w:val="center"/>
          </w:tcPr>
          <w:p w14:paraId="34A6B431">
            <w:pPr>
              <w:widowControl/>
              <w:jc w:val="center"/>
              <w:textAlignment w:val="center"/>
              <w:rPr>
                <w:rFonts w:ascii="Times New Roman" w:hAnsi="Times New Roman"/>
                <w:color w:val="000000"/>
                <w:kern w:val="0"/>
                <w:szCs w:val="21"/>
                <w:lang w:eastAsia="zh" w:bidi="ar"/>
              </w:rPr>
            </w:pPr>
            <w:r>
              <w:rPr>
                <w:rFonts w:ascii="Times New Roman" w:hAnsi="Times New Roman"/>
                <w:color w:val="000000"/>
                <w:kern w:val="0"/>
                <w:szCs w:val="21"/>
                <w:lang w:eastAsia="zh" w:bidi="ar"/>
              </w:rPr>
              <w:t>无</w:t>
            </w:r>
          </w:p>
        </w:tc>
      </w:tr>
    </w:tbl>
    <w:p w14:paraId="244B9563">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ascii="Times New Roman" w:hAnsi="Times New Roman"/>
          <w:b/>
          <w:bCs/>
          <w:sz w:val="24"/>
        </w:rPr>
        <w:t>4、著作权</w:t>
      </w:r>
    </w:p>
    <w:p w14:paraId="5704D319">
      <w:pPr>
        <w:pStyle w:val="39"/>
        <w:adjustRightInd w:val="0"/>
        <w:snapToGrid w:val="0"/>
        <w:spacing w:before="156" w:beforeLines="50" w:after="156" w:afterLines="50"/>
        <w:ind w:firstLine="480"/>
        <w:rPr>
          <w:spacing w:val="-4"/>
          <w:szCs w:val="24"/>
        </w:rPr>
      </w:pPr>
      <w:r>
        <w:rPr>
          <w:color w:val="000000"/>
          <w:kern w:val="0"/>
          <w:szCs w:val="24"/>
        </w:rPr>
        <w:t>本所律师已在《法律意见书》中披露</w:t>
      </w:r>
      <w:r>
        <w:rPr>
          <w:rFonts w:hint="eastAsia"/>
          <w:color w:val="000000"/>
          <w:kern w:val="0"/>
          <w:szCs w:val="24"/>
        </w:rPr>
        <w:t>星云开物</w:t>
      </w:r>
      <w:r>
        <w:rPr>
          <w:color w:val="000000"/>
          <w:kern w:val="0"/>
          <w:szCs w:val="24"/>
        </w:rPr>
        <w:t>拥有著作权的情况。</w:t>
      </w:r>
      <w:r>
        <w:rPr>
          <w:spacing w:val="4"/>
          <w:szCs w:val="24"/>
        </w:rPr>
        <w:t>经核查，补充核查期间内，</w:t>
      </w:r>
      <w:r>
        <w:rPr>
          <w:rFonts w:hint="eastAsia"/>
          <w:spacing w:val="2"/>
          <w:szCs w:val="24"/>
        </w:rPr>
        <w:t>星云开物</w:t>
      </w:r>
      <w:r>
        <w:rPr>
          <w:spacing w:val="4"/>
          <w:szCs w:val="24"/>
        </w:rPr>
        <w:t>拥有的</w:t>
      </w:r>
      <w:r>
        <w:rPr>
          <w:rFonts w:hint="eastAsia"/>
          <w:spacing w:val="4"/>
          <w:szCs w:val="24"/>
        </w:rPr>
        <w:t>著作权</w:t>
      </w:r>
      <w:r>
        <w:rPr>
          <w:spacing w:val="4"/>
          <w:szCs w:val="24"/>
        </w:rPr>
        <w:t>情况未发生变化</w:t>
      </w:r>
      <w:r>
        <w:rPr>
          <w:spacing w:val="-4"/>
          <w:szCs w:val="24"/>
        </w:rPr>
        <w:t>。</w:t>
      </w:r>
    </w:p>
    <w:p w14:paraId="2C473876">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ascii="Times New Roman" w:hAnsi="Times New Roman"/>
          <w:b/>
          <w:bCs/>
          <w:sz w:val="24"/>
        </w:rPr>
        <w:t>5、域名</w:t>
      </w:r>
    </w:p>
    <w:p w14:paraId="684D3C57">
      <w:pPr>
        <w:pStyle w:val="39"/>
        <w:adjustRightInd w:val="0"/>
        <w:snapToGrid w:val="0"/>
        <w:spacing w:before="156" w:beforeLines="50" w:after="156" w:afterLines="50"/>
        <w:ind w:firstLine="496"/>
        <w:rPr>
          <w:rFonts w:hint="eastAsia"/>
          <w:spacing w:val="4"/>
          <w:szCs w:val="24"/>
        </w:rPr>
      </w:pPr>
      <w:r>
        <w:rPr>
          <w:rFonts w:hint="eastAsia"/>
          <w:spacing w:val="4"/>
          <w:szCs w:val="24"/>
        </w:rPr>
        <w:t>经核查</w:t>
      </w:r>
      <w:r>
        <w:rPr>
          <w:spacing w:val="4"/>
          <w:szCs w:val="24"/>
        </w:rPr>
        <w:t>，补充核查期间内，</w:t>
      </w:r>
      <w:r>
        <w:rPr>
          <w:rFonts w:hint="eastAsia"/>
          <w:spacing w:val="2"/>
          <w:szCs w:val="24"/>
        </w:rPr>
        <w:t>星云开物因1项域名对应的项目已不再合作，申请</w:t>
      </w:r>
      <w:r>
        <w:rPr>
          <w:rFonts w:hint="eastAsia"/>
          <w:spacing w:val="4"/>
          <w:szCs w:val="24"/>
        </w:rPr>
        <w:t>注销了1项域名，具体情况如下：</w:t>
      </w:r>
    </w:p>
    <w:tbl>
      <w:tblPr>
        <w:tblStyle w:val="2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026"/>
        <w:gridCol w:w="2602"/>
        <w:gridCol w:w="2228"/>
        <w:gridCol w:w="1335"/>
        <w:gridCol w:w="820"/>
      </w:tblGrid>
      <w:tr w14:paraId="441E9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98" w:type="pct"/>
            <w:noWrap w:val="0"/>
            <w:vAlign w:val="center"/>
          </w:tcPr>
          <w:p w14:paraId="70FFB673">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序号</w:t>
            </w:r>
          </w:p>
        </w:tc>
        <w:tc>
          <w:tcPr>
            <w:tcW w:w="602" w:type="pct"/>
            <w:noWrap w:val="0"/>
            <w:vAlign w:val="center"/>
          </w:tcPr>
          <w:p w14:paraId="02E0F36D">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权利人</w:t>
            </w:r>
          </w:p>
        </w:tc>
        <w:tc>
          <w:tcPr>
            <w:tcW w:w="1526" w:type="pct"/>
            <w:noWrap w:val="0"/>
            <w:vAlign w:val="center"/>
          </w:tcPr>
          <w:p w14:paraId="263B3095">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域名</w:t>
            </w:r>
          </w:p>
        </w:tc>
        <w:tc>
          <w:tcPr>
            <w:tcW w:w="1307" w:type="pct"/>
            <w:noWrap w:val="0"/>
            <w:vAlign w:val="center"/>
          </w:tcPr>
          <w:p w14:paraId="7A03BFDC">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许可证号</w:t>
            </w:r>
          </w:p>
        </w:tc>
        <w:tc>
          <w:tcPr>
            <w:tcW w:w="783" w:type="pct"/>
            <w:noWrap w:val="0"/>
            <w:vAlign w:val="center"/>
          </w:tcPr>
          <w:p w14:paraId="1B5C8C56">
            <w:pPr>
              <w:adjustRightInd w:val="0"/>
              <w:snapToGrid w:val="0"/>
              <w:jc w:val="center"/>
              <w:rPr>
                <w:rFonts w:ascii="Times New Roman" w:hAnsi="Times New Roman"/>
                <w:b/>
                <w:bCs/>
                <w:color w:val="000000"/>
                <w:kern w:val="0"/>
                <w:szCs w:val="21"/>
              </w:rPr>
            </w:pPr>
            <w:r>
              <w:rPr>
                <w:rFonts w:ascii="Times New Roman" w:hAnsi="Times New Roman"/>
                <w:b/>
                <w:bCs/>
                <w:color w:val="000000"/>
                <w:kern w:val="0"/>
                <w:szCs w:val="21"/>
              </w:rPr>
              <w:t>审核日期</w:t>
            </w:r>
          </w:p>
        </w:tc>
        <w:tc>
          <w:tcPr>
            <w:tcW w:w="481" w:type="pct"/>
            <w:noWrap w:val="0"/>
            <w:vAlign w:val="center"/>
          </w:tcPr>
          <w:p w14:paraId="31FB76B5">
            <w:pPr>
              <w:adjustRightInd w:val="0"/>
              <w:snapToGrid w:val="0"/>
              <w:jc w:val="center"/>
              <w:rPr>
                <w:rFonts w:hint="eastAsia" w:ascii="Times New Roman" w:hAnsi="Times New Roman"/>
                <w:b/>
                <w:bCs/>
                <w:color w:val="000000"/>
                <w:kern w:val="0"/>
                <w:szCs w:val="21"/>
              </w:rPr>
            </w:pPr>
            <w:r>
              <w:rPr>
                <w:rFonts w:hint="eastAsia" w:ascii="Times New Roman" w:hAnsi="Times New Roman"/>
                <w:b/>
                <w:bCs/>
                <w:color w:val="000000"/>
                <w:kern w:val="0"/>
                <w:szCs w:val="21"/>
              </w:rPr>
              <w:t>法律状态</w:t>
            </w:r>
          </w:p>
        </w:tc>
      </w:tr>
      <w:tr w14:paraId="479BEA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98" w:type="pct"/>
            <w:shd w:val="clear" w:color="auto" w:fill="auto"/>
            <w:noWrap w:val="0"/>
            <w:vAlign w:val="center"/>
          </w:tcPr>
          <w:p w14:paraId="515EE6FD">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1</w:t>
            </w:r>
          </w:p>
        </w:tc>
        <w:tc>
          <w:tcPr>
            <w:tcW w:w="602" w:type="pct"/>
            <w:shd w:val="clear" w:color="auto" w:fill="auto"/>
            <w:noWrap w:val="0"/>
            <w:vAlign w:val="center"/>
          </w:tcPr>
          <w:p w14:paraId="1A2439CF">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星云开物</w:t>
            </w:r>
          </w:p>
        </w:tc>
        <w:tc>
          <w:tcPr>
            <w:tcW w:w="1526" w:type="pct"/>
            <w:shd w:val="clear" w:color="auto" w:fill="auto"/>
            <w:noWrap w:val="0"/>
            <w:vAlign w:val="center"/>
          </w:tcPr>
          <w:p w14:paraId="4B23062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zxsg88.com</w:t>
            </w:r>
          </w:p>
        </w:tc>
        <w:tc>
          <w:tcPr>
            <w:tcW w:w="1307" w:type="pct"/>
            <w:shd w:val="clear" w:color="auto" w:fill="auto"/>
            <w:noWrap w:val="0"/>
            <w:vAlign w:val="center"/>
          </w:tcPr>
          <w:p w14:paraId="79378B73">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粤ICP备16014453号-18</w:t>
            </w:r>
          </w:p>
        </w:tc>
        <w:tc>
          <w:tcPr>
            <w:tcW w:w="783" w:type="pct"/>
            <w:shd w:val="solid" w:color="FFFFFF" w:fill="auto"/>
            <w:noWrap w:val="0"/>
            <w:vAlign w:val="center"/>
          </w:tcPr>
          <w:p w14:paraId="79350241">
            <w:pPr>
              <w:widowControl/>
              <w:jc w:val="center"/>
              <w:textAlignment w:val="center"/>
              <w:rPr>
                <w:rFonts w:ascii="Times New Roman" w:hAnsi="Times New Roman"/>
                <w:color w:val="000000"/>
                <w:kern w:val="0"/>
                <w:szCs w:val="21"/>
                <w:lang w:bidi="ar"/>
              </w:rPr>
            </w:pPr>
            <w:r>
              <w:rPr>
                <w:rFonts w:ascii="Times New Roman" w:hAnsi="Times New Roman"/>
                <w:color w:val="000000"/>
                <w:kern w:val="0"/>
                <w:szCs w:val="21"/>
                <w:lang w:bidi="ar"/>
              </w:rPr>
              <w:t>2024-12-26</w:t>
            </w:r>
          </w:p>
        </w:tc>
        <w:tc>
          <w:tcPr>
            <w:tcW w:w="481" w:type="pct"/>
            <w:noWrap w:val="0"/>
            <w:vAlign w:val="center"/>
          </w:tcPr>
          <w:p w14:paraId="2B9ACF75">
            <w:pPr>
              <w:widowControl/>
              <w:jc w:val="center"/>
              <w:textAlignment w:val="center"/>
              <w:rPr>
                <w:rFonts w:ascii="Times New Roman" w:hAnsi="Times New Roman"/>
                <w:color w:val="000000"/>
                <w:kern w:val="0"/>
                <w:szCs w:val="21"/>
                <w:lang w:bidi="ar"/>
              </w:rPr>
            </w:pPr>
            <w:r>
              <w:rPr>
                <w:rFonts w:hint="eastAsia" w:ascii="Times New Roman" w:hAnsi="Times New Roman"/>
                <w:color w:val="000000"/>
                <w:kern w:val="0"/>
                <w:szCs w:val="21"/>
                <w:lang w:bidi="ar"/>
              </w:rPr>
              <w:t>已注销</w:t>
            </w:r>
          </w:p>
        </w:tc>
      </w:tr>
    </w:tbl>
    <w:p w14:paraId="14780BA6">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6、</w:t>
      </w:r>
      <w:r>
        <w:rPr>
          <w:rFonts w:ascii="Times New Roman" w:hAnsi="Times New Roman"/>
          <w:b/>
          <w:bCs/>
          <w:sz w:val="24"/>
        </w:rPr>
        <w:t>租赁房产</w:t>
      </w:r>
    </w:p>
    <w:p w14:paraId="48B8CAB1">
      <w:pPr>
        <w:tabs>
          <w:tab w:val="left" w:pos="709"/>
        </w:tabs>
        <w:snapToGrid w:val="0"/>
        <w:spacing w:before="156" w:beforeLines="50" w:after="156" w:afterLines="50" w:line="360" w:lineRule="auto"/>
        <w:ind w:firstLine="496" w:firstLineChars="200"/>
        <w:rPr>
          <w:rFonts w:hint="eastAsia" w:ascii="Times New Roman" w:hAnsi="Times New Roman" w:cs="宋体"/>
          <w:spacing w:val="4"/>
          <w:sz w:val="24"/>
        </w:rPr>
      </w:pPr>
      <w:r>
        <w:rPr>
          <w:rFonts w:hint="eastAsia" w:ascii="Times New Roman" w:hAnsi="Times New Roman" w:cs="宋体"/>
          <w:spacing w:val="4"/>
          <w:sz w:val="24"/>
        </w:rPr>
        <w:t>经核查</w:t>
      </w:r>
      <w:r>
        <w:rPr>
          <w:rFonts w:ascii="Times New Roman" w:hAnsi="Times New Roman" w:cs="宋体"/>
          <w:spacing w:val="4"/>
          <w:sz w:val="24"/>
        </w:rPr>
        <w:t>，</w:t>
      </w:r>
      <w:r>
        <w:rPr>
          <w:rFonts w:ascii="Times New Roman" w:hAnsi="Times New Roman"/>
          <w:spacing w:val="4"/>
          <w:sz w:val="24"/>
        </w:rPr>
        <w:t>补</w:t>
      </w:r>
      <w:r>
        <w:rPr>
          <w:rFonts w:ascii="Times New Roman" w:hAnsi="Times New Roman" w:cs="宋体"/>
          <w:spacing w:val="4"/>
          <w:sz w:val="24"/>
        </w:rPr>
        <w:t>充核查期间内</w:t>
      </w:r>
      <w:r>
        <w:rPr>
          <w:rFonts w:hint="eastAsia" w:ascii="Times New Roman" w:hAnsi="Times New Roman" w:cs="宋体"/>
          <w:spacing w:val="4"/>
          <w:sz w:val="24"/>
        </w:rPr>
        <w:t>，星云开物子公司</w:t>
      </w:r>
      <w:r>
        <w:rPr>
          <w:rFonts w:ascii="Times New Roman" w:hAnsi="Times New Roman" w:cs="宋体"/>
          <w:spacing w:val="4"/>
          <w:sz w:val="24"/>
        </w:rPr>
        <w:t>杭州东晙</w:t>
      </w:r>
      <w:r>
        <w:rPr>
          <w:rFonts w:hint="eastAsia" w:ascii="Times New Roman" w:hAnsi="Times New Roman" w:cs="宋体"/>
          <w:spacing w:val="4"/>
          <w:sz w:val="24"/>
        </w:rPr>
        <w:t>、</w:t>
      </w:r>
      <w:r>
        <w:rPr>
          <w:rFonts w:ascii="Times New Roman" w:hAnsi="Times New Roman" w:cs="宋体"/>
          <w:spacing w:val="4"/>
          <w:sz w:val="24"/>
        </w:rPr>
        <w:t>乐呗科技</w:t>
      </w:r>
      <w:r>
        <w:rPr>
          <w:rFonts w:hint="eastAsia" w:ascii="Times New Roman" w:hAnsi="Times New Roman" w:cs="宋体"/>
          <w:spacing w:val="4"/>
          <w:sz w:val="24"/>
        </w:rPr>
        <w:t>因原租赁合同到期而签订新的租赁合同，</w:t>
      </w:r>
      <w:r>
        <w:rPr>
          <w:rFonts w:hint="eastAsia"/>
          <w:sz w:val="24"/>
        </w:rPr>
        <w:t>具体</w:t>
      </w:r>
      <w:r>
        <w:rPr>
          <w:rFonts w:hint="eastAsia" w:ascii="Times New Roman" w:hAnsi="Times New Roman" w:cs="宋体"/>
          <w:spacing w:val="4"/>
          <w:sz w:val="24"/>
        </w:rPr>
        <w:t>情况如下：</w:t>
      </w:r>
    </w:p>
    <w:tbl>
      <w:tblPr>
        <w:tblStyle w:val="21"/>
        <w:tblW w:w="493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4"/>
        <w:gridCol w:w="1252"/>
        <w:gridCol w:w="1437"/>
        <w:gridCol w:w="2019"/>
        <w:gridCol w:w="975"/>
        <w:gridCol w:w="901"/>
        <w:gridCol w:w="1295"/>
      </w:tblGrid>
      <w:tr w14:paraId="18340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25" w:type="dxa"/>
            <w:noWrap w:val="0"/>
            <w:vAlign w:val="center"/>
          </w:tcPr>
          <w:p w14:paraId="58D0F395">
            <w:pPr>
              <w:adjustRightInd w:val="0"/>
              <w:snapToGrid w:val="0"/>
              <w:jc w:val="center"/>
              <w:rPr>
                <w:rFonts w:ascii="Times New Roman" w:hAnsi="Times New Roman"/>
                <w:b/>
                <w:szCs w:val="21"/>
              </w:rPr>
            </w:pPr>
            <w:r>
              <w:rPr>
                <w:rFonts w:ascii="Times New Roman" w:hAnsi="Times New Roman"/>
                <w:b/>
                <w:szCs w:val="21"/>
              </w:rPr>
              <w:t>序号</w:t>
            </w:r>
          </w:p>
        </w:tc>
        <w:tc>
          <w:tcPr>
            <w:tcW w:w="1252" w:type="dxa"/>
            <w:noWrap w:val="0"/>
            <w:vAlign w:val="center"/>
          </w:tcPr>
          <w:p w14:paraId="3CD39E0B">
            <w:pPr>
              <w:adjustRightInd w:val="0"/>
              <w:snapToGrid w:val="0"/>
              <w:jc w:val="center"/>
              <w:rPr>
                <w:rFonts w:ascii="Times New Roman" w:hAnsi="Times New Roman"/>
                <w:b/>
                <w:szCs w:val="21"/>
              </w:rPr>
            </w:pPr>
            <w:r>
              <w:rPr>
                <w:rFonts w:ascii="Times New Roman" w:hAnsi="Times New Roman"/>
                <w:b/>
                <w:szCs w:val="21"/>
              </w:rPr>
              <w:t>承租方</w:t>
            </w:r>
          </w:p>
        </w:tc>
        <w:tc>
          <w:tcPr>
            <w:tcW w:w="1437" w:type="dxa"/>
            <w:noWrap w:val="0"/>
            <w:vAlign w:val="center"/>
          </w:tcPr>
          <w:p w14:paraId="104CE437">
            <w:pPr>
              <w:adjustRightInd w:val="0"/>
              <w:snapToGrid w:val="0"/>
              <w:jc w:val="center"/>
              <w:rPr>
                <w:rFonts w:ascii="Times New Roman" w:hAnsi="Times New Roman"/>
                <w:b/>
                <w:szCs w:val="21"/>
              </w:rPr>
            </w:pPr>
            <w:r>
              <w:rPr>
                <w:rFonts w:ascii="Times New Roman" w:hAnsi="Times New Roman"/>
                <w:b/>
                <w:szCs w:val="21"/>
              </w:rPr>
              <w:t>出租方</w:t>
            </w:r>
          </w:p>
        </w:tc>
        <w:tc>
          <w:tcPr>
            <w:tcW w:w="2019" w:type="dxa"/>
            <w:noWrap w:val="0"/>
            <w:vAlign w:val="center"/>
          </w:tcPr>
          <w:p w14:paraId="2A00CF4D">
            <w:pPr>
              <w:adjustRightInd w:val="0"/>
              <w:snapToGrid w:val="0"/>
              <w:jc w:val="center"/>
              <w:rPr>
                <w:rFonts w:ascii="Times New Roman" w:hAnsi="Times New Roman"/>
                <w:b/>
                <w:szCs w:val="21"/>
              </w:rPr>
            </w:pPr>
            <w:r>
              <w:rPr>
                <w:rFonts w:ascii="Times New Roman" w:hAnsi="Times New Roman"/>
                <w:b/>
                <w:szCs w:val="21"/>
              </w:rPr>
              <w:t>房屋坐落</w:t>
            </w:r>
          </w:p>
        </w:tc>
        <w:tc>
          <w:tcPr>
            <w:tcW w:w="975" w:type="dxa"/>
            <w:noWrap w:val="0"/>
            <w:vAlign w:val="center"/>
          </w:tcPr>
          <w:p w14:paraId="7DF83EEF">
            <w:pPr>
              <w:adjustRightInd w:val="0"/>
              <w:snapToGrid w:val="0"/>
              <w:jc w:val="center"/>
              <w:rPr>
                <w:rFonts w:ascii="Times New Roman" w:hAnsi="Times New Roman"/>
                <w:b/>
                <w:szCs w:val="21"/>
              </w:rPr>
            </w:pPr>
            <w:r>
              <w:rPr>
                <w:rFonts w:ascii="Times New Roman" w:hAnsi="Times New Roman"/>
                <w:b/>
                <w:szCs w:val="21"/>
              </w:rPr>
              <w:t>面积（㎡）</w:t>
            </w:r>
          </w:p>
        </w:tc>
        <w:tc>
          <w:tcPr>
            <w:tcW w:w="901" w:type="dxa"/>
            <w:noWrap w:val="0"/>
            <w:vAlign w:val="center"/>
          </w:tcPr>
          <w:p w14:paraId="53561FD7">
            <w:pPr>
              <w:adjustRightInd w:val="0"/>
              <w:snapToGrid w:val="0"/>
              <w:jc w:val="center"/>
              <w:rPr>
                <w:rFonts w:ascii="Times New Roman" w:hAnsi="Times New Roman"/>
                <w:b/>
                <w:bCs/>
                <w:szCs w:val="21"/>
              </w:rPr>
            </w:pPr>
            <w:r>
              <w:rPr>
                <w:rFonts w:ascii="Times New Roman" w:hAnsi="Times New Roman"/>
                <w:b/>
                <w:bCs/>
                <w:szCs w:val="21"/>
              </w:rPr>
              <w:t>主要</w:t>
            </w:r>
          </w:p>
          <w:p w14:paraId="6AF2C078">
            <w:pPr>
              <w:adjustRightInd w:val="0"/>
              <w:snapToGrid w:val="0"/>
              <w:jc w:val="center"/>
              <w:rPr>
                <w:rFonts w:ascii="Times New Roman" w:hAnsi="Times New Roman"/>
                <w:b/>
                <w:bCs/>
                <w:szCs w:val="21"/>
              </w:rPr>
            </w:pPr>
            <w:r>
              <w:rPr>
                <w:rFonts w:ascii="Times New Roman" w:hAnsi="Times New Roman"/>
                <w:b/>
                <w:bCs/>
                <w:szCs w:val="21"/>
              </w:rPr>
              <w:t>用途</w:t>
            </w:r>
          </w:p>
        </w:tc>
        <w:tc>
          <w:tcPr>
            <w:tcW w:w="1295" w:type="dxa"/>
            <w:noWrap w:val="0"/>
            <w:vAlign w:val="center"/>
          </w:tcPr>
          <w:p w14:paraId="0BB85FF4">
            <w:pPr>
              <w:adjustRightInd w:val="0"/>
              <w:snapToGrid w:val="0"/>
              <w:jc w:val="center"/>
              <w:rPr>
                <w:rFonts w:ascii="Times New Roman" w:hAnsi="Times New Roman"/>
                <w:b/>
                <w:bCs/>
                <w:szCs w:val="21"/>
              </w:rPr>
            </w:pPr>
            <w:r>
              <w:rPr>
                <w:rFonts w:ascii="Times New Roman" w:hAnsi="Times New Roman"/>
                <w:b/>
                <w:bCs/>
                <w:szCs w:val="21"/>
              </w:rPr>
              <w:t>租赁期限</w:t>
            </w:r>
          </w:p>
        </w:tc>
      </w:tr>
      <w:tr w14:paraId="1557C3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25" w:type="dxa"/>
            <w:noWrap w:val="0"/>
            <w:vAlign w:val="center"/>
          </w:tcPr>
          <w:p w14:paraId="42267F97">
            <w:pPr>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1</w:t>
            </w:r>
          </w:p>
        </w:tc>
        <w:tc>
          <w:tcPr>
            <w:tcW w:w="1252" w:type="dxa"/>
            <w:noWrap w:val="0"/>
            <w:vAlign w:val="center"/>
          </w:tcPr>
          <w:p w14:paraId="60F8DB43">
            <w:pPr>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杭州东晙</w:t>
            </w:r>
          </w:p>
        </w:tc>
        <w:tc>
          <w:tcPr>
            <w:tcW w:w="1437" w:type="dxa"/>
            <w:noWrap w:val="0"/>
            <w:vAlign w:val="center"/>
          </w:tcPr>
          <w:p w14:paraId="64E1E0ED">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杭州德必文化创意有限公司</w:t>
            </w:r>
          </w:p>
        </w:tc>
        <w:tc>
          <w:tcPr>
            <w:tcW w:w="2019" w:type="dxa"/>
            <w:noWrap w:val="0"/>
            <w:vAlign w:val="center"/>
          </w:tcPr>
          <w:p w14:paraId="5C589538">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杭州市上城区东宁路553号</w:t>
            </w:r>
          </w:p>
        </w:tc>
        <w:tc>
          <w:tcPr>
            <w:tcW w:w="975" w:type="dxa"/>
            <w:noWrap w:val="0"/>
            <w:vAlign w:val="center"/>
          </w:tcPr>
          <w:p w14:paraId="0294CDC6">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30.26</w:t>
            </w:r>
          </w:p>
        </w:tc>
        <w:tc>
          <w:tcPr>
            <w:tcW w:w="901" w:type="dxa"/>
            <w:noWrap w:val="0"/>
            <w:vAlign w:val="center"/>
          </w:tcPr>
          <w:p w14:paraId="3ED14DCB">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办公</w:t>
            </w:r>
          </w:p>
        </w:tc>
        <w:tc>
          <w:tcPr>
            <w:tcW w:w="1295" w:type="dxa"/>
            <w:noWrap w:val="0"/>
            <w:vAlign w:val="center"/>
          </w:tcPr>
          <w:p w14:paraId="59BF701C">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2025.08.01-2026.07.31</w:t>
            </w:r>
          </w:p>
        </w:tc>
      </w:tr>
      <w:tr w14:paraId="5D1BEC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25" w:type="dxa"/>
            <w:noWrap w:val="0"/>
            <w:vAlign w:val="center"/>
          </w:tcPr>
          <w:p w14:paraId="2984F734">
            <w:pPr>
              <w:adjustRightInd w:val="0"/>
              <w:snapToGrid w:val="0"/>
              <w:jc w:val="center"/>
              <w:rPr>
                <w:rFonts w:hint="eastAsia" w:ascii="Times New Roman" w:hAnsi="Times New Roman"/>
                <w:color w:val="000000"/>
                <w:szCs w:val="21"/>
                <w:lang w:bidi="ar"/>
              </w:rPr>
            </w:pPr>
            <w:r>
              <w:rPr>
                <w:rFonts w:hint="eastAsia" w:ascii="Times New Roman" w:hAnsi="Times New Roman"/>
                <w:color w:val="000000"/>
                <w:szCs w:val="21"/>
                <w:lang w:bidi="ar"/>
              </w:rPr>
              <w:t>2</w:t>
            </w:r>
          </w:p>
        </w:tc>
        <w:tc>
          <w:tcPr>
            <w:tcW w:w="1252" w:type="dxa"/>
            <w:noWrap w:val="0"/>
            <w:vAlign w:val="center"/>
          </w:tcPr>
          <w:p w14:paraId="47751BF4">
            <w:pPr>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乐呗科技</w:t>
            </w:r>
          </w:p>
        </w:tc>
        <w:tc>
          <w:tcPr>
            <w:tcW w:w="1437" w:type="dxa"/>
            <w:noWrap w:val="0"/>
            <w:vAlign w:val="center"/>
          </w:tcPr>
          <w:p w14:paraId="1D8E2B37">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大悦城控股集团股份有限公司</w:t>
            </w:r>
          </w:p>
        </w:tc>
        <w:tc>
          <w:tcPr>
            <w:tcW w:w="2019" w:type="dxa"/>
            <w:noWrap w:val="0"/>
            <w:vAlign w:val="center"/>
          </w:tcPr>
          <w:p w14:paraId="6BE00745">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深圳市宝安区新安街道宝民路中粮地产集团中心1栋21层2104室</w:t>
            </w:r>
          </w:p>
        </w:tc>
        <w:tc>
          <w:tcPr>
            <w:tcW w:w="975" w:type="dxa"/>
            <w:noWrap w:val="0"/>
            <w:vAlign w:val="center"/>
          </w:tcPr>
          <w:p w14:paraId="2B1EA805">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17</w:t>
            </w:r>
          </w:p>
        </w:tc>
        <w:tc>
          <w:tcPr>
            <w:tcW w:w="901" w:type="dxa"/>
            <w:noWrap w:val="0"/>
            <w:vAlign w:val="center"/>
          </w:tcPr>
          <w:p w14:paraId="2BF0F9ED">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办公</w:t>
            </w:r>
          </w:p>
        </w:tc>
        <w:tc>
          <w:tcPr>
            <w:tcW w:w="1295" w:type="dxa"/>
            <w:noWrap w:val="0"/>
            <w:vAlign w:val="center"/>
          </w:tcPr>
          <w:p w14:paraId="7F6EA93C">
            <w:pPr>
              <w:widowControl/>
              <w:adjustRightInd w:val="0"/>
              <w:snapToGrid w:val="0"/>
              <w:jc w:val="center"/>
              <w:rPr>
                <w:rFonts w:ascii="Times New Roman" w:hAnsi="Times New Roman"/>
                <w:color w:val="000000"/>
                <w:szCs w:val="21"/>
                <w:lang w:bidi="ar"/>
              </w:rPr>
            </w:pPr>
            <w:r>
              <w:rPr>
                <w:rFonts w:ascii="Times New Roman" w:hAnsi="Times New Roman"/>
                <w:color w:val="000000"/>
                <w:szCs w:val="21"/>
                <w:lang w:bidi="ar"/>
              </w:rPr>
              <w:t>2026.01.13-2026.7.12</w:t>
            </w:r>
          </w:p>
        </w:tc>
      </w:tr>
    </w:tbl>
    <w:p w14:paraId="612AD500">
      <w:pPr>
        <w:tabs>
          <w:tab w:val="left" w:pos="709"/>
        </w:tabs>
        <w:snapToGrid w:val="0"/>
        <w:spacing w:before="156" w:beforeLines="50" w:after="156" w:afterLines="50" w:line="360" w:lineRule="auto"/>
        <w:ind w:firstLine="480" w:firstLineChars="200"/>
        <w:rPr>
          <w:rFonts w:ascii="Times New Roman" w:hAnsi="Times New Roman"/>
          <w:color w:val="000000"/>
          <w:kern w:val="0"/>
          <w:sz w:val="24"/>
        </w:rPr>
      </w:pPr>
      <w:r>
        <w:rPr>
          <w:rFonts w:hint="eastAsia" w:ascii="Times New Roman" w:hAnsi="Times New Roman"/>
          <w:color w:val="000000"/>
          <w:kern w:val="0"/>
          <w:sz w:val="24"/>
        </w:rPr>
        <w:t>除上述变化外，星云开物及其子公司</w:t>
      </w:r>
      <w:r>
        <w:rPr>
          <w:rFonts w:hint="eastAsia"/>
          <w:sz w:val="24"/>
        </w:rPr>
        <w:t>正在使用的主要租赁房屋</w:t>
      </w:r>
      <w:r>
        <w:rPr>
          <w:rFonts w:ascii="Times New Roman" w:hAnsi="Times New Roman"/>
          <w:color w:val="000000"/>
          <w:kern w:val="0"/>
          <w:sz w:val="24"/>
        </w:rPr>
        <w:t>情况</w:t>
      </w:r>
      <w:r>
        <w:rPr>
          <w:rFonts w:hint="eastAsia" w:ascii="Times New Roman" w:hAnsi="Times New Roman"/>
          <w:color w:val="000000"/>
          <w:kern w:val="0"/>
          <w:sz w:val="24"/>
        </w:rPr>
        <w:t>未发生变化。</w:t>
      </w:r>
    </w:p>
    <w:p w14:paraId="5BE474C7">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ascii="Times New Roman" w:hAnsi="Times New Roman"/>
          <w:b/>
          <w:bCs/>
          <w:sz w:val="24"/>
        </w:rPr>
        <w:t>7、</w:t>
      </w:r>
      <w:r>
        <w:rPr>
          <w:rFonts w:ascii="Times New Roman" w:hAnsi="Times New Roman"/>
          <w:b/>
          <w:bCs/>
          <w:sz w:val="24"/>
          <w:lang w:eastAsia="zh"/>
        </w:rPr>
        <w:t>主要</w:t>
      </w:r>
      <w:r>
        <w:rPr>
          <w:rFonts w:ascii="Times New Roman" w:hAnsi="Times New Roman"/>
          <w:b/>
          <w:bCs/>
          <w:sz w:val="24"/>
        </w:rPr>
        <w:t>经营设备</w:t>
      </w:r>
    </w:p>
    <w:p w14:paraId="1CC176EA">
      <w:pPr>
        <w:pStyle w:val="39"/>
        <w:adjustRightInd w:val="0"/>
        <w:snapToGrid w:val="0"/>
        <w:spacing w:before="156" w:beforeLines="50" w:after="156" w:afterLines="50"/>
        <w:ind w:firstLine="488"/>
        <w:rPr>
          <w:spacing w:val="-4"/>
          <w:szCs w:val="24"/>
        </w:rPr>
      </w:pPr>
      <w:r>
        <w:rPr>
          <w:spacing w:val="2"/>
          <w:szCs w:val="24"/>
        </w:rPr>
        <w:t>根据《审计报告》</w:t>
      </w:r>
      <w:r>
        <w:rPr>
          <w:rFonts w:hint="eastAsia"/>
          <w:spacing w:val="2"/>
          <w:szCs w:val="24"/>
        </w:rPr>
        <w:t>，</w:t>
      </w:r>
      <w:r>
        <w:rPr>
          <w:spacing w:val="2"/>
          <w:szCs w:val="24"/>
        </w:rPr>
        <w:t>星云开物的固定资产包括</w:t>
      </w:r>
      <w:r>
        <w:rPr>
          <w:rFonts w:hint="eastAsia"/>
          <w:spacing w:val="2"/>
          <w:szCs w:val="24"/>
        </w:rPr>
        <w:t>机器设备、</w:t>
      </w:r>
      <w:r>
        <w:rPr>
          <w:spacing w:val="2"/>
          <w:szCs w:val="24"/>
        </w:rPr>
        <w:t>运输</w:t>
      </w:r>
      <w:r>
        <w:rPr>
          <w:rFonts w:hint="eastAsia"/>
          <w:spacing w:val="2"/>
          <w:szCs w:val="24"/>
        </w:rPr>
        <w:t>工具</w:t>
      </w:r>
      <w:r>
        <w:rPr>
          <w:spacing w:val="2"/>
          <w:szCs w:val="24"/>
        </w:rPr>
        <w:t>、电子设备、办公设备</w:t>
      </w:r>
      <w:r>
        <w:rPr>
          <w:rFonts w:hint="eastAsia"/>
          <w:spacing w:val="2"/>
          <w:szCs w:val="24"/>
        </w:rPr>
        <w:t>及其他</w:t>
      </w:r>
      <w:r>
        <w:rPr>
          <w:spacing w:val="2"/>
          <w:szCs w:val="24"/>
        </w:rPr>
        <w:t>，截至2025年</w:t>
      </w:r>
      <w:r>
        <w:rPr>
          <w:rFonts w:hint="eastAsia"/>
          <w:spacing w:val="2"/>
          <w:szCs w:val="24"/>
        </w:rPr>
        <w:t>12</w:t>
      </w:r>
      <w:r>
        <w:rPr>
          <w:spacing w:val="2"/>
          <w:szCs w:val="24"/>
        </w:rPr>
        <w:t>月3</w:t>
      </w:r>
      <w:r>
        <w:rPr>
          <w:rFonts w:hint="eastAsia"/>
          <w:spacing w:val="2"/>
          <w:szCs w:val="24"/>
        </w:rPr>
        <w:t>1</w:t>
      </w:r>
      <w:r>
        <w:rPr>
          <w:spacing w:val="2"/>
          <w:szCs w:val="24"/>
        </w:rPr>
        <w:t>日，前述固定资产的账面价值为8</w:t>
      </w:r>
      <w:r>
        <w:rPr>
          <w:rFonts w:hint="eastAsia"/>
          <w:spacing w:val="2"/>
          <w:szCs w:val="24"/>
        </w:rPr>
        <w:t>00.94</w:t>
      </w:r>
      <w:r>
        <w:rPr>
          <w:spacing w:val="2"/>
          <w:szCs w:val="24"/>
        </w:rPr>
        <w:t>万元。根据星云开物的确认并经本所律师核查，星云开物及其子公司拥有的前述主要固定资产不存在抵押、质押、查封、冻结等权利受到限制的情形。</w:t>
      </w:r>
    </w:p>
    <w:p w14:paraId="612C4FDB">
      <w:pPr>
        <w:tabs>
          <w:tab w:val="left" w:pos="709"/>
        </w:tabs>
        <w:snapToGrid w:val="0"/>
        <w:spacing w:before="156" w:beforeLines="50" w:after="156" w:afterLines="50" w:line="360" w:lineRule="auto"/>
        <w:ind w:firstLine="482" w:firstLineChars="200"/>
        <w:outlineLvl w:val="2"/>
        <w:rPr>
          <w:rFonts w:ascii="Times New Roman" w:hAnsi="Times New Roman"/>
          <w:b/>
          <w:bCs/>
          <w:sz w:val="24"/>
        </w:rPr>
      </w:pPr>
      <w:r>
        <w:rPr>
          <w:rFonts w:hint="eastAsia" w:ascii="Times New Roman" w:hAnsi="Times New Roman"/>
          <w:b/>
          <w:bCs/>
          <w:sz w:val="24"/>
        </w:rPr>
        <w:t>8、</w:t>
      </w:r>
      <w:r>
        <w:rPr>
          <w:rFonts w:ascii="Times New Roman" w:hAnsi="Times New Roman"/>
          <w:b/>
          <w:bCs/>
          <w:sz w:val="24"/>
        </w:rPr>
        <w:t>主要财产受限情况</w:t>
      </w:r>
    </w:p>
    <w:p w14:paraId="765404E6">
      <w:pPr>
        <w:widowControl/>
        <w:adjustRightInd w:val="0"/>
        <w:snapToGrid w:val="0"/>
        <w:spacing w:before="156" w:beforeLines="50" w:line="360" w:lineRule="auto"/>
        <w:ind w:firstLine="488" w:firstLineChars="200"/>
        <w:rPr>
          <w:rFonts w:ascii="Times New Roman" w:hAnsi="Times New Roman"/>
          <w:kern w:val="0"/>
          <w:sz w:val="24"/>
          <w:lang w:eastAsia="zh"/>
        </w:rPr>
      </w:pPr>
      <w:r>
        <w:rPr>
          <w:rFonts w:ascii="Times New Roman" w:hAnsi="Times New Roman"/>
          <w:spacing w:val="2"/>
          <w:sz w:val="24"/>
        </w:rPr>
        <w:t>本所律师已在</w:t>
      </w:r>
      <w:r>
        <w:rPr>
          <w:rFonts w:ascii="Times New Roman" w:hAnsi="Times New Roman"/>
          <w:spacing w:val="-4"/>
          <w:sz w:val="24"/>
        </w:rPr>
        <w:t>《法律意见书》</w:t>
      </w:r>
      <w:r>
        <w:rPr>
          <w:rFonts w:ascii="Times New Roman" w:hAnsi="Times New Roman"/>
          <w:spacing w:val="2"/>
          <w:sz w:val="24"/>
        </w:rPr>
        <w:t>中披露</w:t>
      </w:r>
      <w:r>
        <w:rPr>
          <w:rFonts w:hint="eastAsia" w:ascii="Times New Roman" w:hAnsi="Times New Roman"/>
          <w:spacing w:val="2"/>
          <w:sz w:val="24"/>
        </w:rPr>
        <w:t>星云开物主要财产受限情况</w:t>
      </w:r>
      <w:r>
        <w:rPr>
          <w:rFonts w:ascii="Times New Roman" w:hAnsi="Times New Roman"/>
          <w:spacing w:val="2"/>
          <w:sz w:val="24"/>
        </w:rPr>
        <w:t>。</w:t>
      </w:r>
      <w:r>
        <w:rPr>
          <w:rFonts w:ascii="Times New Roman" w:hAnsi="Times New Roman"/>
          <w:kern w:val="0"/>
          <w:sz w:val="24"/>
        </w:rPr>
        <w:t>经核查，截至本</w:t>
      </w:r>
      <w:r>
        <w:rPr>
          <w:rFonts w:hint="eastAsia" w:ascii="Times New Roman" w:hAnsi="Times New Roman"/>
          <w:kern w:val="0"/>
          <w:sz w:val="24"/>
        </w:rPr>
        <w:t>补充</w:t>
      </w:r>
      <w:r>
        <w:rPr>
          <w:rFonts w:ascii="Times New Roman" w:hAnsi="Times New Roman"/>
          <w:kern w:val="0"/>
          <w:sz w:val="24"/>
        </w:rPr>
        <w:t>法律意见书出具日，星云开物经营相关的主要财产不存在抵押、质押、司法冻结或其他权利受限情形</w:t>
      </w:r>
      <w:r>
        <w:rPr>
          <w:rFonts w:ascii="Times New Roman" w:hAnsi="Times New Roman"/>
          <w:kern w:val="0"/>
          <w:sz w:val="24"/>
          <w:lang w:eastAsia="zh"/>
        </w:rPr>
        <w:t>。</w:t>
      </w:r>
    </w:p>
    <w:p w14:paraId="3B4646F1">
      <w:pPr>
        <w:adjustRightInd w:val="0"/>
        <w:snapToGrid w:val="0"/>
        <w:spacing w:before="156" w:beforeLines="50" w:line="360" w:lineRule="auto"/>
        <w:ind w:firstLine="482" w:firstLineChars="200"/>
        <w:rPr>
          <w:rFonts w:ascii="Times New Roman" w:hAnsi="Times New Roman"/>
          <w:b/>
          <w:bCs/>
          <w:kern w:val="0"/>
          <w:sz w:val="24"/>
          <w:lang w:eastAsia="zh"/>
        </w:rPr>
      </w:pPr>
      <w:r>
        <w:rPr>
          <w:rFonts w:ascii="Times New Roman" w:hAnsi="Times New Roman"/>
          <w:b/>
          <w:bCs/>
          <w:kern w:val="0"/>
          <w:sz w:val="24"/>
          <w:lang w:eastAsia="zh"/>
        </w:rPr>
        <w:t>综上，</w:t>
      </w:r>
      <w:r>
        <w:rPr>
          <w:rFonts w:hint="eastAsia" w:ascii="Times New Roman" w:hAnsi="Times New Roman"/>
          <w:b/>
          <w:bCs/>
          <w:kern w:val="0"/>
          <w:sz w:val="24"/>
        </w:rPr>
        <w:t>本所认为：</w:t>
      </w:r>
    </w:p>
    <w:p w14:paraId="2A12CD27">
      <w:pPr>
        <w:adjustRightInd w:val="0"/>
        <w:snapToGrid w:val="0"/>
        <w:spacing w:before="156" w:beforeLines="50" w:line="360" w:lineRule="auto"/>
        <w:ind w:firstLine="482" w:firstLineChars="200"/>
        <w:rPr>
          <w:rFonts w:ascii="Times New Roman" w:hAnsi="Times New Roman"/>
          <w:b/>
          <w:bCs/>
          <w:kern w:val="0"/>
          <w:sz w:val="24"/>
        </w:rPr>
      </w:pPr>
      <w:r>
        <w:rPr>
          <w:rFonts w:ascii="Times New Roman" w:hAnsi="Times New Roman"/>
          <w:b/>
          <w:bCs/>
          <w:kern w:val="0"/>
          <w:sz w:val="24"/>
        </w:rPr>
        <w:t>截至本</w:t>
      </w:r>
      <w:r>
        <w:rPr>
          <w:rFonts w:hint="eastAsia" w:ascii="Times New Roman" w:hAnsi="Times New Roman"/>
          <w:b/>
          <w:bCs/>
          <w:kern w:val="0"/>
          <w:sz w:val="24"/>
        </w:rPr>
        <w:t>补充</w:t>
      </w:r>
      <w:r>
        <w:rPr>
          <w:rFonts w:ascii="Times New Roman" w:hAnsi="Times New Roman"/>
          <w:b/>
          <w:bCs/>
          <w:kern w:val="0"/>
          <w:sz w:val="24"/>
        </w:rPr>
        <w:t>法律意见书出具日，星云开物及其子公司</w:t>
      </w:r>
      <w:r>
        <w:rPr>
          <w:rFonts w:ascii="Times New Roman" w:hAnsi="Times New Roman"/>
          <w:b/>
          <w:bCs/>
          <w:kern w:val="0"/>
          <w:sz w:val="24"/>
          <w:lang w:eastAsia="zh"/>
        </w:rPr>
        <w:t>合法拥有</w:t>
      </w:r>
      <w:r>
        <w:rPr>
          <w:rFonts w:ascii="Times New Roman" w:hAnsi="Times New Roman"/>
          <w:b/>
          <w:bCs/>
          <w:kern w:val="0"/>
          <w:sz w:val="24"/>
        </w:rPr>
        <w:t>主要财产的所有权或使用权，星云开物</w:t>
      </w:r>
      <w:r>
        <w:rPr>
          <w:rFonts w:ascii="Times New Roman" w:hAnsi="Times New Roman"/>
          <w:b/>
          <w:bCs/>
          <w:kern w:val="0"/>
          <w:sz w:val="24"/>
          <w:lang w:eastAsia="zh"/>
        </w:rPr>
        <w:t>主要资产</w:t>
      </w:r>
      <w:r>
        <w:rPr>
          <w:rFonts w:ascii="Times New Roman" w:hAnsi="Times New Roman"/>
          <w:b/>
          <w:bCs/>
          <w:kern w:val="0"/>
          <w:sz w:val="24"/>
        </w:rPr>
        <w:t>的所有权和使用权不存在权利受到限制的情况。</w:t>
      </w:r>
    </w:p>
    <w:p w14:paraId="796738D1">
      <w:pPr>
        <w:pStyle w:val="39"/>
        <w:adjustRightInd w:val="0"/>
        <w:snapToGrid w:val="0"/>
        <w:spacing w:before="156" w:beforeLines="50" w:after="156" w:afterLines="50"/>
        <w:ind w:firstLine="482"/>
        <w:outlineLvl w:val="1"/>
        <w:rPr>
          <w:b/>
          <w:bCs/>
          <w:color w:val="000000"/>
          <w:kern w:val="0"/>
          <w:szCs w:val="24"/>
        </w:rPr>
      </w:pPr>
      <w:bookmarkStart w:id="38" w:name="_Toc23166"/>
      <w:r>
        <w:rPr>
          <w:b/>
          <w:bCs/>
          <w:color w:val="000000"/>
          <w:kern w:val="0"/>
          <w:szCs w:val="24"/>
        </w:rPr>
        <w:t>（五）标的公司的重大债权债务</w:t>
      </w:r>
      <w:bookmarkEnd w:id="38"/>
    </w:p>
    <w:p w14:paraId="449FC8ED">
      <w:pPr>
        <w:widowControl/>
        <w:adjustRightInd w:val="0"/>
        <w:snapToGrid w:val="0"/>
        <w:spacing w:before="156" w:beforeLines="50" w:after="156" w:afterLines="50" w:line="360" w:lineRule="auto"/>
        <w:ind w:firstLine="482" w:firstLineChars="200"/>
        <w:outlineLvl w:val="2"/>
        <w:rPr>
          <w:rFonts w:hint="eastAsia" w:ascii="Times New Roman" w:hAnsi="Times New Roman"/>
          <w:b/>
          <w:bCs/>
          <w:color w:val="000000"/>
          <w:kern w:val="0"/>
          <w:sz w:val="24"/>
        </w:rPr>
      </w:pPr>
      <w:r>
        <w:rPr>
          <w:rFonts w:hint="eastAsia" w:ascii="Times New Roman" w:hAnsi="Times New Roman"/>
          <w:b/>
          <w:bCs/>
          <w:color w:val="000000"/>
          <w:kern w:val="0"/>
          <w:sz w:val="24"/>
        </w:rPr>
        <w:t>1、重大合同</w:t>
      </w:r>
    </w:p>
    <w:p w14:paraId="67ED420F">
      <w:pPr>
        <w:widowControl/>
        <w:adjustRightInd w:val="0"/>
        <w:snapToGrid w:val="0"/>
        <w:spacing w:before="156" w:beforeLines="50" w:after="156" w:afterLines="50" w:line="360" w:lineRule="auto"/>
        <w:ind w:firstLine="482" w:firstLineChars="200"/>
        <w:rPr>
          <w:rFonts w:ascii="Times New Roman" w:hAnsi="Times New Roman"/>
          <w:b/>
          <w:bCs/>
          <w:kern w:val="0"/>
          <w:sz w:val="24"/>
        </w:rPr>
      </w:pPr>
      <w:r>
        <w:rPr>
          <w:rFonts w:ascii="Times New Roman" w:hAnsi="Times New Roman"/>
          <w:b/>
          <w:bCs/>
          <w:kern w:val="0"/>
          <w:sz w:val="24"/>
        </w:rPr>
        <w:t>（1）借款、授信及担保合同</w:t>
      </w:r>
    </w:p>
    <w:p w14:paraId="3CD024C1">
      <w:pPr>
        <w:widowControl/>
        <w:adjustRightInd w:val="0"/>
        <w:snapToGrid w:val="0"/>
        <w:spacing w:before="156" w:beforeLines="50" w:line="360" w:lineRule="auto"/>
        <w:ind w:firstLine="488" w:firstLineChars="200"/>
        <w:rPr>
          <w:rFonts w:hint="eastAsia" w:ascii="Times New Roman" w:hAnsi="Times New Roman"/>
          <w:kern w:val="0"/>
          <w:sz w:val="24"/>
        </w:rPr>
      </w:pPr>
      <w:r>
        <w:rPr>
          <w:rFonts w:ascii="Times New Roman" w:hAnsi="Times New Roman"/>
          <w:spacing w:val="2"/>
          <w:sz w:val="24"/>
        </w:rPr>
        <w:t>本所律师已在</w:t>
      </w:r>
      <w:r>
        <w:rPr>
          <w:rFonts w:ascii="Times New Roman" w:hAnsi="Times New Roman"/>
          <w:spacing w:val="-4"/>
          <w:sz w:val="24"/>
        </w:rPr>
        <w:t>《法律意见书》</w:t>
      </w:r>
      <w:r>
        <w:rPr>
          <w:rFonts w:ascii="Times New Roman" w:hAnsi="Times New Roman"/>
          <w:spacing w:val="2"/>
          <w:sz w:val="24"/>
        </w:rPr>
        <w:t>中披露</w:t>
      </w:r>
      <w:r>
        <w:rPr>
          <w:rFonts w:hint="eastAsia" w:ascii="Times New Roman" w:hAnsi="Times New Roman"/>
          <w:spacing w:val="2"/>
          <w:sz w:val="24"/>
        </w:rPr>
        <w:t>星云开物截至2025年6月30日正在履行的借款、授信及担保合同</w:t>
      </w:r>
      <w:r>
        <w:rPr>
          <w:rFonts w:ascii="Times New Roman" w:hAnsi="Times New Roman"/>
          <w:spacing w:val="2"/>
          <w:sz w:val="24"/>
        </w:rPr>
        <w:t>。</w:t>
      </w:r>
      <w:r>
        <w:rPr>
          <w:rFonts w:ascii="Times New Roman" w:hAnsi="Times New Roman"/>
          <w:sz w:val="24"/>
        </w:rPr>
        <w:t>经核查，</w:t>
      </w:r>
      <w:r>
        <w:rPr>
          <w:rFonts w:ascii="Times New Roman" w:hAnsi="Times New Roman"/>
          <w:spacing w:val="2"/>
          <w:sz w:val="24"/>
        </w:rPr>
        <w:t>截至2025年</w:t>
      </w:r>
      <w:r>
        <w:rPr>
          <w:rFonts w:hint="eastAsia" w:ascii="Times New Roman" w:hAnsi="Times New Roman"/>
          <w:spacing w:val="2"/>
          <w:sz w:val="24"/>
        </w:rPr>
        <w:t>12</w:t>
      </w:r>
      <w:r>
        <w:rPr>
          <w:rFonts w:ascii="Times New Roman" w:hAnsi="Times New Roman"/>
          <w:spacing w:val="2"/>
          <w:sz w:val="24"/>
        </w:rPr>
        <w:t>月3</w:t>
      </w:r>
      <w:r>
        <w:rPr>
          <w:rFonts w:hint="eastAsia" w:ascii="Times New Roman" w:hAnsi="Times New Roman"/>
          <w:spacing w:val="2"/>
          <w:sz w:val="24"/>
        </w:rPr>
        <w:t>1</w:t>
      </w:r>
      <w:r>
        <w:rPr>
          <w:rFonts w:ascii="Times New Roman" w:hAnsi="Times New Roman"/>
          <w:spacing w:val="2"/>
          <w:sz w:val="24"/>
        </w:rPr>
        <w:t>日</w:t>
      </w:r>
      <w:r>
        <w:rPr>
          <w:rFonts w:ascii="Times New Roman" w:hAnsi="Times New Roman"/>
          <w:sz w:val="24"/>
        </w:rPr>
        <w:t>，</w:t>
      </w:r>
      <w:r>
        <w:rPr>
          <w:rFonts w:ascii="Times New Roman" w:hAnsi="Times New Roman"/>
          <w:kern w:val="0"/>
          <w:sz w:val="24"/>
        </w:rPr>
        <w:t>星云开物不存在</w:t>
      </w:r>
      <w:r>
        <w:rPr>
          <w:rFonts w:hint="eastAsia" w:ascii="Times New Roman" w:hAnsi="Times New Roman"/>
          <w:kern w:val="0"/>
          <w:sz w:val="24"/>
        </w:rPr>
        <w:t>新增正在履行的借款、授信及担保合同情况。</w:t>
      </w:r>
    </w:p>
    <w:p w14:paraId="714B12C3">
      <w:pPr>
        <w:widowControl/>
        <w:adjustRightInd w:val="0"/>
        <w:snapToGrid w:val="0"/>
        <w:spacing w:before="156" w:beforeLines="50" w:line="360" w:lineRule="auto"/>
        <w:ind w:firstLine="482" w:firstLineChars="200"/>
        <w:rPr>
          <w:rFonts w:ascii="Times New Roman" w:hAnsi="Times New Roman"/>
          <w:b/>
          <w:bCs/>
          <w:kern w:val="0"/>
          <w:sz w:val="24"/>
        </w:rPr>
      </w:pPr>
      <w:r>
        <w:rPr>
          <w:rFonts w:ascii="Times New Roman" w:hAnsi="Times New Roman"/>
          <w:b/>
          <w:bCs/>
          <w:kern w:val="0"/>
          <w:sz w:val="24"/>
        </w:rPr>
        <w:t>（2）业务合同</w:t>
      </w:r>
    </w:p>
    <w:p w14:paraId="326A7CE6">
      <w:pPr>
        <w:widowControl/>
        <w:adjustRightInd w:val="0"/>
        <w:snapToGrid w:val="0"/>
        <w:spacing w:before="156" w:beforeLines="50" w:line="360" w:lineRule="auto"/>
        <w:ind w:firstLine="482" w:firstLineChars="200"/>
        <w:rPr>
          <w:rFonts w:ascii="Times New Roman" w:hAnsi="Times New Roman"/>
          <w:b/>
          <w:bCs/>
          <w:kern w:val="0"/>
          <w:sz w:val="24"/>
        </w:rPr>
      </w:pPr>
      <w:r>
        <w:rPr>
          <w:rFonts w:ascii="Times New Roman" w:hAnsi="Times New Roman"/>
          <w:b/>
          <w:bCs/>
          <w:kern w:val="0"/>
          <w:sz w:val="24"/>
        </w:rPr>
        <w:t>①采购合同</w:t>
      </w:r>
    </w:p>
    <w:p w14:paraId="7DC1FF91">
      <w:pPr>
        <w:widowControl/>
        <w:adjustRightInd w:val="0"/>
        <w:snapToGrid w:val="0"/>
        <w:spacing w:before="156" w:beforeLines="50" w:after="156" w:afterLines="50" w:line="360" w:lineRule="auto"/>
        <w:ind w:firstLine="488" w:firstLineChars="200"/>
        <w:rPr>
          <w:rFonts w:hint="eastAsia" w:ascii="Times New Roman" w:hAnsi="Times New Roman"/>
          <w:kern w:val="0"/>
          <w:sz w:val="24"/>
        </w:rPr>
      </w:pPr>
      <w:r>
        <w:rPr>
          <w:rFonts w:ascii="Times New Roman" w:hAnsi="Times New Roman"/>
          <w:spacing w:val="2"/>
          <w:sz w:val="24"/>
        </w:rPr>
        <w:t>本所律师已在</w:t>
      </w:r>
      <w:r>
        <w:rPr>
          <w:rFonts w:ascii="Times New Roman" w:hAnsi="Times New Roman"/>
          <w:spacing w:val="-4"/>
          <w:sz w:val="24"/>
        </w:rPr>
        <w:t>《法律意见书》</w:t>
      </w:r>
      <w:r>
        <w:rPr>
          <w:rFonts w:ascii="Times New Roman" w:hAnsi="Times New Roman"/>
          <w:spacing w:val="2"/>
          <w:sz w:val="24"/>
        </w:rPr>
        <w:t>中披露</w:t>
      </w:r>
      <w:r>
        <w:rPr>
          <w:rFonts w:hint="eastAsia" w:ascii="Times New Roman" w:hAnsi="Times New Roman"/>
          <w:spacing w:val="2"/>
          <w:sz w:val="24"/>
        </w:rPr>
        <w:t>星云开物</w:t>
      </w:r>
      <w:r>
        <w:rPr>
          <w:rFonts w:ascii="Times New Roman" w:hAnsi="Times New Roman"/>
          <w:spacing w:val="2"/>
          <w:sz w:val="24"/>
        </w:rPr>
        <w:t>签订的截至2025年</w:t>
      </w:r>
      <w:r>
        <w:rPr>
          <w:rFonts w:hint="eastAsia" w:ascii="Times New Roman" w:hAnsi="Times New Roman"/>
          <w:spacing w:val="2"/>
          <w:sz w:val="24"/>
        </w:rPr>
        <w:t>6</w:t>
      </w:r>
      <w:r>
        <w:rPr>
          <w:rFonts w:ascii="Times New Roman" w:hAnsi="Times New Roman"/>
          <w:spacing w:val="2"/>
          <w:sz w:val="24"/>
        </w:rPr>
        <w:t>月3</w:t>
      </w:r>
      <w:r>
        <w:rPr>
          <w:rFonts w:hint="eastAsia" w:ascii="Times New Roman" w:hAnsi="Times New Roman"/>
          <w:spacing w:val="2"/>
          <w:sz w:val="24"/>
        </w:rPr>
        <w:t>0</w:t>
      </w:r>
      <w:r>
        <w:rPr>
          <w:rFonts w:ascii="Times New Roman" w:hAnsi="Times New Roman"/>
          <w:spacing w:val="2"/>
          <w:sz w:val="24"/>
        </w:rPr>
        <w:t>日正在履行的</w:t>
      </w:r>
      <w:r>
        <w:rPr>
          <w:rFonts w:ascii="Times New Roman" w:hAnsi="Times New Roman"/>
          <w:sz w:val="24"/>
        </w:rPr>
        <w:t>重大</w:t>
      </w:r>
      <w:r>
        <w:rPr>
          <w:rFonts w:hint="eastAsia" w:ascii="Times New Roman" w:hAnsi="Times New Roman"/>
          <w:sz w:val="24"/>
        </w:rPr>
        <w:t>采购</w:t>
      </w:r>
      <w:r>
        <w:rPr>
          <w:rFonts w:ascii="Times New Roman" w:hAnsi="Times New Roman"/>
          <w:sz w:val="24"/>
        </w:rPr>
        <w:t>合同或订单</w:t>
      </w:r>
      <w:r>
        <w:rPr>
          <w:rFonts w:ascii="Times New Roman" w:hAnsi="Times New Roman"/>
          <w:spacing w:val="2"/>
          <w:sz w:val="24"/>
        </w:rPr>
        <w:t>的情况。</w:t>
      </w:r>
      <w:r>
        <w:rPr>
          <w:rFonts w:ascii="Times New Roman" w:hAnsi="Times New Roman"/>
          <w:sz w:val="24"/>
        </w:rPr>
        <w:t>经核查，</w:t>
      </w:r>
      <w:r>
        <w:rPr>
          <w:rFonts w:ascii="Times New Roman" w:hAnsi="Times New Roman"/>
          <w:spacing w:val="2"/>
          <w:sz w:val="24"/>
        </w:rPr>
        <w:t>截至2025年</w:t>
      </w:r>
      <w:r>
        <w:rPr>
          <w:rFonts w:hint="eastAsia" w:ascii="Times New Roman" w:hAnsi="Times New Roman"/>
          <w:spacing w:val="2"/>
          <w:sz w:val="24"/>
        </w:rPr>
        <w:t>12</w:t>
      </w:r>
      <w:r>
        <w:rPr>
          <w:rFonts w:ascii="Times New Roman" w:hAnsi="Times New Roman"/>
          <w:spacing w:val="2"/>
          <w:sz w:val="24"/>
        </w:rPr>
        <w:t>月3</w:t>
      </w:r>
      <w:r>
        <w:rPr>
          <w:rFonts w:hint="eastAsia" w:ascii="Times New Roman" w:hAnsi="Times New Roman"/>
          <w:spacing w:val="2"/>
          <w:sz w:val="24"/>
        </w:rPr>
        <w:t>1</w:t>
      </w:r>
      <w:r>
        <w:rPr>
          <w:rFonts w:ascii="Times New Roman" w:hAnsi="Times New Roman"/>
          <w:spacing w:val="2"/>
          <w:sz w:val="24"/>
        </w:rPr>
        <w:t>日</w:t>
      </w:r>
      <w:r>
        <w:rPr>
          <w:rFonts w:ascii="Times New Roman" w:hAnsi="Times New Roman"/>
          <w:sz w:val="24"/>
        </w:rPr>
        <w:t>，</w:t>
      </w:r>
      <w:r>
        <w:rPr>
          <w:rFonts w:hint="eastAsia" w:ascii="Times New Roman" w:hAnsi="Times New Roman"/>
          <w:sz w:val="24"/>
        </w:rPr>
        <w:t>因报告期变化，除</w:t>
      </w:r>
      <w:r>
        <w:rPr>
          <w:rFonts w:ascii="Times New Roman" w:hAnsi="Times New Roman"/>
          <w:spacing w:val="-4"/>
          <w:sz w:val="24"/>
        </w:rPr>
        <w:t>《法律意见书》</w:t>
      </w:r>
      <w:r>
        <w:rPr>
          <w:rFonts w:hint="eastAsia" w:ascii="Times New Roman" w:hAnsi="Times New Roman"/>
          <w:sz w:val="24"/>
        </w:rPr>
        <w:t>中已披露的采购合同或订单外，下列星云开物</w:t>
      </w:r>
      <w:r>
        <w:rPr>
          <w:rFonts w:ascii="Times New Roman" w:hAnsi="Times New Roman"/>
          <w:spacing w:val="2"/>
          <w:sz w:val="24"/>
        </w:rPr>
        <w:t>正在履行的</w:t>
      </w:r>
      <w:r>
        <w:rPr>
          <w:rFonts w:hint="eastAsia" w:ascii="Times New Roman" w:hAnsi="Times New Roman"/>
          <w:spacing w:val="2"/>
          <w:sz w:val="24"/>
        </w:rPr>
        <w:t>合同亦属于</w:t>
      </w:r>
      <w:r>
        <w:rPr>
          <w:rFonts w:hint="eastAsia" w:ascii="Times New Roman" w:hAnsi="Times New Roman"/>
          <w:kern w:val="0"/>
          <w:sz w:val="24"/>
        </w:rPr>
        <w:t>重大</w:t>
      </w:r>
      <w:r>
        <w:rPr>
          <w:rFonts w:ascii="Times New Roman" w:hAnsi="Times New Roman"/>
          <w:kern w:val="0"/>
          <w:sz w:val="24"/>
        </w:rPr>
        <w:t>采购合同</w:t>
      </w:r>
      <w:r>
        <w:rPr>
          <w:rFonts w:hint="eastAsia" w:ascii="Times New Roman" w:hAnsi="Times New Roman"/>
          <w:kern w:val="0"/>
          <w:sz w:val="24"/>
        </w:rPr>
        <w:t>或订单：</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578"/>
        <w:gridCol w:w="1971"/>
        <w:gridCol w:w="1513"/>
        <w:gridCol w:w="1357"/>
        <w:gridCol w:w="1390"/>
      </w:tblGrid>
      <w:tr w14:paraId="0D316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714" w:type="dxa"/>
            <w:noWrap w:val="0"/>
            <w:vAlign w:val="center"/>
          </w:tcPr>
          <w:p w14:paraId="672D5C1E">
            <w:pPr>
              <w:adjustRightInd w:val="0"/>
              <w:snapToGrid w:val="0"/>
              <w:jc w:val="center"/>
              <w:rPr>
                <w:rFonts w:ascii="Times New Roman" w:hAnsi="Times New Roman"/>
                <w:b/>
                <w:bCs/>
                <w:color w:val="000000"/>
                <w:szCs w:val="21"/>
              </w:rPr>
            </w:pPr>
            <w:r>
              <w:rPr>
                <w:rFonts w:ascii="Times New Roman" w:hAnsi="Times New Roman"/>
                <w:b/>
                <w:bCs/>
                <w:color w:val="000000"/>
                <w:szCs w:val="21"/>
              </w:rPr>
              <w:t>序号</w:t>
            </w:r>
          </w:p>
        </w:tc>
        <w:tc>
          <w:tcPr>
            <w:tcW w:w="1579" w:type="dxa"/>
            <w:noWrap w:val="0"/>
            <w:vAlign w:val="center"/>
          </w:tcPr>
          <w:p w14:paraId="56C922AC">
            <w:pPr>
              <w:adjustRightInd w:val="0"/>
              <w:snapToGrid w:val="0"/>
              <w:jc w:val="center"/>
              <w:rPr>
                <w:rFonts w:ascii="Times New Roman" w:hAnsi="Times New Roman"/>
                <w:b/>
                <w:bCs/>
                <w:color w:val="000000"/>
                <w:szCs w:val="21"/>
              </w:rPr>
            </w:pPr>
            <w:r>
              <w:rPr>
                <w:rFonts w:ascii="Times New Roman" w:hAnsi="Times New Roman"/>
                <w:b/>
                <w:bCs/>
                <w:color w:val="000000"/>
                <w:szCs w:val="21"/>
              </w:rPr>
              <w:t>采购主体</w:t>
            </w:r>
          </w:p>
        </w:tc>
        <w:tc>
          <w:tcPr>
            <w:tcW w:w="1972" w:type="dxa"/>
            <w:noWrap w:val="0"/>
            <w:vAlign w:val="center"/>
          </w:tcPr>
          <w:p w14:paraId="6E7FF179">
            <w:pPr>
              <w:adjustRightInd w:val="0"/>
              <w:snapToGrid w:val="0"/>
              <w:jc w:val="center"/>
              <w:rPr>
                <w:rFonts w:ascii="Times New Roman" w:hAnsi="Times New Roman"/>
                <w:b/>
                <w:bCs/>
                <w:color w:val="000000"/>
                <w:szCs w:val="21"/>
              </w:rPr>
            </w:pPr>
            <w:r>
              <w:rPr>
                <w:rFonts w:ascii="Times New Roman" w:hAnsi="Times New Roman"/>
                <w:b/>
                <w:bCs/>
                <w:color w:val="000000"/>
                <w:szCs w:val="21"/>
              </w:rPr>
              <w:t>合同对方</w:t>
            </w:r>
          </w:p>
        </w:tc>
        <w:tc>
          <w:tcPr>
            <w:tcW w:w="1514" w:type="dxa"/>
            <w:noWrap w:val="0"/>
            <w:vAlign w:val="center"/>
          </w:tcPr>
          <w:p w14:paraId="35798F7E">
            <w:pPr>
              <w:adjustRightInd w:val="0"/>
              <w:snapToGrid w:val="0"/>
              <w:jc w:val="center"/>
              <w:rPr>
                <w:rFonts w:ascii="Times New Roman" w:hAnsi="Times New Roman"/>
                <w:b/>
                <w:bCs/>
                <w:color w:val="000000"/>
                <w:szCs w:val="21"/>
              </w:rPr>
            </w:pPr>
            <w:r>
              <w:rPr>
                <w:rFonts w:ascii="Times New Roman" w:hAnsi="Times New Roman"/>
                <w:b/>
                <w:bCs/>
                <w:color w:val="000000"/>
                <w:szCs w:val="21"/>
              </w:rPr>
              <w:t>采购内容</w:t>
            </w:r>
          </w:p>
        </w:tc>
        <w:tc>
          <w:tcPr>
            <w:tcW w:w="1358" w:type="dxa"/>
            <w:noWrap w:val="0"/>
            <w:vAlign w:val="center"/>
          </w:tcPr>
          <w:p w14:paraId="7805100A">
            <w:pPr>
              <w:adjustRightInd w:val="0"/>
              <w:snapToGrid w:val="0"/>
              <w:jc w:val="center"/>
              <w:rPr>
                <w:rFonts w:ascii="Times New Roman" w:hAnsi="Times New Roman"/>
                <w:b/>
                <w:bCs/>
                <w:color w:val="000000"/>
                <w:szCs w:val="21"/>
              </w:rPr>
            </w:pPr>
            <w:r>
              <w:rPr>
                <w:rFonts w:ascii="Times New Roman" w:hAnsi="Times New Roman"/>
                <w:b/>
                <w:bCs/>
                <w:color w:val="000000"/>
                <w:szCs w:val="21"/>
              </w:rPr>
              <w:t>合同金额</w:t>
            </w:r>
          </w:p>
          <w:p w14:paraId="1BBEA61A">
            <w:pPr>
              <w:adjustRightInd w:val="0"/>
              <w:snapToGrid w:val="0"/>
              <w:jc w:val="center"/>
              <w:rPr>
                <w:rFonts w:ascii="Times New Roman" w:hAnsi="Times New Roman"/>
                <w:b/>
                <w:bCs/>
                <w:color w:val="000000"/>
                <w:szCs w:val="21"/>
              </w:rPr>
            </w:pPr>
            <w:r>
              <w:rPr>
                <w:rFonts w:ascii="Times New Roman" w:hAnsi="Times New Roman"/>
                <w:b/>
                <w:bCs/>
                <w:color w:val="000000"/>
                <w:szCs w:val="21"/>
              </w:rPr>
              <w:t>（元）</w:t>
            </w:r>
          </w:p>
        </w:tc>
        <w:tc>
          <w:tcPr>
            <w:tcW w:w="1391" w:type="dxa"/>
            <w:noWrap w:val="0"/>
            <w:vAlign w:val="center"/>
          </w:tcPr>
          <w:p w14:paraId="4624692D">
            <w:pPr>
              <w:adjustRightInd w:val="0"/>
              <w:snapToGrid w:val="0"/>
              <w:jc w:val="center"/>
              <w:rPr>
                <w:rFonts w:ascii="Times New Roman" w:hAnsi="Times New Roman"/>
                <w:b/>
                <w:bCs/>
                <w:color w:val="000000"/>
                <w:szCs w:val="21"/>
              </w:rPr>
            </w:pPr>
            <w:r>
              <w:rPr>
                <w:rFonts w:ascii="Times New Roman" w:hAnsi="Times New Roman"/>
                <w:b/>
                <w:bCs/>
                <w:color w:val="000000"/>
                <w:szCs w:val="21"/>
              </w:rPr>
              <w:t>有效期</w:t>
            </w:r>
          </w:p>
        </w:tc>
      </w:tr>
      <w:tr w14:paraId="6DC58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noWrap w:val="0"/>
            <w:vAlign w:val="center"/>
          </w:tcPr>
          <w:p w14:paraId="7289D35D">
            <w:pPr>
              <w:adjustRightInd w:val="0"/>
              <w:snapToGrid w:val="0"/>
              <w:jc w:val="center"/>
              <w:rPr>
                <w:rFonts w:ascii="Times New Roman" w:hAnsi="Times New Roman"/>
                <w:color w:val="000000"/>
                <w:szCs w:val="21"/>
              </w:rPr>
            </w:pPr>
            <w:r>
              <w:rPr>
                <w:rFonts w:ascii="Times New Roman" w:hAnsi="Times New Roman"/>
                <w:color w:val="000000"/>
                <w:szCs w:val="21"/>
              </w:rPr>
              <w:t>1</w:t>
            </w:r>
          </w:p>
        </w:tc>
        <w:tc>
          <w:tcPr>
            <w:tcW w:w="1579" w:type="dxa"/>
            <w:noWrap w:val="0"/>
            <w:vAlign w:val="center"/>
          </w:tcPr>
          <w:p w14:paraId="194A6DEA">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广州宝点</w:t>
            </w:r>
          </w:p>
        </w:tc>
        <w:tc>
          <w:tcPr>
            <w:tcW w:w="1972" w:type="dxa"/>
            <w:noWrap w:val="0"/>
            <w:vAlign w:val="center"/>
          </w:tcPr>
          <w:p w14:paraId="7C8B3CB6">
            <w:pPr>
              <w:widowControl/>
              <w:textAlignment w:val="top"/>
              <w:rPr>
                <w:rFonts w:ascii="Times New Roman" w:hAnsi="Times New Roman"/>
                <w:color w:val="000000"/>
                <w:szCs w:val="21"/>
                <w:lang w:eastAsia="zh"/>
              </w:rPr>
            </w:pPr>
            <w:r>
              <w:rPr>
                <w:rFonts w:hint="eastAsia" w:ascii="Times New Roman" w:hAnsi="Times New Roman"/>
                <w:szCs w:val="21"/>
              </w:rPr>
              <w:t>供应商A</w:t>
            </w:r>
          </w:p>
        </w:tc>
        <w:tc>
          <w:tcPr>
            <w:tcW w:w="1514" w:type="dxa"/>
            <w:noWrap w:val="0"/>
            <w:vAlign w:val="center"/>
          </w:tcPr>
          <w:p w14:paraId="2DCF9E7C">
            <w:pPr>
              <w:widowControl/>
              <w:spacing w:line="360" w:lineRule="atLeast"/>
              <w:jc w:val="center"/>
              <w:rPr>
                <w:rFonts w:ascii="Times New Roman" w:hAnsi="Times New Roman"/>
                <w:color w:val="000000"/>
                <w:szCs w:val="21"/>
                <w:lang w:eastAsia="zh"/>
              </w:rPr>
            </w:pPr>
            <w:r>
              <w:rPr>
                <w:rFonts w:ascii="Times New Roman" w:hAnsi="Times New Roman"/>
                <w:kern w:val="0"/>
                <w:szCs w:val="21"/>
                <w:lang w:bidi="ar"/>
              </w:rPr>
              <w:t>外协加工服务</w:t>
            </w:r>
          </w:p>
        </w:tc>
        <w:tc>
          <w:tcPr>
            <w:tcW w:w="1358" w:type="dxa"/>
            <w:noWrap w:val="0"/>
            <w:vAlign w:val="center"/>
          </w:tcPr>
          <w:p w14:paraId="7792731C">
            <w:pPr>
              <w:widowControl/>
              <w:spacing w:line="360" w:lineRule="atLeast"/>
              <w:jc w:val="center"/>
              <w:rPr>
                <w:rFonts w:ascii="Times New Roman" w:hAnsi="Times New Roman"/>
                <w:color w:val="000000"/>
                <w:szCs w:val="21"/>
              </w:rPr>
            </w:pPr>
            <w:r>
              <w:rPr>
                <w:rFonts w:ascii="Times New Roman" w:hAnsi="Times New Roman"/>
                <w:color w:val="000000"/>
                <w:kern w:val="0"/>
                <w:szCs w:val="21"/>
                <w:lang w:bidi="ar"/>
              </w:rPr>
              <w:t>以订单为准</w:t>
            </w:r>
          </w:p>
        </w:tc>
        <w:tc>
          <w:tcPr>
            <w:tcW w:w="1391" w:type="dxa"/>
            <w:noWrap w:val="0"/>
            <w:vAlign w:val="center"/>
          </w:tcPr>
          <w:p w14:paraId="191C7580">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一年</w:t>
            </w:r>
          </w:p>
        </w:tc>
      </w:tr>
      <w:tr w14:paraId="21186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noWrap w:val="0"/>
            <w:vAlign w:val="center"/>
          </w:tcPr>
          <w:p w14:paraId="4ED11A6B">
            <w:pPr>
              <w:adjustRightInd w:val="0"/>
              <w:snapToGrid w:val="0"/>
              <w:jc w:val="center"/>
              <w:rPr>
                <w:rFonts w:hint="eastAsia" w:ascii="Times New Roman" w:hAnsi="Times New Roman"/>
                <w:color w:val="000000"/>
                <w:szCs w:val="21"/>
              </w:rPr>
            </w:pPr>
            <w:r>
              <w:rPr>
                <w:rFonts w:hint="eastAsia" w:ascii="Times New Roman" w:hAnsi="Times New Roman"/>
                <w:color w:val="000000"/>
                <w:szCs w:val="21"/>
              </w:rPr>
              <w:t>2</w:t>
            </w:r>
          </w:p>
        </w:tc>
        <w:tc>
          <w:tcPr>
            <w:tcW w:w="1579" w:type="dxa"/>
            <w:noWrap w:val="0"/>
            <w:vAlign w:val="center"/>
          </w:tcPr>
          <w:p w14:paraId="73DFBAC9">
            <w:pPr>
              <w:widowControl/>
              <w:spacing w:line="360" w:lineRule="atLeast"/>
              <w:jc w:val="center"/>
              <w:rPr>
                <w:rFonts w:hint="eastAsia" w:ascii="Times New Roman" w:hAnsi="Times New Roman"/>
                <w:color w:val="000000"/>
                <w:szCs w:val="21"/>
              </w:rPr>
            </w:pPr>
            <w:r>
              <w:rPr>
                <w:rFonts w:hint="eastAsia" w:ascii="Times New Roman" w:hAnsi="Times New Roman"/>
                <w:color w:val="000000"/>
                <w:szCs w:val="21"/>
              </w:rPr>
              <w:t>广州宝点</w:t>
            </w:r>
          </w:p>
        </w:tc>
        <w:tc>
          <w:tcPr>
            <w:tcW w:w="1972" w:type="dxa"/>
            <w:noWrap w:val="0"/>
            <w:vAlign w:val="center"/>
          </w:tcPr>
          <w:p w14:paraId="23102A0B">
            <w:pPr>
              <w:widowControl/>
              <w:textAlignment w:val="top"/>
              <w:rPr>
                <w:rFonts w:ascii="Times New Roman" w:hAnsi="Times New Roman"/>
                <w:color w:val="000000"/>
                <w:szCs w:val="21"/>
                <w:lang w:eastAsia="zh"/>
              </w:rPr>
            </w:pPr>
            <w:r>
              <w:rPr>
                <w:rFonts w:hint="eastAsia" w:ascii="Times New Roman" w:hAnsi="Times New Roman"/>
                <w:szCs w:val="21"/>
              </w:rPr>
              <w:t>阿里云计算有限公司</w:t>
            </w:r>
          </w:p>
        </w:tc>
        <w:tc>
          <w:tcPr>
            <w:tcW w:w="1514" w:type="dxa"/>
            <w:noWrap w:val="0"/>
            <w:vAlign w:val="center"/>
          </w:tcPr>
          <w:p w14:paraId="729BBA42">
            <w:pPr>
              <w:widowControl/>
              <w:spacing w:line="360" w:lineRule="atLeast"/>
              <w:jc w:val="center"/>
              <w:rPr>
                <w:rFonts w:hint="eastAsia" w:ascii="Times New Roman" w:hAnsi="Times New Roman"/>
                <w:color w:val="000000"/>
                <w:szCs w:val="21"/>
              </w:rPr>
            </w:pPr>
            <w:r>
              <w:rPr>
                <w:rFonts w:hint="eastAsia" w:ascii="Times New Roman" w:hAnsi="Times New Roman"/>
                <w:color w:val="000000"/>
                <w:szCs w:val="21"/>
              </w:rPr>
              <w:t>云服务</w:t>
            </w:r>
          </w:p>
        </w:tc>
        <w:tc>
          <w:tcPr>
            <w:tcW w:w="1358" w:type="dxa"/>
            <w:noWrap w:val="0"/>
            <w:vAlign w:val="center"/>
          </w:tcPr>
          <w:p w14:paraId="0510DA26">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以订单为准</w:t>
            </w:r>
          </w:p>
        </w:tc>
        <w:tc>
          <w:tcPr>
            <w:tcW w:w="1391" w:type="dxa"/>
            <w:noWrap w:val="0"/>
            <w:vAlign w:val="center"/>
          </w:tcPr>
          <w:p w14:paraId="3FD62EA3">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一年</w:t>
            </w:r>
          </w:p>
        </w:tc>
      </w:tr>
      <w:tr w14:paraId="45310C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dxa"/>
            <w:noWrap w:val="0"/>
            <w:vAlign w:val="center"/>
          </w:tcPr>
          <w:p w14:paraId="60EAF924">
            <w:pPr>
              <w:adjustRightInd w:val="0"/>
              <w:snapToGrid w:val="0"/>
              <w:jc w:val="center"/>
              <w:rPr>
                <w:rFonts w:hint="eastAsia" w:ascii="Times New Roman" w:hAnsi="Times New Roman"/>
                <w:color w:val="000000"/>
                <w:szCs w:val="21"/>
              </w:rPr>
            </w:pPr>
            <w:r>
              <w:rPr>
                <w:rFonts w:hint="eastAsia" w:ascii="Times New Roman" w:hAnsi="Times New Roman"/>
                <w:color w:val="000000"/>
                <w:szCs w:val="21"/>
              </w:rPr>
              <w:t>3</w:t>
            </w:r>
          </w:p>
        </w:tc>
        <w:tc>
          <w:tcPr>
            <w:tcW w:w="1579" w:type="dxa"/>
            <w:noWrap w:val="0"/>
            <w:vAlign w:val="center"/>
          </w:tcPr>
          <w:p w14:paraId="284E6EB5">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广州宝点</w:t>
            </w:r>
          </w:p>
        </w:tc>
        <w:tc>
          <w:tcPr>
            <w:tcW w:w="1972" w:type="dxa"/>
            <w:noWrap w:val="0"/>
            <w:vAlign w:val="center"/>
          </w:tcPr>
          <w:p w14:paraId="53E35B3F">
            <w:pPr>
              <w:widowControl/>
              <w:textAlignment w:val="top"/>
              <w:rPr>
                <w:rFonts w:ascii="Times New Roman" w:hAnsi="Times New Roman"/>
                <w:color w:val="000000"/>
                <w:szCs w:val="21"/>
                <w:lang w:eastAsia="zh"/>
              </w:rPr>
            </w:pPr>
            <w:r>
              <w:rPr>
                <w:rFonts w:hint="eastAsia" w:ascii="Times New Roman" w:hAnsi="Times New Roman"/>
                <w:szCs w:val="21"/>
              </w:rPr>
              <w:t>供应商C</w:t>
            </w:r>
          </w:p>
        </w:tc>
        <w:tc>
          <w:tcPr>
            <w:tcW w:w="1514" w:type="dxa"/>
            <w:noWrap w:val="0"/>
            <w:vAlign w:val="center"/>
          </w:tcPr>
          <w:p w14:paraId="75CE955B">
            <w:pPr>
              <w:widowControl/>
              <w:spacing w:line="360" w:lineRule="atLeast"/>
              <w:jc w:val="center"/>
              <w:rPr>
                <w:rFonts w:ascii="Times New Roman" w:hAnsi="Times New Roman"/>
                <w:color w:val="000000"/>
                <w:szCs w:val="21"/>
                <w:lang w:eastAsia="zh"/>
              </w:rPr>
            </w:pPr>
            <w:r>
              <w:rPr>
                <w:rFonts w:ascii="Times New Roman" w:hAnsi="Times New Roman"/>
                <w:kern w:val="0"/>
                <w:szCs w:val="21"/>
                <w:lang w:bidi="ar"/>
              </w:rPr>
              <w:t>外协加工服务</w:t>
            </w:r>
          </w:p>
        </w:tc>
        <w:tc>
          <w:tcPr>
            <w:tcW w:w="1358" w:type="dxa"/>
            <w:noWrap w:val="0"/>
            <w:vAlign w:val="center"/>
          </w:tcPr>
          <w:p w14:paraId="58DA394D">
            <w:pPr>
              <w:widowControl/>
              <w:spacing w:line="360" w:lineRule="atLeast"/>
              <w:jc w:val="center"/>
              <w:rPr>
                <w:rFonts w:ascii="Times New Roman" w:hAnsi="Times New Roman"/>
                <w:color w:val="000000"/>
                <w:szCs w:val="21"/>
              </w:rPr>
            </w:pPr>
            <w:r>
              <w:rPr>
                <w:rFonts w:ascii="Times New Roman" w:hAnsi="Times New Roman"/>
                <w:color w:val="000000"/>
                <w:kern w:val="0"/>
                <w:szCs w:val="21"/>
                <w:lang w:bidi="ar"/>
              </w:rPr>
              <w:t>以订单为准</w:t>
            </w:r>
          </w:p>
        </w:tc>
        <w:tc>
          <w:tcPr>
            <w:tcW w:w="1391" w:type="dxa"/>
            <w:noWrap w:val="0"/>
            <w:vAlign w:val="center"/>
          </w:tcPr>
          <w:p w14:paraId="65E1E34D">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一年</w:t>
            </w:r>
          </w:p>
        </w:tc>
      </w:tr>
    </w:tbl>
    <w:p w14:paraId="74362157">
      <w:pPr>
        <w:widowControl/>
        <w:adjustRightInd w:val="0"/>
        <w:snapToGrid w:val="0"/>
        <w:spacing w:before="156" w:beforeLines="50" w:line="360" w:lineRule="auto"/>
        <w:ind w:firstLine="482" w:firstLineChars="200"/>
        <w:rPr>
          <w:rFonts w:ascii="Times New Roman" w:hAnsi="Times New Roman"/>
          <w:b/>
          <w:bCs/>
          <w:kern w:val="0"/>
          <w:sz w:val="24"/>
        </w:rPr>
      </w:pPr>
      <w:r>
        <w:rPr>
          <w:rFonts w:ascii="Times New Roman" w:hAnsi="Times New Roman"/>
          <w:b/>
          <w:bCs/>
          <w:kern w:val="0"/>
          <w:sz w:val="24"/>
        </w:rPr>
        <w:t>②销售合同</w:t>
      </w:r>
    </w:p>
    <w:p w14:paraId="76964702">
      <w:pPr>
        <w:widowControl/>
        <w:adjustRightInd w:val="0"/>
        <w:snapToGrid w:val="0"/>
        <w:spacing w:before="156" w:beforeLines="50" w:after="156" w:afterLines="50" w:line="360" w:lineRule="auto"/>
        <w:ind w:firstLine="488" w:firstLineChars="200"/>
        <w:rPr>
          <w:rFonts w:hint="eastAsia" w:ascii="Times New Roman" w:hAnsi="Times New Roman"/>
          <w:kern w:val="0"/>
          <w:sz w:val="24"/>
        </w:rPr>
      </w:pPr>
      <w:r>
        <w:rPr>
          <w:rFonts w:ascii="Times New Roman" w:hAnsi="Times New Roman"/>
          <w:spacing w:val="2"/>
          <w:sz w:val="24"/>
        </w:rPr>
        <w:t>本所律师已在</w:t>
      </w:r>
      <w:r>
        <w:rPr>
          <w:rFonts w:ascii="Times New Roman" w:hAnsi="Times New Roman"/>
          <w:spacing w:val="-4"/>
          <w:sz w:val="24"/>
        </w:rPr>
        <w:t>《法律意见书》</w:t>
      </w:r>
      <w:r>
        <w:rPr>
          <w:rFonts w:ascii="Times New Roman" w:hAnsi="Times New Roman"/>
          <w:spacing w:val="2"/>
          <w:sz w:val="24"/>
        </w:rPr>
        <w:t>中披露</w:t>
      </w:r>
      <w:r>
        <w:rPr>
          <w:rFonts w:hint="eastAsia" w:ascii="Times New Roman" w:hAnsi="Times New Roman"/>
          <w:spacing w:val="2"/>
          <w:sz w:val="24"/>
        </w:rPr>
        <w:t>星云开物</w:t>
      </w:r>
      <w:r>
        <w:rPr>
          <w:rFonts w:ascii="Times New Roman" w:hAnsi="Times New Roman"/>
          <w:spacing w:val="2"/>
          <w:sz w:val="24"/>
        </w:rPr>
        <w:t>签订的截至2025年</w:t>
      </w:r>
      <w:r>
        <w:rPr>
          <w:rFonts w:hint="eastAsia" w:ascii="Times New Roman" w:hAnsi="Times New Roman"/>
          <w:spacing w:val="2"/>
          <w:sz w:val="24"/>
        </w:rPr>
        <w:t>6</w:t>
      </w:r>
      <w:r>
        <w:rPr>
          <w:rFonts w:ascii="Times New Roman" w:hAnsi="Times New Roman"/>
          <w:spacing w:val="2"/>
          <w:sz w:val="24"/>
        </w:rPr>
        <w:t>月3</w:t>
      </w:r>
      <w:r>
        <w:rPr>
          <w:rFonts w:hint="eastAsia" w:ascii="Times New Roman" w:hAnsi="Times New Roman"/>
          <w:spacing w:val="2"/>
          <w:sz w:val="24"/>
        </w:rPr>
        <w:t>0</w:t>
      </w:r>
      <w:r>
        <w:rPr>
          <w:rFonts w:ascii="Times New Roman" w:hAnsi="Times New Roman"/>
          <w:spacing w:val="2"/>
          <w:sz w:val="24"/>
        </w:rPr>
        <w:t>日正在履行的</w:t>
      </w:r>
      <w:r>
        <w:rPr>
          <w:rFonts w:ascii="Times New Roman" w:hAnsi="Times New Roman"/>
          <w:sz w:val="24"/>
        </w:rPr>
        <w:t>重大销售合同或订单</w:t>
      </w:r>
      <w:r>
        <w:rPr>
          <w:rFonts w:ascii="Times New Roman" w:hAnsi="Times New Roman"/>
          <w:spacing w:val="2"/>
          <w:sz w:val="24"/>
        </w:rPr>
        <w:t>的情况。</w:t>
      </w:r>
      <w:r>
        <w:rPr>
          <w:rFonts w:ascii="Times New Roman" w:hAnsi="Times New Roman"/>
          <w:sz w:val="24"/>
        </w:rPr>
        <w:t>经核查，</w:t>
      </w:r>
      <w:r>
        <w:rPr>
          <w:rFonts w:ascii="Times New Roman" w:hAnsi="Times New Roman"/>
          <w:spacing w:val="2"/>
          <w:sz w:val="24"/>
        </w:rPr>
        <w:t>截至2025年</w:t>
      </w:r>
      <w:r>
        <w:rPr>
          <w:rFonts w:hint="eastAsia" w:ascii="Times New Roman" w:hAnsi="Times New Roman"/>
          <w:spacing w:val="2"/>
          <w:sz w:val="24"/>
        </w:rPr>
        <w:t>12</w:t>
      </w:r>
      <w:r>
        <w:rPr>
          <w:rFonts w:ascii="Times New Roman" w:hAnsi="Times New Roman"/>
          <w:spacing w:val="2"/>
          <w:sz w:val="24"/>
        </w:rPr>
        <w:t>月3</w:t>
      </w:r>
      <w:r>
        <w:rPr>
          <w:rFonts w:hint="eastAsia" w:ascii="Times New Roman" w:hAnsi="Times New Roman"/>
          <w:spacing w:val="2"/>
          <w:sz w:val="24"/>
        </w:rPr>
        <w:t>1</w:t>
      </w:r>
      <w:r>
        <w:rPr>
          <w:rFonts w:ascii="Times New Roman" w:hAnsi="Times New Roman"/>
          <w:spacing w:val="2"/>
          <w:sz w:val="24"/>
        </w:rPr>
        <w:t>日</w:t>
      </w:r>
      <w:r>
        <w:rPr>
          <w:rFonts w:ascii="Times New Roman" w:hAnsi="Times New Roman"/>
          <w:sz w:val="24"/>
        </w:rPr>
        <w:t>，</w:t>
      </w:r>
      <w:r>
        <w:rPr>
          <w:rFonts w:hint="eastAsia" w:ascii="Times New Roman" w:hAnsi="Times New Roman"/>
          <w:sz w:val="24"/>
        </w:rPr>
        <w:t>因报告期变化，除</w:t>
      </w:r>
      <w:r>
        <w:rPr>
          <w:rFonts w:ascii="Times New Roman" w:hAnsi="Times New Roman"/>
          <w:spacing w:val="-4"/>
          <w:sz w:val="24"/>
        </w:rPr>
        <w:t>《法律意见书》</w:t>
      </w:r>
      <w:r>
        <w:rPr>
          <w:rFonts w:hint="eastAsia" w:ascii="Times New Roman" w:hAnsi="Times New Roman"/>
          <w:sz w:val="24"/>
        </w:rPr>
        <w:t>中已披露的</w:t>
      </w:r>
      <w:r>
        <w:rPr>
          <w:rFonts w:ascii="Times New Roman" w:hAnsi="Times New Roman"/>
          <w:sz w:val="24"/>
        </w:rPr>
        <w:t>销售合同或订单</w:t>
      </w:r>
      <w:r>
        <w:rPr>
          <w:rFonts w:hint="eastAsia" w:ascii="Times New Roman" w:hAnsi="Times New Roman"/>
          <w:sz w:val="24"/>
        </w:rPr>
        <w:t>外，下列星云开物</w:t>
      </w:r>
      <w:r>
        <w:rPr>
          <w:rFonts w:ascii="Times New Roman" w:hAnsi="Times New Roman"/>
          <w:spacing w:val="2"/>
          <w:sz w:val="24"/>
        </w:rPr>
        <w:t>正在履行的</w:t>
      </w:r>
      <w:r>
        <w:rPr>
          <w:rFonts w:hint="eastAsia" w:ascii="Times New Roman" w:hAnsi="Times New Roman"/>
          <w:spacing w:val="2"/>
          <w:sz w:val="24"/>
        </w:rPr>
        <w:t>合同亦属于</w:t>
      </w:r>
      <w:r>
        <w:rPr>
          <w:rFonts w:ascii="Times New Roman" w:hAnsi="Times New Roman"/>
          <w:sz w:val="24"/>
        </w:rPr>
        <w:t>重大销售合同或订单</w:t>
      </w:r>
      <w:r>
        <w:rPr>
          <w:rFonts w:hint="eastAsia" w:ascii="Times New Roman" w:hAnsi="Times New Roman"/>
          <w:kern w:val="0"/>
          <w:sz w:val="24"/>
        </w:rPr>
        <w:t>如下：</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98"/>
        <w:gridCol w:w="1483"/>
        <w:gridCol w:w="1710"/>
        <w:gridCol w:w="2102"/>
        <w:gridCol w:w="1199"/>
        <w:gridCol w:w="1170"/>
      </w:tblGrid>
      <w:tr w14:paraId="2B5903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698" w:type="dxa"/>
            <w:noWrap w:val="0"/>
            <w:vAlign w:val="center"/>
          </w:tcPr>
          <w:p w14:paraId="2DFCFE50">
            <w:pPr>
              <w:adjustRightInd w:val="0"/>
              <w:snapToGrid w:val="0"/>
              <w:jc w:val="center"/>
              <w:rPr>
                <w:rFonts w:ascii="Times New Roman" w:hAnsi="Times New Roman"/>
                <w:b/>
                <w:bCs/>
                <w:color w:val="000000"/>
                <w:szCs w:val="21"/>
              </w:rPr>
            </w:pPr>
            <w:r>
              <w:rPr>
                <w:rFonts w:ascii="Times New Roman" w:hAnsi="Times New Roman"/>
                <w:b/>
                <w:bCs/>
                <w:color w:val="000000"/>
                <w:szCs w:val="21"/>
              </w:rPr>
              <w:t>序号</w:t>
            </w:r>
          </w:p>
        </w:tc>
        <w:tc>
          <w:tcPr>
            <w:tcW w:w="1483" w:type="dxa"/>
            <w:noWrap w:val="0"/>
            <w:vAlign w:val="center"/>
          </w:tcPr>
          <w:p w14:paraId="540B3980">
            <w:pPr>
              <w:adjustRightInd w:val="0"/>
              <w:snapToGrid w:val="0"/>
              <w:jc w:val="center"/>
              <w:rPr>
                <w:rFonts w:ascii="Times New Roman" w:hAnsi="Times New Roman"/>
                <w:b/>
                <w:bCs/>
                <w:color w:val="000000"/>
                <w:szCs w:val="21"/>
              </w:rPr>
            </w:pPr>
            <w:r>
              <w:rPr>
                <w:rFonts w:ascii="Times New Roman" w:hAnsi="Times New Roman"/>
                <w:b/>
                <w:bCs/>
                <w:color w:val="000000"/>
                <w:szCs w:val="21"/>
              </w:rPr>
              <w:t>销售主体</w:t>
            </w:r>
          </w:p>
        </w:tc>
        <w:tc>
          <w:tcPr>
            <w:tcW w:w="1710" w:type="dxa"/>
            <w:noWrap w:val="0"/>
            <w:vAlign w:val="center"/>
          </w:tcPr>
          <w:p w14:paraId="11E7F29D">
            <w:pPr>
              <w:adjustRightInd w:val="0"/>
              <w:snapToGrid w:val="0"/>
              <w:jc w:val="center"/>
              <w:rPr>
                <w:rFonts w:ascii="Times New Roman" w:hAnsi="Times New Roman"/>
                <w:b/>
                <w:bCs/>
                <w:color w:val="000000"/>
                <w:szCs w:val="21"/>
              </w:rPr>
            </w:pPr>
            <w:r>
              <w:rPr>
                <w:rFonts w:ascii="Times New Roman" w:hAnsi="Times New Roman"/>
                <w:b/>
                <w:bCs/>
                <w:color w:val="000000"/>
                <w:szCs w:val="21"/>
              </w:rPr>
              <w:t>客户名称</w:t>
            </w:r>
          </w:p>
        </w:tc>
        <w:tc>
          <w:tcPr>
            <w:tcW w:w="2102" w:type="dxa"/>
            <w:noWrap w:val="0"/>
            <w:vAlign w:val="center"/>
          </w:tcPr>
          <w:p w14:paraId="2801F917">
            <w:pPr>
              <w:adjustRightInd w:val="0"/>
              <w:snapToGrid w:val="0"/>
              <w:jc w:val="center"/>
              <w:rPr>
                <w:rFonts w:ascii="Times New Roman" w:hAnsi="Times New Roman"/>
                <w:b/>
                <w:bCs/>
                <w:color w:val="000000"/>
                <w:szCs w:val="21"/>
              </w:rPr>
            </w:pPr>
            <w:r>
              <w:rPr>
                <w:rFonts w:ascii="Times New Roman" w:hAnsi="Times New Roman"/>
                <w:b/>
                <w:bCs/>
                <w:color w:val="000000"/>
                <w:szCs w:val="21"/>
              </w:rPr>
              <w:t>销售内容</w:t>
            </w:r>
          </w:p>
        </w:tc>
        <w:tc>
          <w:tcPr>
            <w:tcW w:w="1199" w:type="dxa"/>
            <w:noWrap w:val="0"/>
            <w:vAlign w:val="center"/>
          </w:tcPr>
          <w:p w14:paraId="323AE49D">
            <w:pPr>
              <w:adjustRightInd w:val="0"/>
              <w:snapToGrid w:val="0"/>
              <w:jc w:val="center"/>
              <w:rPr>
                <w:rFonts w:ascii="Times New Roman" w:hAnsi="Times New Roman"/>
                <w:b/>
                <w:bCs/>
                <w:color w:val="000000"/>
                <w:szCs w:val="21"/>
              </w:rPr>
            </w:pPr>
            <w:r>
              <w:rPr>
                <w:rFonts w:ascii="Times New Roman" w:hAnsi="Times New Roman"/>
                <w:b/>
                <w:bCs/>
                <w:color w:val="000000"/>
                <w:szCs w:val="21"/>
              </w:rPr>
              <w:t>合同金额</w:t>
            </w:r>
          </w:p>
          <w:p w14:paraId="2D37A98A">
            <w:pPr>
              <w:adjustRightInd w:val="0"/>
              <w:snapToGrid w:val="0"/>
              <w:jc w:val="center"/>
              <w:rPr>
                <w:rFonts w:ascii="Times New Roman" w:hAnsi="Times New Roman"/>
                <w:b/>
                <w:bCs/>
                <w:color w:val="000000"/>
                <w:szCs w:val="21"/>
              </w:rPr>
            </w:pPr>
            <w:r>
              <w:rPr>
                <w:rFonts w:ascii="Times New Roman" w:hAnsi="Times New Roman"/>
                <w:b/>
                <w:bCs/>
                <w:color w:val="000000"/>
                <w:szCs w:val="21"/>
              </w:rPr>
              <w:t>（元）</w:t>
            </w:r>
          </w:p>
        </w:tc>
        <w:tc>
          <w:tcPr>
            <w:tcW w:w="1170" w:type="dxa"/>
            <w:noWrap w:val="0"/>
            <w:vAlign w:val="center"/>
          </w:tcPr>
          <w:p w14:paraId="0AFF3F9F">
            <w:pPr>
              <w:adjustRightInd w:val="0"/>
              <w:snapToGrid w:val="0"/>
              <w:jc w:val="center"/>
              <w:rPr>
                <w:rFonts w:ascii="Times New Roman" w:hAnsi="Times New Roman"/>
                <w:b/>
                <w:bCs/>
                <w:color w:val="000000"/>
                <w:szCs w:val="21"/>
              </w:rPr>
            </w:pPr>
            <w:r>
              <w:rPr>
                <w:rFonts w:ascii="Times New Roman" w:hAnsi="Times New Roman"/>
                <w:b/>
                <w:bCs/>
                <w:color w:val="000000"/>
                <w:szCs w:val="21"/>
              </w:rPr>
              <w:t>有效期</w:t>
            </w:r>
          </w:p>
        </w:tc>
      </w:tr>
      <w:tr w14:paraId="75B763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698" w:type="dxa"/>
            <w:noWrap w:val="0"/>
            <w:vAlign w:val="center"/>
          </w:tcPr>
          <w:p w14:paraId="132C203F">
            <w:pPr>
              <w:widowControl/>
              <w:spacing w:line="360" w:lineRule="atLeast"/>
              <w:jc w:val="center"/>
              <w:rPr>
                <w:rFonts w:ascii="Times New Roman" w:hAnsi="Times New Roman"/>
                <w:color w:val="000000"/>
                <w:szCs w:val="21"/>
              </w:rPr>
            </w:pPr>
            <w:r>
              <w:rPr>
                <w:rFonts w:ascii="Times New Roman" w:hAnsi="Times New Roman"/>
                <w:color w:val="000000"/>
                <w:kern w:val="0"/>
                <w:szCs w:val="21"/>
                <w:lang w:bidi="ar"/>
              </w:rPr>
              <w:t>1</w:t>
            </w:r>
          </w:p>
        </w:tc>
        <w:tc>
          <w:tcPr>
            <w:tcW w:w="1483" w:type="dxa"/>
            <w:noWrap w:val="0"/>
            <w:vAlign w:val="center"/>
          </w:tcPr>
          <w:p w14:paraId="0690CF3B">
            <w:pPr>
              <w:widowControl/>
              <w:spacing w:line="360" w:lineRule="atLeast"/>
              <w:jc w:val="center"/>
              <w:rPr>
                <w:rFonts w:hint="eastAsia" w:ascii="Times New Roman" w:hAnsi="Times New Roman"/>
                <w:color w:val="000000"/>
                <w:szCs w:val="21"/>
              </w:rPr>
            </w:pPr>
            <w:r>
              <w:rPr>
                <w:rFonts w:hint="eastAsia" w:ascii="Times New Roman" w:hAnsi="Times New Roman"/>
                <w:color w:val="000000"/>
                <w:szCs w:val="21"/>
              </w:rPr>
              <w:t>星云开物</w:t>
            </w:r>
          </w:p>
        </w:tc>
        <w:tc>
          <w:tcPr>
            <w:tcW w:w="1710" w:type="dxa"/>
            <w:noWrap w:val="0"/>
            <w:vAlign w:val="center"/>
          </w:tcPr>
          <w:p w14:paraId="14A3A527">
            <w:pPr>
              <w:widowControl/>
              <w:textAlignment w:val="top"/>
              <w:rPr>
                <w:rFonts w:ascii="Times New Roman" w:hAnsi="Times New Roman"/>
                <w:color w:val="000000"/>
                <w:szCs w:val="21"/>
              </w:rPr>
            </w:pPr>
            <w:r>
              <w:rPr>
                <w:rFonts w:hint="eastAsia" w:ascii="Times New Roman" w:hAnsi="Times New Roman"/>
                <w:szCs w:val="21"/>
              </w:rPr>
              <w:t>上海汇付支付有限公司</w:t>
            </w:r>
          </w:p>
        </w:tc>
        <w:tc>
          <w:tcPr>
            <w:tcW w:w="2102" w:type="dxa"/>
            <w:noWrap w:val="0"/>
            <w:vAlign w:val="center"/>
          </w:tcPr>
          <w:p w14:paraId="02E99755">
            <w:pPr>
              <w:widowControl/>
              <w:spacing w:line="360" w:lineRule="atLeast"/>
              <w:jc w:val="center"/>
              <w:rPr>
                <w:rFonts w:ascii="Times New Roman" w:hAnsi="Times New Roman"/>
                <w:color w:val="000000"/>
                <w:szCs w:val="21"/>
              </w:rPr>
            </w:pPr>
            <w:r>
              <w:rPr>
                <w:rFonts w:hint="eastAsia" w:ascii="Times New Roman" w:hAnsi="Times New Roman"/>
                <w:bCs/>
                <w:szCs w:val="21"/>
              </w:rPr>
              <w:t>数字增值服务</w:t>
            </w:r>
          </w:p>
        </w:tc>
        <w:tc>
          <w:tcPr>
            <w:tcW w:w="1199" w:type="dxa"/>
            <w:noWrap w:val="0"/>
            <w:vAlign w:val="center"/>
          </w:tcPr>
          <w:p w14:paraId="056EB897">
            <w:pPr>
              <w:widowControl/>
              <w:spacing w:line="360" w:lineRule="atLeast"/>
              <w:jc w:val="center"/>
              <w:rPr>
                <w:rFonts w:ascii="Times New Roman" w:hAnsi="Times New Roman"/>
                <w:color w:val="000000"/>
                <w:szCs w:val="21"/>
              </w:rPr>
            </w:pPr>
            <w:r>
              <w:rPr>
                <w:rFonts w:ascii="Times New Roman" w:hAnsi="Times New Roman"/>
                <w:color w:val="000000"/>
                <w:kern w:val="0"/>
                <w:szCs w:val="21"/>
                <w:lang w:bidi="ar"/>
              </w:rPr>
              <w:t>以实际数据为准</w:t>
            </w:r>
            <w:r>
              <w:rPr>
                <w:rFonts w:hint="eastAsia" w:ascii="Times New Roman" w:hAnsi="Times New Roman"/>
                <w:color w:val="000000"/>
                <w:kern w:val="0"/>
                <w:szCs w:val="21"/>
                <w:lang w:bidi="ar"/>
              </w:rPr>
              <w:t xml:space="preserve"> </w:t>
            </w:r>
          </w:p>
        </w:tc>
        <w:tc>
          <w:tcPr>
            <w:tcW w:w="1170" w:type="dxa"/>
            <w:noWrap w:val="0"/>
            <w:vAlign w:val="center"/>
          </w:tcPr>
          <w:p w14:paraId="03502B51">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两年</w:t>
            </w:r>
          </w:p>
        </w:tc>
      </w:tr>
      <w:tr w14:paraId="25C244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454" w:hRule="atLeast"/>
          <w:jc w:val="center"/>
        </w:trPr>
        <w:tc>
          <w:tcPr>
            <w:tcW w:w="698" w:type="dxa"/>
            <w:noWrap w:val="0"/>
            <w:vAlign w:val="center"/>
          </w:tcPr>
          <w:p w14:paraId="2737F68E">
            <w:pPr>
              <w:widowControl/>
              <w:spacing w:line="360" w:lineRule="atLeast"/>
              <w:jc w:val="center"/>
              <w:rPr>
                <w:rFonts w:hint="eastAsia" w:ascii="Times New Roman" w:hAnsi="Times New Roman"/>
                <w:color w:val="000000"/>
                <w:kern w:val="0"/>
                <w:szCs w:val="21"/>
                <w:lang w:bidi="ar"/>
              </w:rPr>
            </w:pPr>
            <w:r>
              <w:rPr>
                <w:rFonts w:hint="eastAsia" w:ascii="Times New Roman" w:hAnsi="Times New Roman"/>
                <w:color w:val="000000"/>
                <w:kern w:val="0"/>
                <w:szCs w:val="21"/>
                <w:lang w:bidi="ar"/>
              </w:rPr>
              <w:t>2</w:t>
            </w:r>
          </w:p>
        </w:tc>
        <w:tc>
          <w:tcPr>
            <w:tcW w:w="1483" w:type="dxa"/>
            <w:noWrap w:val="0"/>
            <w:vAlign w:val="center"/>
          </w:tcPr>
          <w:p w14:paraId="4F84E900">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星云开物</w:t>
            </w:r>
          </w:p>
        </w:tc>
        <w:tc>
          <w:tcPr>
            <w:tcW w:w="1710" w:type="dxa"/>
            <w:noWrap w:val="0"/>
            <w:vAlign w:val="center"/>
          </w:tcPr>
          <w:p w14:paraId="3F536AE9">
            <w:pPr>
              <w:widowControl/>
              <w:textAlignment w:val="top"/>
              <w:rPr>
                <w:rFonts w:ascii="Times New Roman" w:hAnsi="Times New Roman"/>
                <w:color w:val="000000"/>
                <w:szCs w:val="21"/>
              </w:rPr>
            </w:pPr>
            <w:r>
              <w:rPr>
                <w:rFonts w:hint="eastAsia" w:ascii="Times New Roman" w:hAnsi="Times New Roman"/>
                <w:szCs w:val="21"/>
              </w:rPr>
              <w:t>京东科技控股股份有限公司</w:t>
            </w:r>
          </w:p>
        </w:tc>
        <w:tc>
          <w:tcPr>
            <w:tcW w:w="2102" w:type="dxa"/>
            <w:noWrap w:val="0"/>
            <w:vAlign w:val="center"/>
          </w:tcPr>
          <w:p w14:paraId="6082C39E">
            <w:pPr>
              <w:jc w:val="center"/>
              <w:rPr>
                <w:rFonts w:ascii="Times New Roman" w:hAnsi="Times New Roman"/>
                <w:color w:val="000000"/>
                <w:szCs w:val="21"/>
              </w:rPr>
            </w:pPr>
            <w:r>
              <w:rPr>
                <w:rFonts w:hint="eastAsia" w:ascii="Times New Roman" w:hAnsi="Times New Roman"/>
                <w:bCs/>
                <w:szCs w:val="21"/>
              </w:rPr>
              <w:t>数字增值服务</w:t>
            </w:r>
          </w:p>
        </w:tc>
        <w:tc>
          <w:tcPr>
            <w:tcW w:w="1199" w:type="dxa"/>
            <w:noWrap w:val="0"/>
            <w:vAlign w:val="center"/>
          </w:tcPr>
          <w:p w14:paraId="5E579ADE">
            <w:pPr>
              <w:widowControl/>
              <w:spacing w:line="360" w:lineRule="atLeast"/>
              <w:jc w:val="center"/>
              <w:rPr>
                <w:rFonts w:hint="eastAsia" w:ascii="Times New Roman" w:hAnsi="Times New Roman"/>
                <w:color w:val="000000"/>
                <w:szCs w:val="21"/>
              </w:rPr>
            </w:pPr>
            <w:r>
              <w:rPr>
                <w:rFonts w:hint="eastAsia" w:ascii="Times New Roman" w:hAnsi="Times New Roman"/>
                <w:color w:val="000000"/>
                <w:szCs w:val="21"/>
              </w:rPr>
              <w:t>以实际数据为准</w:t>
            </w:r>
          </w:p>
        </w:tc>
        <w:tc>
          <w:tcPr>
            <w:tcW w:w="1170" w:type="dxa"/>
            <w:noWrap w:val="0"/>
            <w:vAlign w:val="center"/>
          </w:tcPr>
          <w:p w14:paraId="53024DD2">
            <w:pPr>
              <w:widowControl/>
              <w:spacing w:line="360" w:lineRule="atLeast"/>
              <w:jc w:val="center"/>
              <w:rPr>
                <w:rFonts w:ascii="Times New Roman" w:hAnsi="Times New Roman"/>
                <w:color w:val="000000"/>
                <w:szCs w:val="21"/>
              </w:rPr>
            </w:pPr>
            <w:r>
              <w:rPr>
                <w:rFonts w:hint="eastAsia" w:ascii="Times New Roman" w:hAnsi="Times New Roman"/>
                <w:color w:val="000000"/>
                <w:szCs w:val="21"/>
              </w:rPr>
              <w:t xml:space="preserve">一年 </w:t>
            </w:r>
          </w:p>
        </w:tc>
      </w:tr>
    </w:tbl>
    <w:p w14:paraId="5C81C050">
      <w:pPr>
        <w:widowControl/>
        <w:adjustRightInd w:val="0"/>
        <w:snapToGrid w:val="0"/>
        <w:spacing w:before="156" w:beforeLines="50" w:after="156" w:afterLines="50" w:line="360" w:lineRule="auto"/>
        <w:ind w:firstLine="482" w:firstLineChars="200"/>
        <w:outlineLvl w:val="2"/>
        <w:rPr>
          <w:rFonts w:hint="eastAsia" w:ascii="Times New Roman" w:hAnsi="Times New Roman"/>
          <w:b/>
          <w:bCs/>
          <w:kern w:val="0"/>
          <w:sz w:val="24"/>
        </w:rPr>
      </w:pPr>
      <w:r>
        <w:rPr>
          <w:rFonts w:hint="eastAsia" w:ascii="Times New Roman" w:hAnsi="Times New Roman"/>
          <w:b/>
          <w:bCs/>
          <w:kern w:val="0"/>
          <w:sz w:val="24"/>
        </w:rPr>
        <w:t>2、重大侵权之债</w:t>
      </w:r>
    </w:p>
    <w:p w14:paraId="5FB578BF">
      <w:pPr>
        <w:widowControl/>
        <w:adjustRightInd w:val="0"/>
        <w:snapToGrid w:val="0"/>
        <w:spacing w:before="156" w:beforeLines="50" w:line="360" w:lineRule="auto"/>
        <w:ind w:firstLine="488" w:firstLineChars="200"/>
        <w:rPr>
          <w:rFonts w:ascii="Times New Roman" w:hAnsi="Times New Roman"/>
          <w:kern w:val="0"/>
          <w:sz w:val="24"/>
        </w:rPr>
      </w:pPr>
      <w:r>
        <w:rPr>
          <w:rFonts w:ascii="Times New Roman" w:hAnsi="Times New Roman"/>
          <w:spacing w:val="2"/>
          <w:sz w:val="24"/>
        </w:rPr>
        <w:t>本所律师已在</w:t>
      </w:r>
      <w:r>
        <w:rPr>
          <w:rFonts w:ascii="Times New Roman" w:hAnsi="Times New Roman"/>
          <w:spacing w:val="-4"/>
          <w:sz w:val="24"/>
        </w:rPr>
        <w:t>《法律意见书》</w:t>
      </w:r>
      <w:r>
        <w:rPr>
          <w:rFonts w:ascii="Times New Roman" w:hAnsi="Times New Roman"/>
          <w:spacing w:val="2"/>
          <w:sz w:val="24"/>
        </w:rPr>
        <w:t>中披露</w:t>
      </w:r>
      <w:r>
        <w:rPr>
          <w:rFonts w:hint="eastAsia" w:ascii="Times New Roman" w:hAnsi="Times New Roman"/>
          <w:spacing w:val="2"/>
          <w:sz w:val="24"/>
        </w:rPr>
        <w:t>星云开物</w:t>
      </w:r>
      <w:r>
        <w:rPr>
          <w:rFonts w:ascii="Times New Roman" w:hAnsi="Times New Roman"/>
          <w:spacing w:val="2"/>
          <w:sz w:val="24"/>
        </w:rPr>
        <w:t>签订的截至2025年</w:t>
      </w:r>
      <w:r>
        <w:rPr>
          <w:rFonts w:hint="eastAsia" w:ascii="Times New Roman" w:hAnsi="Times New Roman"/>
          <w:spacing w:val="2"/>
          <w:sz w:val="24"/>
        </w:rPr>
        <w:t>6</w:t>
      </w:r>
      <w:r>
        <w:rPr>
          <w:rFonts w:ascii="Times New Roman" w:hAnsi="Times New Roman"/>
          <w:spacing w:val="2"/>
          <w:sz w:val="24"/>
        </w:rPr>
        <w:t>月3</w:t>
      </w:r>
      <w:r>
        <w:rPr>
          <w:rFonts w:hint="eastAsia" w:ascii="Times New Roman" w:hAnsi="Times New Roman"/>
          <w:spacing w:val="2"/>
          <w:sz w:val="24"/>
        </w:rPr>
        <w:t>0</w:t>
      </w:r>
      <w:r>
        <w:rPr>
          <w:rFonts w:ascii="Times New Roman" w:hAnsi="Times New Roman"/>
          <w:spacing w:val="2"/>
          <w:sz w:val="24"/>
        </w:rPr>
        <w:t>日</w:t>
      </w:r>
      <w:r>
        <w:rPr>
          <w:rFonts w:hint="eastAsia" w:ascii="Times New Roman" w:hAnsi="Times New Roman"/>
          <w:spacing w:val="2"/>
          <w:sz w:val="24"/>
        </w:rPr>
        <w:t>的</w:t>
      </w:r>
      <w:r>
        <w:rPr>
          <w:rFonts w:ascii="Times New Roman" w:hAnsi="Times New Roman"/>
          <w:sz w:val="24"/>
        </w:rPr>
        <w:t>重大</w:t>
      </w:r>
      <w:r>
        <w:rPr>
          <w:rFonts w:hint="eastAsia" w:ascii="Times New Roman" w:hAnsi="Times New Roman"/>
          <w:sz w:val="24"/>
        </w:rPr>
        <w:t>侵权之债</w:t>
      </w:r>
      <w:r>
        <w:rPr>
          <w:rFonts w:ascii="Times New Roman" w:hAnsi="Times New Roman"/>
          <w:spacing w:val="2"/>
          <w:sz w:val="24"/>
        </w:rPr>
        <w:t>的情况。</w:t>
      </w:r>
      <w:r>
        <w:rPr>
          <w:rFonts w:ascii="Times New Roman" w:hAnsi="Times New Roman"/>
          <w:kern w:val="0"/>
          <w:sz w:val="24"/>
        </w:rPr>
        <w:t>根据星云开物的确认及其提供的信用报告（无违法违规版），并经本所律师核查，截至本</w:t>
      </w:r>
      <w:r>
        <w:rPr>
          <w:rFonts w:hint="eastAsia" w:ascii="Times New Roman" w:hAnsi="Times New Roman"/>
          <w:kern w:val="0"/>
          <w:sz w:val="24"/>
        </w:rPr>
        <w:t>补充</w:t>
      </w:r>
      <w:r>
        <w:rPr>
          <w:rFonts w:ascii="Times New Roman" w:hAnsi="Times New Roman"/>
          <w:kern w:val="0"/>
          <w:sz w:val="24"/>
        </w:rPr>
        <w:t>法律意见书出具日，星云开物不存在因环境保护、知识产权、产品质量、劳动安全或人身权等原因产生的重大侵权之债。</w:t>
      </w:r>
    </w:p>
    <w:p w14:paraId="1176153A">
      <w:pPr>
        <w:widowControl/>
        <w:adjustRightInd w:val="0"/>
        <w:snapToGrid w:val="0"/>
        <w:spacing w:before="156" w:beforeLines="50" w:line="360" w:lineRule="auto"/>
        <w:ind w:firstLine="482" w:firstLineChars="200"/>
        <w:outlineLvl w:val="2"/>
        <w:rPr>
          <w:rFonts w:ascii="Times New Roman" w:hAnsi="Times New Roman"/>
          <w:b/>
          <w:bCs/>
          <w:kern w:val="0"/>
          <w:sz w:val="24"/>
          <w:lang w:eastAsia="zh"/>
        </w:rPr>
      </w:pPr>
      <w:r>
        <w:rPr>
          <w:rFonts w:ascii="Times New Roman" w:hAnsi="Times New Roman"/>
          <w:b/>
          <w:bCs/>
          <w:kern w:val="0"/>
          <w:sz w:val="24"/>
          <w:lang w:eastAsia="zh"/>
        </w:rPr>
        <w:t>3</w:t>
      </w:r>
      <w:r>
        <w:rPr>
          <w:rFonts w:ascii="Times New Roman" w:hAnsi="Times New Roman"/>
          <w:b/>
          <w:bCs/>
          <w:kern w:val="0"/>
          <w:sz w:val="24"/>
        </w:rPr>
        <w:t>、</w:t>
      </w:r>
      <w:r>
        <w:rPr>
          <w:rFonts w:ascii="Times New Roman" w:hAnsi="Times New Roman"/>
          <w:b/>
          <w:bCs/>
          <w:kern w:val="0"/>
          <w:sz w:val="24"/>
          <w:lang w:eastAsia="zh"/>
        </w:rPr>
        <w:t>其他应收</w:t>
      </w:r>
      <w:r>
        <w:rPr>
          <w:rFonts w:ascii="Times New Roman" w:hAnsi="Times New Roman"/>
          <w:b/>
          <w:bCs/>
          <w:kern w:val="0"/>
          <w:sz w:val="24"/>
        </w:rPr>
        <w:t>款及其他</w:t>
      </w:r>
      <w:r>
        <w:rPr>
          <w:rFonts w:ascii="Times New Roman" w:hAnsi="Times New Roman"/>
          <w:b/>
          <w:bCs/>
          <w:kern w:val="0"/>
          <w:sz w:val="24"/>
          <w:lang w:eastAsia="zh"/>
        </w:rPr>
        <w:t>应付款</w:t>
      </w:r>
    </w:p>
    <w:p w14:paraId="5261F18B">
      <w:pPr>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根据</w:t>
      </w:r>
      <w:r>
        <w:rPr>
          <w:rFonts w:ascii="Times New Roman" w:hAnsi="Times New Roman"/>
          <w:kern w:val="0"/>
          <w:sz w:val="24"/>
          <w:lang w:eastAsia="zh"/>
        </w:rPr>
        <w:t>《审计报告》</w:t>
      </w:r>
      <w:r>
        <w:rPr>
          <w:rFonts w:ascii="Times New Roman" w:hAnsi="Times New Roman"/>
          <w:kern w:val="0"/>
          <w:sz w:val="24"/>
        </w:rPr>
        <w:t>，截至</w:t>
      </w:r>
      <w:r>
        <w:rPr>
          <w:rFonts w:ascii="Times New Roman" w:hAnsi="Times New Roman"/>
          <w:kern w:val="0"/>
          <w:sz w:val="24"/>
          <w:lang w:eastAsia="zh"/>
        </w:rPr>
        <w:t>202</w:t>
      </w:r>
      <w:r>
        <w:rPr>
          <w:rFonts w:ascii="Times New Roman" w:hAnsi="Times New Roman"/>
          <w:kern w:val="0"/>
          <w:sz w:val="24"/>
        </w:rPr>
        <w:t>5</w:t>
      </w:r>
      <w:r>
        <w:rPr>
          <w:rFonts w:ascii="Times New Roman" w:hAnsi="Times New Roman"/>
          <w:kern w:val="0"/>
          <w:sz w:val="24"/>
          <w:lang w:eastAsia="zh"/>
        </w:rPr>
        <w:t>年</w:t>
      </w:r>
      <w:r>
        <w:rPr>
          <w:rFonts w:hint="eastAsia" w:ascii="Times New Roman" w:hAnsi="Times New Roman"/>
          <w:kern w:val="0"/>
          <w:sz w:val="24"/>
        </w:rPr>
        <w:t>12</w:t>
      </w:r>
      <w:r>
        <w:rPr>
          <w:rFonts w:ascii="Times New Roman" w:hAnsi="Times New Roman"/>
          <w:kern w:val="0"/>
          <w:sz w:val="24"/>
          <w:lang w:eastAsia="zh"/>
        </w:rPr>
        <w:t>月3</w:t>
      </w:r>
      <w:r>
        <w:rPr>
          <w:rFonts w:hint="eastAsia" w:ascii="Times New Roman" w:hAnsi="Times New Roman"/>
          <w:kern w:val="0"/>
          <w:sz w:val="24"/>
        </w:rPr>
        <w:t>1</w:t>
      </w:r>
      <w:r>
        <w:rPr>
          <w:rFonts w:ascii="Times New Roman" w:hAnsi="Times New Roman"/>
          <w:kern w:val="0"/>
          <w:sz w:val="24"/>
          <w:lang w:eastAsia="zh"/>
        </w:rPr>
        <w:t>日</w:t>
      </w:r>
      <w:r>
        <w:rPr>
          <w:rFonts w:ascii="Times New Roman" w:hAnsi="Times New Roman"/>
          <w:kern w:val="0"/>
          <w:sz w:val="24"/>
        </w:rPr>
        <w:t>，星云开物</w:t>
      </w:r>
      <w:r>
        <w:rPr>
          <w:rFonts w:ascii="Times New Roman" w:hAnsi="Times New Roman"/>
          <w:kern w:val="0"/>
          <w:sz w:val="24"/>
          <w:lang w:eastAsia="zh"/>
        </w:rPr>
        <w:t>其他应收款账面</w:t>
      </w:r>
      <w:r>
        <w:rPr>
          <w:rFonts w:hint="eastAsia" w:ascii="Times New Roman" w:hAnsi="Times New Roman"/>
          <w:kern w:val="0"/>
          <w:sz w:val="24"/>
        </w:rPr>
        <w:t>价值</w:t>
      </w:r>
      <w:r>
        <w:rPr>
          <w:rFonts w:ascii="Times New Roman" w:hAnsi="Times New Roman"/>
          <w:kern w:val="0"/>
          <w:sz w:val="24"/>
          <w:lang w:eastAsia="zh"/>
        </w:rPr>
        <w:t>为2,797.64万元，主要为</w:t>
      </w:r>
      <w:r>
        <w:rPr>
          <w:lang w:bidi="ar"/>
        </w:rPr>
        <w:t>合作意向金</w:t>
      </w:r>
      <w:r>
        <w:rPr>
          <w:rFonts w:hint="eastAsia"/>
          <w:lang w:bidi="ar"/>
        </w:rPr>
        <w:t>、</w:t>
      </w:r>
      <w:r>
        <w:rPr>
          <w:rFonts w:ascii="Times New Roman" w:hAnsi="Times New Roman"/>
          <w:kern w:val="0"/>
          <w:sz w:val="24"/>
          <w:lang w:bidi="ar"/>
        </w:rPr>
        <w:t>押金保证金</w:t>
      </w:r>
      <w:r>
        <w:rPr>
          <w:rFonts w:hint="eastAsia" w:ascii="Times New Roman" w:hAnsi="Times New Roman"/>
          <w:kern w:val="0"/>
          <w:sz w:val="24"/>
          <w:lang w:bidi="ar"/>
        </w:rPr>
        <w:t>等</w:t>
      </w:r>
      <w:r>
        <w:rPr>
          <w:rFonts w:ascii="Times New Roman" w:hAnsi="Times New Roman"/>
          <w:kern w:val="0"/>
          <w:sz w:val="24"/>
          <w:lang w:eastAsia="zh" w:bidi="ar"/>
        </w:rPr>
        <w:t>；</w:t>
      </w:r>
      <w:r>
        <w:rPr>
          <w:rFonts w:ascii="Times New Roman" w:hAnsi="Times New Roman"/>
          <w:kern w:val="0"/>
          <w:sz w:val="24"/>
        </w:rPr>
        <w:t>截至</w:t>
      </w:r>
      <w:r>
        <w:rPr>
          <w:rFonts w:ascii="Times New Roman" w:hAnsi="Times New Roman"/>
          <w:kern w:val="0"/>
          <w:sz w:val="24"/>
          <w:lang w:eastAsia="zh"/>
        </w:rPr>
        <w:t>202</w:t>
      </w:r>
      <w:r>
        <w:rPr>
          <w:rFonts w:ascii="Times New Roman" w:hAnsi="Times New Roman"/>
          <w:kern w:val="0"/>
          <w:sz w:val="24"/>
        </w:rPr>
        <w:t>5</w:t>
      </w:r>
      <w:r>
        <w:rPr>
          <w:rFonts w:ascii="Times New Roman" w:hAnsi="Times New Roman"/>
          <w:kern w:val="0"/>
          <w:sz w:val="24"/>
          <w:lang w:eastAsia="zh"/>
        </w:rPr>
        <w:t>年</w:t>
      </w:r>
      <w:r>
        <w:rPr>
          <w:rFonts w:hint="eastAsia" w:ascii="Times New Roman" w:hAnsi="Times New Roman"/>
          <w:kern w:val="0"/>
          <w:sz w:val="24"/>
        </w:rPr>
        <w:t>12</w:t>
      </w:r>
      <w:r>
        <w:rPr>
          <w:rFonts w:ascii="Times New Roman" w:hAnsi="Times New Roman"/>
          <w:kern w:val="0"/>
          <w:sz w:val="24"/>
          <w:lang w:eastAsia="zh"/>
        </w:rPr>
        <w:t>月3</w:t>
      </w:r>
      <w:r>
        <w:rPr>
          <w:rFonts w:hint="eastAsia" w:ascii="Times New Roman" w:hAnsi="Times New Roman"/>
          <w:kern w:val="0"/>
          <w:sz w:val="24"/>
        </w:rPr>
        <w:t>1</w:t>
      </w:r>
      <w:r>
        <w:rPr>
          <w:rFonts w:ascii="Times New Roman" w:hAnsi="Times New Roman"/>
          <w:kern w:val="0"/>
          <w:sz w:val="24"/>
          <w:lang w:eastAsia="zh"/>
        </w:rPr>
        <w:t>日</w:t>
      </w:r>
      <w:r>
        <w:rPr>
          <w:rFonts w:ascii="Times New Roman" w:hAnsi="Times New Roman"/>
          <w:kern w:val="0"/>
          <w:sz w:val="24"/>
        </w:rPr>
        <w:t>，星云开物</w:t>
      </w:r>
      <w:r>
        <w:rPr>
          <w:rFonts w:ascii="Times New Roman" w:hAnsi="Times New Roman"/>
          <w:kern w:val="0"/>
          <w:sz w:val="24"/>
          <w:lang w:eastAsia="zh"/>
        </w:rPr>
        <w:t>其他应付款账面</w:t>
      </w:r>
      <w:r>
        <w:rPr>
          <w:rFonts w:hint="eastAsia" w:ascii="Times New Roman" w:hAnsi="Times New Roman"/>
          <w:kern w:val="0"/>
          <w:sz w:val="24"/>
        </w:rPr>
        <w:t>价值</w:t>
      </w:r>
      <w:r>
        <w:rPr>
          <w:rFonts w:ascii="Times New Roman" w:hAnsi="Times New Roman"/>
          <w:kern w:val="0"/>
          <w:sz w:val="24"/>
          <w:lang w:eastAsia="zh"/>
        </w:rPr>
        <w:t>为582.48万元，主要为预提费用</w:t>
      </w:r>
      <w:r>
        <w:rPr>
          <w:rFonts w:ascii="Times New Roman" w:hAnsi="Times New Roman"/>
          <w:kern w:val="0"/>
          <w:sz w:val="24"/>
          <w:lang w:eastAsia="zh" w:bidi="ar"/>
        </w:rPr>
        <w:t>、代收代付款</w:t>
      </w:r>
      <w:r>
        <w:rPr>
          <w:rFonts w:hint="eastAsia" w:ascii="Times New Roman" w:hAnsi="Times New Roman"/>
          <w:kern w:val="0"/>
          <w:sz w:val="24"/>
          <w:lang w:bidi="ar"/>
        </w:rPr>
        <w:t>等</w:t>
      </w:r>
      <w:r>
        <w:rPr>
          <w:rFonts w:ascii="Times New Roman" w:hAnsi="Times New Roman"/>
          <w:kern w:val="0"/>
          <w:sz w:val="24"/>
          <w:lang w:eastAsia="zh"/>
        </w:rPr>
        <w:t>。</w:t>
      </w:r>
    </w:p>
    <w:p w14:paraId="5F03CB2F">
      <w:pPr>
        <w:widowControl/>
        <w:adjustRightInd w:val="0"/>
        <w:snapToGrid w:val="0"/>
        <w:spacing w:before="156" w:beforeLines="50" w:line="360" w:lineRule="auto"/>
        <w:ind w:firstLine="482" w:firstLineChars="200"/>
        <w:rPr>
          <w:rFonts w:ascii="Times New Roman" w:hAnsi="Times New Roman"/>
          <w:b/>
          <w:kern w:val="0"/>
          <w:sz w:val="24"/>
        </w:rPr>
      </w:pPr>
      <w:r>
        <w:rPr>
          <w:rFonts w:ascii="Times New Roman" w:hAnsi="Times New Roman"/>
          <w:b/>
          <w:kern w:val="0"/>
          <w:sz w:val="24"/>
        </w:rPr>
        <w:t>经核查，</w:t>
      </w:r>
      <w:r>
        <w:rPr>
          <w:rFonts w:hint="eastAsia" w:ascii="Times New Roman" w:hAnsi="Times New Roman"/>
          <w:b/>
          <w:kern w:val="0"/>
          <w:sz w:val="24"/>
        </w:rPr>
        <w:t>本所认为：</w:t>
      </w:r>
    </w:p>
    <w:p w14:paraId="5112E813">
      <w:pPr>
        <w:widowControl/>
        <w:adjustRightInd w:val="0"/>
        <w:snapToGrid w:val="0"/>
        <w:spacing w:before="156" w:beforeLines="50" w:line="360" w:lineRule="auto"/>
        <w:ind w:firstLine="482" w:firstLineChars="200"/>
        <w:rPr>
          <w:rFonts w:ascii="Times New Roman" w:hAnsi="Times New Roman"/>
          <w:b/>
          <w:kern w:val="0"/>
          <w:sz w:val="24"/>
        </w:rPr>
      </w:pPr>
      <w:r>
        <w:rPr>
          <w:rFonts w:ascii="Times New Roman" w:hAnsi="Times New Roman"/>
          <w:b/>
          <w:kern w:val="0"/>
          <w:sz w:val="24"/>
        </w:rPr>
        <w:t>上述其他应收款和其他应付款系在</w:t>
      </w:r>
      <w:r>
        <w:rPr>
          <w:rFonts w:hint="eastAsia" w:ascii="Times New Roman" w:hAnsi="Times New Roman"/>
          <w:b/>
          <w:kern w:val="0"/>
          <w:sz w:val="24"/>
        </w:rPr>
        <w:t>标的公司</w:t>
      </w:r>
      <w:r>
        <w:rPr>
          <w:rFonts w:ascii="Times New Roman" w:hAnsi="Times New Roman"/>
          <w:b/>
          <w:kern w:val="0"/>
          <w:sz w:val="24"/>
        </w:rPr>
        <w:t>正常生产经营过程中发生，合法、有效。</w:t>
      </w:r>
    </w:p>
    <w:p w14:paraId="60C22548">
      <w:pPr>
        <w:pStyle w:val="39"/>
        <w:adjustRightInd w:val="0"/>
        <w:snapToGrid w:val="0"/>
        <w:spacing w:before="156" w:beforeLines="50" w:after="156" w:afterLines="50"/>
        <w:ind w:firstLine="482"/>
        <w:outlineLvl w:val="1"/>
        <w:rPr>
          <w:b/>
          <w:bCs/>
          <w:color w:val="000000"/>
          <w:kern w:val="0"/>
          <w:szCs w:val="24"/>
        </w:rPr>
      </w:pPr>
      <w:bookmarkStart w:id="39" w:name="_Toc17175"/>
      <w:bookmarkStart w:id="40" w:name="_Toc4855"/>
      <w:r>
        <w:rPr>
          <w:b/>
          <w:bCs/>
          <w:color w:val="000000"/>
          <w:kern w:val="0"/>
          <w:szCs w:val="24"/>
        </w:rPr>
        <w:t>（六）标的公司的税务</w:t>
      </w:r>
      <w:bookmarkEnd w:id="39"/>
      <w:bookmarkEnd w:id="40"/>
    </w:p>
    <w:p w14:paraId="5E6A69A2">
      <w:pPr>
        <w:widowControl/>
        <w:adjustRightInd w:val="0"/>
        <w:snapToGrid w:val="0"/>
        <w:spacing w:before="156" w:beforeLines="50" w:after="156" w:afterLines="50" w:line="360" w:lineRule="auto"/>
        <w:ind w:firstLine="482" w:firstLineChars="200"/>
        <w:outlineLvl w:val="2"/>
        <w:rPr>
          <w:rFonts w:ascii="Times New Roman" w:hAnsi="Times New Roman"/>
          <w:b/>
          <w:bCs/>
          <w:color w:val="000000"/>
          <w:kern w:val="0"/>
          <w:sz w:val="24"/>
        </w:rPr>
      </w:pPr>
      <w:r>
        <w:rPr>
          <w:rFonts w:ascii="Times New Roman" w:hAnsi="Times New Roman"/>
          <w:b/>
          <w:bCs/>
          <w:color w:val="000000"/>
          <w:kern w:val="0"/>
          <w:sz w:val="24"/>
        </w:rPr>
        <w:t>1、主要税种及税率</w:t>
      </w:r>
    </w:p>
    <w:p w14:paraId="6DF74F9B">
      <w:pPr>
        <w:widowControl/>
        <w:kinsoku w:val="0"/>
        <w:autoSpaceDE w:val="0"/>
        <w:autoSpaceDN w:val="0"/>
        <w:adjustRightInd w:val="0"/>
        <w:snapToGrid w:val="0"/>
        <w:spacing w:before="156" w:beforeLines="50" w:after="156" w:afterLines="50" w:line="360" w:lineRule="auto"/>
        <w:ind w:firstLine="496" w:firstLineChars="200"/>
        <w:textAlignment w:val="baseline"/>
        <w:rPr>
          <w:rFonts w:ascii="Times New Roman" w:hAnsi="Times New Roman"/>
          <w:sz w:val="24"/>
        </w:rPr>
      </w:pPr>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星云开物</w:t>
      </w:r>
      <w:r>
        <w:rPr>
          <w:rFonts w:ascii="Times New Roman" w:hAnsi="Times New Roman"/>
          <w:spacing w:val="4"/>
          <w:sz w:val="24"/>
        </w:rPr>
        <w:t>执行的主要税种及税率的</w:t>
      </w:r>
      <w:r>
        <w:rPr>
          <w:rFonts w:ascii="Times New Roman" w:hAnsi="Times New Roman"/>
          <w:spacing w:val="-3"/>
          <w:sz w:val="24"/>
        </w:rPr>
        <w:t>情况。</w:t>
      </w:r>
      <w:r>
        <w:rPr>
          <w:rFonts w:ascii="Times New Roman" w:hAnsi="Times New Roman"/>
          <w:spacing w:val="4"/>
          <w:sz w:val="24"/>
        </w:rPr>
        <w:t>经核查，补充核查期间内，</w:t>
      </w:r>
      <w:r>
        <w:rPr>
          <w:rFonts w:hint="eastAsia" w:ascii="Times New Roman" w:hAnsi="Times New Roman"/>
          <w:spacing w:val="4"/>
          <w:sz w:val="24"/>
        </w:rPr>
        <w:t>星云开物</w:t>
      </w:r>
      <w:r>
        <w:rPr>
          <w:rFonts w:ascii="Times New Roman" w:hAnsi="Times New Roman"/>
          <w:spacing w:val="4"/>
          <w:sz w:val="24"/>
        </w:rPr>
        <w:t>执行的主要税种和税率未发生</w:t>
      </w:r>
      <w:r>
        <w:rPr>
          <w:rFonts w:ascii="Times New Roman" w:hAnsi="Times New Roman"/>
          <w:spacing w:val="-1"/>
          <w:sz w:val="24"/>
        </w:rPr>
        <w:t>变化，</w:t>
      </w:r>
      <w:r>
        <w:rPr>
          <w:rFonts w:hint="eastAsia" w:ascii="Times New Roman" w:hAnsi="Times New Roman"/>
          <w:spacing w:val="4"/>
          <w:sz w:val="24"/>
        </w:rPr>
        <w:t>星云开物</w:t>
      </w:r>
      <w:r>
        <w:rPr>
          <w:rFonts w:ascii="Times New Roman" w:hAnsi="Times New Roman"/>
          <w:spacing w:val="-1"/>
          <w:sz w:val="24"/>
        </w:rPr>
        <w:t>执行的税种、税率符合现行法律、法</w:t>
      </w:r>
      <w:r>
        <w:rPr>
          <w:rFonts w:ascii="Times New Roman" w:hAnsi="Times New Roman"/>
          <w:spacing w:val="-2"/>
          <w:sz w:val="24"/>
        </w:rPr>
        <w:t>规和规范性文件的要求。</w:t>
      </w:r>
    </w:p>
    <w:p w14:paraId="24FA8A1A">
      <w:pPr>
        <w:widowControl/>
        <w:adjustRightInd w:val="0"/>
        <w:snapToGrid w:val="0"/>
        <w:spacing w:before="156" w:beforeLines="50" w:after="156" w:afterLines="50" w:line="360" w:lineRule="auto"/>
        <w:ind w:firstLine="482" w:firstLineChars="200"/>
        <w:outlineLvl w:val="2"/>
        <w:rPr>
          <w:rFonts w:ascii="Times New Roman" w:hAnsi="Times New Roman"/>
          <w:b/>
          <w:bCs/>
          <w:color w:val="000000"/>
          <w:kern w:val="0"/>
          <w:sz w:val="24"/>
        </w:rPr>
      </w:pPr>
      <w:r>
        <w:rPr>
          <w:rFonts w:ascii="Times New Roman" w:hAnsi="Times New Roman"/>
          <w:b/>
          <w:bCs/>
          <w:color w:val="000000"/>
          <w:kern w:val="0"/>
          <w:sz w:val="24"/>
        </w:rPr>
        <w:t>2、主要税收优惠</w:t>
      </w:r>
    </w:p>
    <w:p w14:paraId="30B26355">
      <w:pPr>
        <w:widowControl/>
        <w:kinsoku w:val="0"/>
        <w:autoSpaceDE w:val="0"/>
        <w:autoSpaceDN w:val="0"/>
        <w:adjustRightInd w:val="0"/>
        <w:snapToGrid w:val="0"/>
        <w:spacing w:before="156" w:beforeLines="50" w:after="156" w:afterLines="50" w:line="360" w:lineRule="auto"/>
        <w:ind w:firstLine="496" w:firstLineChars="200"/>
        <w:textAlignment w:val="baseline"/>
        <w:rPr>
          <w:rFonts w:ascii="Times New Roman" w:hAnsi="Times New Roman"/>
          <w:sz w:val="24"/>
        </w:rPr>
      </w:pPr>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星云开物</w:t>
      </w:r>
      <w:r>
        <w:rPr>
          <w:rFonts w:ascii="Times New Roman" w:hAnsi="Times New Roman"/>
          <w:spacing w:val="4"/>
          <w:sz w:val="24"/>
        </w:rPr>
        <w:t>享受的税收优惠的</w:t>
      </w:r>
      <w:r>
        <w:rPr>
          <w:rFonts w:ascii="Times New Roman" w:hAnsi="Times New Roman"/>
          <w:spacing w:val="-3"/>
          <w:sz w:val="24"/>
        </w:rPr>
        <w:t>情况。</w:t>
      </w:r>
      <w:r>
        <w:rPr>
          <w:rFonts w:ascii="Times New Roman" w:hAnsi="Times New Roman"/>
          <w:spacing w:val="-5"/>
          <w:sz w:val="24"/>
        </w:rPr>
        <w:t>根据</w:t>
      </w:r>
      <w:r>
        <w:rPr>
          <w:rFonts w:hint="eastAsia" w:ascii="Times New Roman" w:hAnsi="Times New Roman"/>
          <w:spacing w:val="4"/>
          <w:sz w:val="24"/>
        </w:rPr>
        <w:t>星云开物</w:t>
      </w:r>
      <w:r>
        <w:rPr>
          <w:rFonts w:ascii="Times New Roman" w:hAnsi="Times New Roman"/>
          <w:spacing w:val="-5"/>
          <w:sz w:val="24"/>
        </w:rPr>
        <w:t>提供的资料、</w:t>
      </w:r>
      <w:r>
        <w:rPr>
          <w:rFonts w:hint="eastAsia" w:ascii="Times New Roman" w:hAnsi="Times New Roman"/>
          <w:sz w:val="24"/>
        </w:rPr>
        <w:t>审计报告</w:t>
      </w:r>
      <w:r>
        <w:rPr>
          <w:rFonts w:ascii="Times New Roman" w:hAnsi="Times New Roman"/>
          <w:spacing w:val="-5"/>
          <w:sz w:val="24"/>
        </w:rPr>
        <w:t>并经核查，补充核查期间内，</w:t>
      </w:r>
      <w:r>
        <w:rPr>
          <w:rFonts w:hint="eastAsia" w:ascii="Times New Roman" w:hAnsi="Times New Roman"/>
          <w:spacing w:val="4"/>
          <w:sz w:val="24"/>
        </w:rPr>
        <w:t>星云开物</w:t>
      </w:r>
      <w:r>
        <w:rPr>
          <w:rFonts w:ascii="Times New Roman" w:hAnsi="Times New Roman"/>
          <w:spacing w:val="-3"/>
          <w:sz w:val="24"/>
        </w:rPr>
        <w:t>享受的主要税收优惠政策未发生变化。</w:t>
      </w:r>
    </w:p>
    <w:p w14:paraId="4955C454">
      <w:pPr>
        <w:widowControl/>
        <w:adjustRightInd w:val="0"/>
        <w:snapToGrid w:val="0"/>
        <w:spacing w:before="156" w:beforeLines="50" w:after="156" w:afterLines="50" w:line="360" w:lineRule="auto"/>
        <w:ind w:firstLine="482" w:firstLineChars="200"/>
        <w:outlineLvl w:val="2"/>
        <w:rPr>
          <w:rFonts w:hint="eastAsia" w:ascii="Times New Roman" w:hAnsi="Times New Roman"/>
          <w:b/>
          <w:bCs/>
          <w:color w:val="000000"/>
          <w:kern w:val="0"/>
          <w:sz w:val="24"/>
        </w:rPr>
      </w:pPr>
      <w:r>
        <w:rPr>
          <w:rFonts w:ascii="Times New Roman" w:hAnsi="Times New Roman"/>
          <w:b/>
          <w:bCs/>
          <w:color w:val="000000"/>
          <w:kern w:val="0"/>
          <w:sz w:val="24"/>
        </w:rPr>
        <w:t>3、</w:t>
      </w:r>
      <w:r>
        <w:rPr>
          <w:rFonts w:hint="eastAsia" w:ascii="Times New Roman" w:hAnsi="Times New Roman"/>
          <w:b/>
          <w:bCs/>
          <w:color w:val="000000"/>
          <w:kern w:val="0"/>
          <w:sz w:val="24"/>
        </w:rPr>
        <w:t>政府补助</w:t>
      </w:r>
    </w:p>
    <w:p w14:paraId="6E551B0D">
      <w:pPr>
        <w:tabs>
          <w:tab w:val="left" w:pos="709"/>
        </w:tabs>
        <w:snapToGrid w:val="0"/>
        <w:spacing w:before="156" w:beforeLines="50" w:after="156" w:afterLines="50" w:line="360" w:lineRule="auto"/>
        <w:ind w:firstLine="496" w:firstLineChars="200"/>
        <w:rPr>
          <w:rFonts w:ascii="Times New Roman" w:hAnsi="Times New Roman"/>
          <w:sz w:val="24"/>
        </w:rPr>
      </w:pPr>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星云开物</w:t>
      </w:r>
      <w:r>
        <w:rPr>
          <w:rFonts w:ascii="Times New Roman" w:hAnsi="Times New Roman"/>
          <w:spacing w:val="4"/>
          <w:sz w:val="24"/>
        </w:rPr>
        <w:t>享受的</w:t>
      </w:r>
      <w:r>
        <w:rPr>
          <w:rFonts w:hint="eastAsia" w:ascii="Times New Roman" w:hAnsi="Times New Roman"/>
          <w:spacing w:val="4"/>
          <w:sz w:val="24"/>
        </w:rPr>
        <w:t>政府补助</w:t>
      </w:r>
      <w:r>
        <w:rPr>
          <w:rFonts w:ascii="Times New Roman" w:hAnsi="Times New Roman"/>
          <w:spacing w:val="4"/>
          <w:sz w:val="24"/>
        </w:rPr>
        <w:t>的</w:t>
      </w:r>
      <w:r>
        <w:rPr>
          <w:rFonts w:ascii="Times New Roman" w:hAnsi="Times New Roman"/>
          <w:spacing w:val="-3"/>
          <w:sz w:val="24"/>
        </w:rPr>
        <w:t>情况。</w:t>
      </w:r>
      <w:r>
        <w:rPr>
          <w:rFonts w:ascii="Times New Roman" w:hAnsi="Times New Roman"/>
          <w:sz w:val="24"/>
        </w:rPr>
        <w:t>根据星云开物提供的资料并经本所律师核查，</w:t>
      </w:r>
      <w:r>
        <w:rPr>
          <w:rFonts w:ascii="Times New Roman" w:hAnsi="Times New Roman"/>
          <w:spacing w:val="-5"/>
          <w:sz w:val="24"/>
        </w:rPr>
        <w:t>补充核查期间内，</w:t>
      </w:r>
      <w:r>
        <w:rPr>
          <w:rFonts w:ascii="Times New Roman" w:hAnsi="Times New Roman"/>
          <w:sz w:val="24"/>
        </w:rPr>
        <w:t>星云开物及其子公司报告期内计入当期损益的金额在10万元以上（含10万元）的政府补助情况如下：</w:t>
      </w:r>
    </w:p>
    <w:tbl>
      <w:tblPr>
        <w:tblStyle w:val="2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2045"/>
        <w:gridCol w:w="3868"/>
        <w:gridCol w:w="1816"/>
      </w:tblGrid>
      <w:tr w14:paraId="46AB25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464" w:type="pct"/>
            <w:noWrap w:val="0"/>
            <w:vAlign w:val="center"/>
          </w:tcPr>
          <w:p w14:paraId="4D4CD5BE">
            <w:pPr>
              <w:adjustRightInd w:val="0"/>
              <w:snapToGrid w:val="0"/>
              <w:jc w:val="center"/>
              <w:rPr>
                <w:rFonts w:ascii="Times New Roman" w:hAnsi="Times New Roman"/>
                <w:b/>
                <w:bCs/>
                <w:color w:val="000000"/>
                <w:szCs w:val="21"/>
              </w:rPr>
            </w:pPr>
            <w:r>
              <w:rPr>
                <w:rFonts w:ascii="Times New Roman" w:hAnsi="Times New Roman"/>
                <w:b/>
                <w:bCs/>
                <w:color w:val="000000"/>
                <w:szCs w:val="21"/>
              </w:rPr>
              <w:t>序号</w:t>
            </w:r>
          </w:p>
        </w:tc>
        <w:tc>
          <w:tcPr>
            <w:tcW w:w="1200" w:type="pct"/>
            <w:noWrap w:val="0"/>
            <w:vAlign w:val="center"/>
          </w:tcPr>
          <w:p w14:paraId="5319F70E">
            <w:pPr>
              <w:adjustRightInd w:val="0"/>
              <w:snapToGrid w:val="0"/>
              <w:jc w:val="center"/>
              <w:rPr>
                <w:rFonts w:ascii="Times New Roman" w:hAnsi="Times New Roman"/>
                <w:b/>
                <w:bCs/>
                <w:color w:val="000000"/>
                <w:szCs w:val="21"/>
              </w:rPr>
            </w:pPr>
            <w:r>
              <w:rPr>
                <w:rFonts w:ascii="Times New Roman" w:hAnsi="Times New Roman"/>
                <w:b/>
                <w:bCs/>
                <w:color w:val="000000"/>
                <w:szCs w:val="21"/>
              </w:rPr>
              <w:t>主体</w:t>
            </w:r>
          </w:p>
        </w:tc>
        <w:tc>
          <w:tcPr>
            <w:tcW w:w="2270" w:type="pct"/>
            <w:noWrap w:val="0"/>
            <w:vAlign w:val="center"/>
          </w:tcPr>
          <w:p w14:paraId="5AC579C4">
            <w:pPr>
              <w:adjustRightInd w:val="0"/>
              <w:snapToGrid w:val="0"/>
              <w:jc w:val="center"/>
              <w:rPr>
                <w:rFonts w:ascii="Times New Roman" w:hAnsi="Times New Roman"/>
                <w:b/>
                <w:bCs/>
                <w:color w:val="000000"/>
                <w:szCs w:val="21"/>
              </w:rPr>
            </w:pPr>
            <w:r>
              <w:rPr>
                <w:rFonts w:ascii="Times New Roman" w:hAnsi="Times New Roman"/>
                <w:b/>
                <w:bCs/>
                <w:color w:val="000000"/>
                <w:szCs w:val="21"/>
              </w:rPr>
              <w:t>项目名称</w:t>
            </w:r>
          </w:p>
        </w:tc>
        <w:tc>
          <w:tcPr>
            <w:tcW w:w="1065" w:type="pct"/>
            <w:noWrap w:val="0"/>
            <w:vAlign w:val="center"/>
          </w:tcPr>
          <w:p w14:paraId="11E54ED5">
            <w:pPr>
              <w:adjustRightInd w:val="0"/>
              <w:snapToGrid w:val="0"/>
              <w:jc w:val="center"/>
              <w:rPr>
                <w:rFonts w:ascii="Times New Roman" w:hAnsi="Times New Roman"/>
                <w:b/>
                <w:bCs/>
                <w:color w:val="000000"/>
                <w:szCs w:val="21"/>
              </w:rPr>
            </w:pPr>
            <w:r>
              <w:rPr>
                <w:rFonts w:ascii="Times New Roman" w:hAnsi="Times New Roman"/>
                <w:b/>
                <w:bCs/>
                <w:color w:val="000000"/>
                <w:szCs w:val="21"/>
              </w:rPr>
              <w:t>金额</w:t>
            </w:r>
          </w:p>
          <w:p w14:paraId="6FD33C5C">
            <w:pPr>
              <w:adjustRightInd w:val="0"/>
              <w:snapToGrid w:val="0"/>
              <w:jc w:val="center"/>
              <w:rPr>
                <w:rFonts w:ascii="Times New Roman" w:hAnsi="Times New Roman"/>
                <w:b/>
                <w:bCs/>
                <w:color w:val="000000"/>
                <w:szCs w:val="21"/>
              </w:rPr>
            </w:pPr>
            <w:r>
              <w:rPr>
                <w:rFonts w:ascii="Times New Roman" w:hAnsi="Times New Roman"/>
                <w:b/>
                <w:bCs/>
                <w:color w:val="000000"/>
                <w:szCs w:val="21"/>
              </w:rPr>
              <w:t>（万元）</w:t>
            </w:r>
          </w:p>
        </w:tc>
      </w:tr>
      <w:tr w14:paraId="7362BC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000" w:type="pct"/>
            <w:gridSpan w:val="4"/>
            <w:noWrap w:val="0"/>
            <w:vAlign w:val="center"/>
          </w:tcPr>
          <w:p w14:paraId="76BE5FFB">
            <w:pPr>
              <w:adjustRightInd w:val="0"/>
              <w:snapToGrid w:val="0"/>
              <w:jc w:val="center"/>
              <w:rPr>
                <w:rFonts w:ascii="Times New Roman" w:hAnsi="Times New Roman"/>
                <w:b/>
                <w:bCs/>
                <w:szCs w:val="21"/>
                <w:lang w:bidi="ar"/>
              </w:rPr>
            </w:pPr>
            <w:r>
              <w:rPr>
                <w:rFonts w:ascii="Times New Roman" w:hAnsi="Times New Roman"/>
                <w:b/>
                <w:bCs/>
                <w:szCs w:val="21"/>
                <w:lang w:bidi="ar"/>
              </w:rPr>
              <w:t>202</w:t>
            </w:r>
            <w:r>
              <w:rPr>
                <w:rFonts w:hint="eastAsia" w:ascii="Times New Roman" w:hAnsi="Times New Roman"/>
                <w:b/>
                <w:bCs/>
                <w:szCs w:val="21"/>
                <w:lang w:bidi="ar"/>
              </w:rPr>
              <w:t>5</w:t>
            </w:r>
            <w:r>
              <w:rPr>
                <w:rFonts w:ascii="Times New Roman" w:hAnsi="Times New Roman"/>
                <w:b/>
                <w:bCs/>
                <w:szCs w:val="21"/>
                <w:lang w:bidi="ar"/>
              </w:rPr>
              <w:t>年度</w:t>
            </w:r>
          </w:p>
        </w:tc>
      </w:tr>
      <w:tr w14:paraId="57E65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64" w:type="pct"/>
            <w:noWrap w:val="0"/>
            <w:vAlign w:val="center"/>
          </w:tcPr>
          <w:p w14:paraId="4FD50B92">
            <w:pPr>
              <w:adjustRightInd w:val="0"/>
              <w:snapToGrid w:val="0"/>
              <w:jc w:val="center"/>
              <w:rPr>
                <w:rFonts w:hint="eastAsia" w:ascii="Times New Roman" w:hAnsi="Times New Roman"/>
                <w:szCs w:val="21"/>
              </w:rPr>
            </w:pPr>
            <w:r>
              <w:rPr>
                <w:rFonts w:hint="eastAsia" w:ascii="Times New Roman" w:hAnsi="Times New Roman"/>
                <w:szCs w:val="21"/>
              </w:rPr>
              <w:t>1</w:t>
            </w:r>
          </w:p>
        </w:tc>
        <w:tc>
          <w:tcPr>
            <w:tcW w:w="1200" w:type="pct"/>
            <w:noWrap w:val="0"/>
            <w:vAlign w:val="center"/>
          </w:tcPr>
          <w:p w14:paraId="3CC6AEC2">
            <w:pPr>
              <w:adjustRightInd w:val="0"/>
              <w:snapToGrid w:val="0"/>
              <w:jc w:val="center"/>
              <w:rPr>
                <w:rFonts w:ascii="Times New Roman" w:hAnsi="Times New Roman"/>
                <w:color w:val="000000"/>
                <w:szCs w:val="21"/>
              </w:rPr>
            </w:pPr>
            <w:r>
              <w:rPr>
                <w:rFonts w:hint="eastAsia" w:ascii="Times New Roman" w:hAnsi="Times New Roman"/>
                <w:color w:val="000000"/>
                <w:szCs w:val="21"/>
              </w:rPr>
              <w:t>乐享智云</w:t>
            </w:r>
          </w:p>
        </w:tc>
        <w:tc>
          <w:tcPr>
            <w:tcW w:w="2270" w:type="pct"/>
            <w:noWrap w:val="0"/>
            <w:vAlign w:val="center"/>
          </w:tcPr>
          <w:p w14:paraId="3AA8A9F5">
            <w:pPr>
              <w:adjustRightInd w:val="0"/>
              <w:snapToGrid w:val="0"/>
              <w:rPr>
                <w:rFonts w:ascii="Times New Roman" w:hAnsi="Times New Roman"/>
                <w:bCs/>
                <w:kern w:val="0"/>
                <w:szCs w:val="21"/>
              </w:rPr>
            </w:pPr>
            <w:r>
              <w:rPr>
                <w:rFonts w:ascii="Times New Roman" w:hAnsi="Times New Roman"/>
                <w:bCs/>
                <w:kern w:val="0"/>
                <w:szCs w:val="21"/>
              </w:rPr>
              <w:t>中山市发展和改革局充电设施奖励补贴</w:t>
            </w:r>
          </w:p>
        </w:tc>
        <w:tc>
          <w:tcPr>
            <w:tcW w:w="1065" w:type="pct"/>
            <w:noWrap w:val="0"/>
            <w:vAlign w:val="center"/>
          </w:tcPr>
          <w:p w14:paraId="5977D5DB">
            <w:pPr>
              <w:adjustRightInd w:val="0"/>
              <w:snapToGrid w:val="0"/>
              <w:jc w:val="center"/>
              <w:rPr>
                <w:rFonts w:ascii="Times New Roman" w:hAnsi="Times New Roman"/>
                <w:bCs/>
                <w:kern w:val="0"/>
                <w:szCs w:val="21"/>
              </w:rPr>
            </w:pPr>
            <w:r>
              <w:rPr>
                <w:rFonts w:ascii="Times New Roman" w:hAnsi="Times New Roman"/>
                <w:bCs/>
                <w:kern w:val="0"/>
                <w:szCs w:val="21"/>
              </w:rPr>
              <w:t>88.4405</w:t>
            </w:r>
          </w:p>
        </w:tc>
      </w:tr>
    </w:tbl>
    <w:p w14:paraId="59042A58">
      <w:pPr>
        <w:widowControl/>
        <w:adjustRightInd w:val="0"/>
        <w:snapToGrid w:val="0"/>
        <w:spacing w:before="156" w:beforeLines="50" w:line="360" w:lineRule="auto"/>
        <w:ind w:firstLine="482" w:firstLineChars="200"/>
        <w:rPr>
          <w:rFonts w:ascii="Times New Roman" w:hAnsi="Times New Roman"/>
          <w:b/>
          <w:bCs/>
          <w:kern w:val="0"/>
          <w:sz w:val="24"/>
          <w:lang w:eastAsia="zh" w:bidi="ar"/>
        </w:rPr>
      </w:pPr>
      <w:r>
        <w:rPr>
          <w:rFonts w:ascii="Times New Roman" w:hAnsi="Times New Roman"/>
          <w:b/>
          <w:bCs/>
          <w:kern w:val="0"/>
          <w:sz w:val="24"/>
          <w:lang w:eastAsia="zh" w:bidi="ar"/>
        </w:rPr>
        <w:t>据此</w:t>
      </w:r>
      <w:r>
        <w:rPr>
          <w:rFonts w:ascii="Times New Roman" w:hAnsi="Times New Roman"/>
          <w:b/>
          <w:bCs/>
          <w:kern w:val="0"/>
          <w:sz w:val="24"/>
          <w:lang w:bidi="ar"/>
        </w:rPr>
        <w:t>，</w:t>
      </w:r>
      <w:r>
        <w:rPr>
          <w:rFonts w:hint="eastAsia" w:ascii="Times New Roman" w:hAnsi="Times New Roman"/>
          <w:b/>
          <w:bCs/>
          <w:kern w:val="0"/>
          <w:sz w:val="24"/>
          <w:lang w:bidi="ar"/>
        </w:rPr>
        <w:t>本所认为：</w:t>
      </w:r>
    </w:p>
    <w:p w14:paraId="5ACF9ACD">
      <w:pPr>
        <w:widowControl/>
        <w:adjustRightInd w:val="0"/>
        <w:snapToGrid w:val="0"/>
        <w:spacing w:before="156" w:beforeLines="50" w:line="360" w:lineRule="auto"/>
        <w:ind w:firstLine="482" w:firstLineChars="200"/>
        <w:rPr>
          <w:rFonts w:ascii="Times New Roman" w:hAnsi="Times New Roman"/>
          <w:b/>
          <w:bCs/>
          <w:kern w:val="0"/>
          <w:sz w:val="24"/>
          <w:lang w:eastAsia="zh" w:bidi="ar"/>
        </w:rPr>
      </w:pPr>
      <w:r>
        <w:rPr>
          <w:rFonts w:ascii="Times New Roman" w:hAnsi="Times New Roman"/>
          <w:b/>
          <w:bCs/>
          <w:kern w:val="0"/>
          <w:sz w:val="24"/>
          <w:lang w:bidi="ar"/>
        </w:rPr>
        <w:t>补充核查期间内，星云开物及其子公司</w:t>
      </w:r>
      <w:r>
        <w:rPr>
          <w:rFonts w:ascii="Times New Roman" w:hAnsi="Times New Roman"/>
          <w:b/>
          <w:bCs/>
          <w:kern w:val="0"/>
          <w:sz w:val="24"/>
          <w:lang w:eastAsia="zh" w:bidi="ar"/>
        </w:rPr>
        <w:t>获得的上述主要</w:t>
      </w:r>
      <w:r>
        <w:rPr>
          <w:rFonts w:ascii="Times New Roman" w:hAnsi="Times New Roman"/>
          <w:b/>
          <w:bCs/>
          <w:kern w:val="0"/>
          <w:sz w:val="24"/>
          <w:lang w:bidi="ar"/>
        </w:rPr>
        <w:t>政府补助</w:t>
      </w:r>
      <w:r>
        <w:rPr>
          <w:rFonts w:ascii="Times New Roman" w:hAnsi="Times New Roman"/>
          <w:b/>
          <w:bCs/>
          <w:kern w:val="0"/>
          <w:sz w:val="24"/>
          <w:lang w:eastAsia="zh" w:bidi="ar"/>
        </w:rPr>
        <w:t>合法合规</w:t>
      </w:r>
      <w:r>
        <w:rPr>
          <w:rFonts w:ascii="Times New Roman" w:hAnsi="Times New Roman"/>
          <w:b/>
          <w:bCs/>
          <w:kern w:val="0"/>
          <w:sz w:val="24"/>
          <w:lang w:bidi="ar"/>
        </w:rPr>
        <w:t>、真实有效</w:t>
      </w:r>
      <w:r>
        <w:rPr>
          <w:rFonts w:ascii="Times New Roman" w:hAnsi="Times New Roman"/>
          <w:b/>
          <w:bCs/>
          <w:kern w:val="0"/>
          <w:sz w:val="24"/>
          <w:lang w:eastAsia="zh" w:bidi="ar"/>
        </w:rPr>
        <w:t>。</w:t>
      </w:r>
    </w:p>
    <w:p w14:paraId="1003D69D">
      <w:pPr>
        <w:widowControl/>
        <w:adjustRightInd w:val="0"/>
        <w:snapToGrid w:val="0"/>
        <w:spacing w:before="156" w:beforeLines="50" w:line="360" w:lineRule="auto"/>
        <w:ind w:firstLine="482" w:firstLineChars="200"/>
        <w:outlineLvl w:val="2"/>
        <w:rPr>
          <w:rFonts w:ascii="Times New Roman" w:hAnsi="Times New Roman"/>
          <w:b/>
          <w:bCs/>
          <w:kern w:val="0"/>
          <w:sz w:val="24"/>
        </w:rPr>
      </w:pPr>
      <w:r>
        <w:rPr>
          <w:rFonts w:ascii="Times New Roman" w:hAnsi="Times New Roman"/>
          <w:b/>
          <w:bCs/>
          <w:kern w:val="0"/>
          <w:sz w:val="24"/>
        </w:rPr>
        <w:t>4、依法纳税情况</w:t>
      </w:r>
    </w:p>
    <w:p w14:paraId="04E0B219">
      <w:pPr>
        <w:widowControl/>
        <w:adjustRightInd w:val="0"/>
        <w:snapToGrid w:val="0"/>
        <w:spacing w:before="156" w:beforeLines="50" w:line="360" w:lineRule="auto"/>
        <w:ind w:firstLine="480" w:firstLineChars="200"/>
        <w:rPr>
          <w:rFonts w:ascii="Times New Roman" w:hAnsi="Times New Roman"/>
          <w:kern w:val="0"/>
          <w:sz w:val="24"/>
          <w:lang w:bidi="ar"/>
        </w:rPr>
      </w:pPr>
      <w:r>
        <w:rPr>
          <w:rFonts w:ascii="Times New Roman" w:hAnsi="Times New Roman"/>
          <w:kern w:val="0"/>
          <w:sz w:val="24"/>
          <w:lang w:bidi="ar"/>
        </w:rPr>
        <w:t>根据星云开物提供的税务主管部门出具的税收合规证明并经本所律师核查，报告期内星云开物及其子公司不存在因违反税务征管方面的法律法规、规范性文件而受到行政处罚。</w:t>
      </w:r>
    </w:p>
    <w:p w14:paraId="4F0C9B3C">
      <w:pPr>
        <w:widowControl/>
        <w:adjustRightInd w:val="0"/>
        <w:snapToGrid w:val="0"/>
        <w:spacing w:before="156" w:beforeLines="50" w:line="360" w:lineRule="auto"/>
        <w:ind w:firstLine="482" w:firstLineChars="200"/>
        <w:rPr>
          <w:rFonts w:ascii="Times New Roman" w:hAnsi="Times New Roman"/>
          <w:b/>
          <w:bCs/>
          <w:kern w:val="0"/>
          <w:sz w:val="24"/>
          <w:lang w:eastAsia="zh" w:bidi="ar"/>
        </w:rPr>
      </w:pPr>
      <w:r>
        <w:rPr>
          <w:rFonts w:ascii="Times New Roman" w:hAnsi="Times New Roman"/>
          <w:b/>
          <w:bCs/>
          <w:kern w:val="0"/>
          <w:sz w:val="24"/>
          <w:lang w:bidi="ar"/>
        </w:rPr>
        <w:t>据此，</w:t>
      </w:r>
      <w:r>
        <w:rPr>
          <w:rFonts w:hint="eastAsia" w:ascii="Times New Roman" w:hAnsi="Times New Roman"/>
          <w:b/>
          <w:bCs/>
          <w:kern w:val="0"/>
          <w:sz w:val="24"/>
          <w:lang w:bidi="ar"/>
        </w:rPr>
        <w:t>本所认为：</w:t>
      </w:r>
    </w:p>
    <w:p w14:paraId="24977189">
      <w:pPr>
        <w:widowControl/>
        <w:adjustRightInd w:val="0"/>
        <w:snapToGrid w:val="0"/>
        <w:spacing w:before="156" w:beforeLines="50" w:line="360" w:lineRule="auto"/>
        <w:ind w:firstLine="482" w:firstLineChars="200"/>
        <w:rPr>
          <w:rFonts w:ascii="Times New Roman" w:hAnsi="Times New Roman"/>
          <w:b/>
          <w:bCs/>
          <w:kern w:val="0"/>
          <w:sz w:val="24"/>
          <w:lang w:bidi="ar"/>
        </w:rPr>
      </w:pPr>
      <w:r>
        <w:rPr>
          <w:rFonts w:ascii="Times New Roman" w:hAnsi="Times New Roman"/>
          <w:b/>
          <w:bCs/>
          <w:kern w:val="0"/>
          <w:sz w:val="24"/>
          <w:lang w:bidi="ar"/>
        </w:rPr>
        <w:t>补充核查期间内，星云开物及其子公司不存在因违反税务征管方面的法律法规、规范性文件而受到行政处罚的情形。</w:t>
      </w:r>
    </w:p>
    <w:p w14:paraId="32A0E63C">
      <w:pPr>
        <w:pStyle w:val="39"/>
        <w:adjustRightInd w:val="0"/>
        <w:snapToGrid w:val="0"/>
        <w:spacing w:before="156" w:beforeLines="50" w:after="156" w:afterLines="50"/>
        <w:ind w:firstLine="482"/>
        <w:outlineLvl w:val="1"/>
        <w:rPr>
          <w:b/>
          <w:bCs/>
          <w:color w:val="000000"/>
          <w:kern w:val="0"/>
          <w:szCs w:val="24"/>
        </w:rPr>
      </w:pPr>
      <w:bookmarkStart w:id="41" w:name="_Toc312909036"/>
      <w:bookmarkStart w:id="42" w:name="_Toc409557489"/>
      <w:r>
        <w:rPr>
          <w:b/>
          <w:bCs/>
          <w:color w:val="000000"/>
          <w:kern w:val="0"/>
          <w:szCs w:val="24"/>
        </w:rPr>
        <w:t>（七）</w:t>
      </w:r>
      <w:r>
        <w:rPr>
          <w:rFonts w:hint="eastAsia"/>
          <w:b/>
          <w:bCs/>
          <w:color w:val="000000"/>
          <w:kern w:val="0"/>
          <w:szCs w:val="24"/>
        </w:rPr>
        <w:t>标的公司的</w:t>
      </w:r>
      <w:r>
        <w:rPr>
          <w:b/>
          <w:bCs/>
          <w:color w:val="000000"/>
          <w:kern w:val="0"/>
          <w:szCs w:val="24"/>
        </w:rPr>
        <w:t>安全生产与环境保护</w:t>
      </w:r>
      <w:bookmarkEnd w:id="41"/>
      <w:bookmarkEnd w:id="42"/>
    </w:p>
    <w:p w14:paraId="351AFDBE">
      <w:pPr>
        <w:widowControl/>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根据星云开物的确认及</w:t>
      </w:r>
      <w:r>
        <w:rPr>
          <w:rFonts w:ascii="Times New Roman" w:hAnsi="Times New Roman"/>
          <w:kern w:val="0"/>
          <w:sz w:val="24"/>
          <w:lang w:eastAsia="zh"/>
        </w:rPr>
        <w:t>其</w:t>
      </w:r>
      <w:r>
        <w:rPr>
          <w:rFonts w:ascii="Times New Roman" w:hAnsi="Times New Roman"/>
          <w:kern w:val="0"/>
          <w:sz w:val="24"/>
        </w:rPr>
        <w:t>提供的信用报告（无违法违规版），并经本所律师核查，</w:t>
      </w:r>
      <w:r>
        <w:rPr>
          <w:rFonts w:ascii="Times New Roman" w:hAnsi="Times New Roman"/>
          <w:sz w:val="24"/>
        </w:rPr>
        <w:t>补充核查期间内，</w:t>
      </w:r>
      <w:r>
        <w:rPr>
          <w:rFonts w:ascii="Times New Roman" w:hAnsi="Times New Roman"/>
          <w:kern w:val="0"/>
          <w:sz w:val="24"/>
        </w:rPr>
        <w:t>星云开物及其子公司不存在因违反安全生产或环境保护相关法律法规、规范性文件而受到行政处罚。</w:t>
      </w:r>
    </w:p>
    <w:p w14:paraId="6253525D">
      <w:pPr>
        <w:widowControl/>
        <w:adjustRightInd w:val="0"/>
        <w:snapToGrid w:val="0"/>
        <w:spacing w:before="156" w:beforeLines="50" w:line="360" w:lineRule="auto"/>
        <w:ind w:firstLine="482" w:firstLineChars="200"/>
        <w:rPr>
          <w:rFonts w:ascii="Times New Roman" w:hAnsi="Times New Roman"/>
          <w:b/>
          <w:bCs/>
          <w:kern w:val="0"/>
          <w:sz w:val="24"/>
        </w:rPr>
      </w:pPr>
      <w:r>
        <w:rPr>
          <w:rFonts w:ascii="Times New Roman" w:hAnsi="Times New Roman"/>
          <w:b/>
          <w:bCs/>
          <w:kern w:val="0"/>
          <w:sz w:val="24"/>
        </w:rPr>
        <w:t>据此，</w:t>
      </w:r>
      <w:r>
        <w:rPr>
          <w:rFonts w:hint="eastAsia" w:ascii="Times New Roman" w:hAnsi="Times New Roman"/>
          <w:b/>
          <w:bCs/>
          <w:kern w:val="0"/>
          <w:sz w:val="24"/>
        </w:rPr>
        <w:t>本所认为：</w:t>
      </w:r>
    </w:p>
    <w:p w14:paraId="5BF92939">
      <w:pPr>
        <w:widowControl/>
        <w:adjustRightInd w:val="0"/>
        <w:snapToGrid w:val="0"/>
        <w:spacing w:before="156" w:beforeLines="50" w:line="360" w:lineRule="auto"/>
        <w:ind w:firstLine="482" w:firstLineChars="200"/>
        <w:rPr>
          <w:rFonts w:ascii="Times New Roman" w:hAnsi="Times New Roman"/>
          <w:kern w:val="0"/>
          <w:sz w:val="24"/>
        </w:rPr>
      </w:pPr>
      <w:r>
        <w:rPr>
          <w:rFonts w:ascii="Times New Roman" w:hAnsi="Times New Roman"/>
          <w:b/>
          <w:bCs/>
          <w:kern w:val="0"/>
          <w:sz w:val="24"/>
          <w:lang w:bidi="ar"/>
        </w:rPr>
        <w:t>补充核查期间内，星云开物及其子公司不存在因违反安全生产或环境保护方面的法律法规、规范性文件而受到行政处罚的情形。</w:t>
      </w:r>
    </w:p>
    <w:p w14:paraId="17A9BD80">
      <w:pPr>
        <w:widowControl/>
        <w:adjustRightInd w:val="0"/>
        <w:snapToGrid w:val="0"/>
        <w:spacing w:before="156" w:beforeLines="50" w:after="156" w:afterLines="50" w:line="360" w:lineRule="auto"/>
        <w:ind w:firstLine="482" w:firstLineChars="200"/>
        <w:outlineLvl w:val="1"/>
        <w:rPr>
          <w:rFonts w:ascii="Times New Roman" w:hAnsi="Times New Roman"/>
          <w:b/>
          <w:bCs/>
          <w:color w:val="000000"/>
          <w:kern w:val="0"/>
          <w:sz w:val="24"/>
        </w:rPr>
      </w:pPr>
      <w:bookmarkStart w:id="43" w:name="_Toc12390"/>
      <w:bookmarkStart w:id="44" w:name="_Toc14877"/>
      <w:r>
        <w:rPr>
          <w:rFonts w:ascii="Times New Roman" w:hAnsi="Times New Roman"/>
          <w:b/>
          <w:bCs/>
          <w:color w:val="000000"/>
          <w:kern w:val="0"/>
          <w:sz w:val="24"/>
        </w:rPr>
        <w:t>（八）标的公司的重大诉讼、仲裁及行政处罚</w:t>
      </w:r>
      <w:bookmarkEnd w:id="43"/>
      <w:bookmarkEnd w:id="44"/>
    </w:p>
    <w:p w14:paraId="57A3F933">
      <w:pPr>
        <w:widowControl/>
        <w:adjustRightInd w:val="0"/>
        <w:snapToGrid w:val="0"/>
        <w:spacing w:before="156" w:beforeLines="50" w:line="360" w:lineRule="auto"/>
        <w:ind w:firstLine="482" w:firstLineChars="200"/>
        <w:outlineLvl w:val="2"/>
        <w:rPr>
          <w:rFonts w:ascii="Times New Roman" w:hAnsi="Times New Roman"/>
          <w:b/>
          <w:bCs/>
          <w:kern w:val="0"/>
          <w:sz w:val="24"/>
        </w:rPr>
      </w:pPr>
      <w:r>
        <w:rPr>
          <w:rFonts w:ascii="Times New Roman" w:hAnsi="Times New Roman"/>
          <w:b/>
          <w:bCs/>
          <w:kern w:val="0"/>
          <w:sz w:val="24"/>
        </w:rPr>
        <w:t>1、诉讼、仲裁</w:t>
      </w:r>
    </w:p>
    <w:p w14:paraId="216212DF">
      <w:pPr>
        <w:widowControl/>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根据星云开物</w:t>
      </w:r>
      <w:r>
        <w:rPr>
          <w:rFonts w:ascii="Times New Roman" w:hAnsi="Times New Roman"/>
          <w:kern w:val="0"/>
          <w:sz w:val="24"/>
          <w:lang w:eastAsia="zh"/>
        </w:rPr>
        <w:t>的确认</w:t>
      </w:r>
      <w:r>
        <w:rPr>
          <w:rFonts w:ascii="Times New Roman" w:hAnsi="Times New Roman"/>
          <w:kern w:val="0"/>
          <w:sz w:val="24"/>
        </w:rPr>
        <w:t>并经本所律师核查，截</w:t>
      </w:r>
      <w:r>
        <w:rPr>
          <w:rFonts w:ascii="Times New Roman" w:hAnsi="Times New Roman"/>
          <w:kern w:val="0"/>
          <w:sz w:val="24"/>
          <w:lang w:eastAsia="zh"/>
        </w:rPr>
        <w:t>至</w:t>
      </w:r>
      <w:r>
        <w:rPr>
          <w:rFonts w:ascii="Times New Roman" w:hAnsi="Times New Roman"/>
          <w:kern w:val="0"/>
          <w:sz w:val="24"/>
        </w:rPr>
        <w:t>本</w:t>
      </w:r>
      <w:r>
        <w:rPr>
          <w:rFonts w:hint="eastAsia" w:ascii="Times New Roman" w:hAnsi="Times New Roman"/>
          <w:kern w:val="0"/>
          <w:sz w:val="24"/>
        </w:rPr>
        <w:t>补充</w:t>
      </w:r>
      <w:r>
        <w:rPr>
          <w:rFonts w:ascii="Times New Roman" w:hAnsi="Times New Roman"/>
          <w:kern w:val="0"/>
          <w:sz w:val="24"/>
        </w:rPr>
        <w:t>法律意见书出具日，星云开物及其子公司不存在尚未完结的重大（是指</w:t>
      </w:r>
      <w:r>
        <w:rPr>
          <w:rFonts w:ascii="Times New Roman" w:hAnsi="Times New Roman"/>
          <w:kern w:val="0"/>
          <w:sz w:val="24"/>
          <w:lang w:eastAsia="zh"/>
        </w:rPr>
        <w:t>金额</w:t>
      </w:r>
      <w:r>
        <w:rPr>
          <w:rFonts w:ascii="Times New Roman" w:hAnsi="Times New Roman"/>
          <w:kern w:val="0"/>
          <w:sz w:val="24"/>
        </w:rPr>
        <w:t>在人民币100万元以上或</w:t>
      </w:r>
      <w:r>
        <w:rPr>
          <w:rFonts w:ascii="Times New Roman" w:hAnsi="Times New Roman"/>
          <w:kern w:val="0"/>
          <w:sz w:val="24"/>
          <w:lang w:eastAsia="zh"/>
        </w:rPr>
        <w:t>占</w:t>
      </w:r>
      <w:r>
        <w:rPr>
          <w:rFonts w:ascii="Times New Roman" w:hAnsi="Times New Roman"/>
          <w:kern w:val="0"/>
          <w:sz w:val="24"/>
        </w:rPr>
        <w:t>星云开物</w:t>
      </w:r>
      <w:r>
        <w:rPr>
          <w:rFonts w:ascii="Times New Roman" w:hAnsi="Times New Roman"/>
          <w:kern w:val="0"/>
          <w:sz w:val="24"/>
          <w:lang w:eastAsia="zh"/>
        </w:rPr>
        <w:t>最近一期经审计的</w:t>
      </w:r>
      <w:r>
        <w:rPr>
          <w:rFonts w:ascii="Times New Roman" w:hAnsi="Times New Roman"/>
          <w:kern w:val="0"/>
          <w:sz w:val="24"/>
        </w:rPr>
        <w:t>净资产5%以上）诉讼、仲裁案件。</w:t>
      </w:r>
    </w:p>
    <w:p w14:paraId="1A810B82">
      <w:pPr>
        <w:widowControl/>
        <w:adjustRightInd w:val="0"/>
        <w:snapToGrid w:val="0"/>
        <w:spacing w:before="156" w:beforeLines="50" w:line="360" w:lineRule="auto"/>
        <w:ind w:firstLine="482" w:firstLineChars="200"/>
        <w:outlineLvl w:val="2"/>
        <w:rPr>
          <w:rFonts w:ascii="Times New Roman" w:hAnsi="Times New Roman"/>
          <w:b/>
          <w:bCs/>
          <w:kern w:val="0"/>
          <w:sz w:val="24"/>
        </w:rPr>
      </w:pPr>
      <w:r>
        <w:rPr>
          <w:rFonts w:ascii="Times New Roman" w:hAnsi="Times New Roman"/>
          <w:b/>
          <w:bCs/>
          <w:kern w:val="0"/>
          <w:sz w:val="24"/>
        </w:rPr>
        <w:t>2、行政处罚</w:t>
      </w:r>
    </w:p>
    <w:p w14:paraId="79AB3A78">
      <w:pPr>
        <w:widowControl/>
        <w:adjustRightInd w:val="0"/>
        <w:snapToGrid w:val="0"/>
        <w:spacing w:before="156" w:beforeLines="50" w:line="360" w:lineRule="auto"/>
        <w:ind w:firstLine="480" w:firstLineChars="200"/>
        <w:rPr>
          <w:rFonts w:ascii="Times New Roman" w:hAnsi="Times New Roman"/>
          <w:kern w:val="0"/>
          <w:sz w:val="24"/>
        </w:rPr>
      </w:pPr>
      <w:r>
        <w:rPr>
          <w:rFonts w:ascii="Times New Roman" w:hAnsi="Times New Roman"/>
          <w:kern w:val="0"/>
          <w:sz w:val="24"/>
        </w:rPr>
        <w:t>根据星云开物</w:t>
      </w:r>
      <w:r>
        <w:rPr>
          <w:rFonts w:ascii="Times New Roman" w:hAnsi="Times New Roman"/>
          <w:kern w:val="0"/>
          <w:sz w:val="24"/>
          <w:lang w:eastAsia="zh"/>
        </w:rPr>
        <w:t>的确认及其</w:t>
      </w:r>
      <w:r>
        <w:rPr>
          <w:rFonts w:ascii="Times New Roman" w:hAnsi="Times New Roman"/>
          <w:kern w:val="0"/>
          <w:sz w:val="24"/>
        </w:rPr>
        <w:t>提供的信用报告（无违法违规版），并经本所律师核查，</w:t>
      </w:r>
      <w:r>
        <w:rPr>
          <w:rFonts w:hint="eastAsia" w:ascii="Times New Roman" w:hAnsi="Times New Roman"/>
          <w:kern w:val="0"/>
          <w:sz w:val="24"/>
        </w:rPr>
        <w:t>补充核查期间内，</w:t>
      </w:r>
      <w:r>
        <w:rPr>
          <w:rFonts w:ascii="Times New Roman" w:hAnsi="Times New Roman"/>
          <w:kern w:val="0"/>
          <w:sz w:val="24"/>
        </w:rPr>
        <w:t>星云开物及其子公司未受到任何行政处罚。</w:t>
      </w:r>
    </w:p>
    <w:p w14:paraId="2DE0B651">
      <w:pPr>
        <w:tabs>
          <w:tab w:val="left" w:pos="709"/>
        </w:tabs>
        <w:snapToGrid w:val="0"/>
        <w:spacing w:before="156" w:beforeLines="50" w:after="156" w:afterLines="50" w:line="360" w:lineRule="auto"/>
        <w:ind w:firstLine="482" w:firstLineChars="200"/>
        <w:rPr>
          <w:rFonts w:ascii="Times New Roman" w:hAnsi="Times New Roman"/>
          <w:b/>
          <w:bCs/>
          <w:kern w:val="0"/>
          <w:sz w:val="24"/>
        </w:rPr>
      </w:pPr>
      <w:r>
        <w:rPr>
          <w:rFonts w:ascii="Times New Roman" w:hAnsi="Times New Roman"/>
          <w:b/>
          <w:bCs/>
          <w:kern w:val="0"/>
          <w:sz w:val="24"/>
        </w:rPr>
        <w:t>据此，</w:t>
      </w:r>
      <w:r>
        <w:rPr>
          <w:rFonts w:hint="eastAsia" w:ascii="Times New Roman" w:hAnsi="Times New Roman"/>
          <w:b/>
          <w:bCs/>
          <w:kern w:val="0"/>
          <w:sz w:val="24"/>
        </w:rPr>
        <w:t>本所认为：</w:t>
      </w:r>
    </w:p>
    <w:p w14:paraId="2B5320CA">
      <w:pPr>
        <w:tabs>
          <w:tab w:val="left" w:pos="709"/>
        </w:tabs>
        <w:snapToGrid w:val="0"/>
        <w:spacing w:before="156" w:beforeLines="50" w:after="156" w:afterLines="50" w:line="360" w:lineRule="auto"/>
        <w:ind w:firstLine="482" w:firstLineChars="200"/>
        <w:rPr>
          <w:rFonts w:ascii="Times New Roman" w:hAnsi="Times New Roman"/>
          <w:sz w:val="24"/>
        </w:rPr>
      </w:pPr>
      <w:r>
        <w:rPr>
          <w:rFonts w:ascii="Times New Roman" w:hAnsi="Times New Roman"/>
          <w:b/>
          <w:bCs/>
          <w:kern w:val="0"/>
          <w:sz w:val="24"/>
        </w:rPr>
        <w:t>截至本</w:t>
      </w:r>
      <w:r>
        <w:rPr>
          <w:rFonts w:hint="eastAsia" w:ascii="Times New Roman" w:hAnsi="Times New Roman"/>
          <w:b/>
          <w:bCs/>
          <w:kern w:val="0"/>
          <w:sz w:val="24"/>
        </w:rPr>
        <w:t>补充</w:t>
      </w:r>
      <w:r>
        <w:rPr>
          <w:rFonts w:ascii="Times New Roman" w:hAnsi="Times New Roman"/>
          <w:b/>
          <w:bCs/>
          <w:kern w:val="0"/>
          <w:sz w:val="24"/>
        </w:rPr>
        <w:t>法律意见书出具日，星云开物及其子公司不存在尚未完结的重大诉讼、仲裁案件；</w:t>
      </w:r>
      <w:r>
        <w:rPr>
          <w:rFonts w:hint="eastAsia" w:ascii="Times New Roman" w:hAnsi="Times New Roman"/>
          <w:b/>
          <w:bCs/>
          <w:kern w:val="0"/>
          <w:sz w:val="24"/>
        </w:rPr>
        <w:t>补充核查期间内，</w:t>
      </w:r>
      <w:r>
        <w:rPr>
          <w:rFonts w:ascii="Times New Roman" w:hAnsi="Times New Roman"/>
          <w:b/>
          <w:bCs/>
          <w:kern w:val="0"/>
          <w:sz w:val="24"/>
        </w:rPr>
        <w:t>星云开物及其子公司未受到过行政处罚</w:t>
      </w:r>
      <w:r>
        <w:rPr>
          <w:rFonts w:ascii="Times New Roman" w:hAnsi="Times New Roman"/>
          <w:sz w:val="24"/>
        </w:rPr>
        <w:t>。</w:t>
      </w:r>
    </w:p>
    <w:p w14:paraId="2E68F6EA">
      <w:pPr>
        <w:tabs>
          <w:tab w:val="left" w:pos="709"/>
        </w:tabs>
        <w:snapToGrid w:val="0"/>
        <w:spacing w:before="156" w:beforeLines="50" w:after="156" w:afterLines="50" w:line="360" w:lineRule="auto"/>
        <w:ind w:firstLine="482" w:firstLineChars="200"/>
        <w:rPr>
          <w:rFonts w:hint="eastAsia" w:ascii="Times New Roman" w:hAnsi="Times New Roman"/>
          <w:b/>
          <w:bCs/>
          <w:sz w:val="24"/>
        </w:rPr>
      </w:pPr>
      <w:bookmarkStart w:id="45" w:name="_Toc930362451"/>
      <w:bookmarkStart w:id="46" w:name="_Toc8814"/>
      <w:bookmarkStart w:id="47" w:name="_Toc226830520"/>
      <w:bookmarkStart w:id="48" w:name="_Toc236073040"/>
      <w:bookmarkStart w:id="49" w:name="_Toc2071285024"/>
      <w:bookmarkStart w:id="50" w:name="_Toc659367768"/>
      <w:bookmarkStart w:id="51" w:name="_Toc21548"/>
      <w:bookmarkStart w:id="52" w:name="_Toc6627"/>
    </w:p>
    <w:p w14:paraId="4FCA003A">
      <w:pPr>
        <w:tabs>
          <w:tab w:val="left" w:pos="709"/>
        </w:tabs>
        <w:snapToGrid w:val="0"/>
        <w:spacing w:before="156" w:beforeLines="50" w:after="156" w:afterLines="50" w:line="360" w:lineRule="auto"/>
        <w:ind w:firstLine="482" w:firstLineChars="200"/>
        <w:outlineLvl w:val="0"/>
        <w:rPr>
          <w:rFonts w:ascii="Times New Roman" w:hAnsi="Times New Roman"/>
          <w:b/>
          <w:bCs/>
          <w:sz w:val="24"/>
        </w:rPr>
      </w:pPr>
      <w:bookmarkStart w:id="53" w:name="_Toc21460"/>
      <w:r>
        <w:rPr>
          <w:rFonts w:hint="eastAsia" w:ascii="Times New Roman" w:hAnsi="Times New Roman"/>
          <w:b/>
          <w:bCs/>
          <w:sz w:val="24"/>
        </w:rPr>
        <w:t>六、</w:t>
      </w:r>
      <w:r>
        <w:rPr>
          <w:rFonts w:ascii="Times New Roman" w:hAnsi="Times New Roman"/>
          <w:b/>
          <w:bCs/>
          <w:sz w:val="24"/>
        </w:rPr>
        <w:t>本次交易涉及的债权债务处理及员工安置</w:t>
      </w:r>
      <w:bookmarkEnd w:id="45"/>
      <w:bookmarkEnd w:id="46"/>
      <w:bookmarkEnd w:id="47"/>
      <w:bookmarkEnd w:id="48"/>
      <w:bookmarkEnd w:id="49"/>
      <w:bookmarkEnd w:id="50"/>
      <w:bookmarkEnd w:id="53"/>
    </w:p>
    <w:p w14:paraId="2E8CE0EC">
      <w:pPr>
        <w:tabs>
          <w:tab w:val="left" w:pos="709"/>
        </w:tabs>
        <w:snapToGrid w:val="0"/>
        <w:spacing w:before="156" w:beforeLines="50" w:after="156" w:afterLines="50" w:line="360" w:lineRule="auto"/>
        <w:ind w:firstLine="496" w:firstLineChars="200"/>
        <w:rPr>
          <w:rFonts w:ascii="Times New Roman" w:hAnsi="Times New Roman"/>
          <w:spacing w:val="-2"/>
          <w:sz w:val="24"/>
        </w:rPr>
      </w:pPr>
      <w:bookmarkStart w:id="54" w:name="_Toc773280150"/>
      <w:bookmarkStart w:id="55" w:name="_Toc1377480498"/>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本次交易</w:t>
      </w:r>
      <w:r>
        <w:rPr>
          <w:rFonts w:hint="eastAsia" w:ascii="Times New Roman" w:hAnsi="Times New Roman"/>
          <w:spacing w:val="4"/>
          <w:sz w:val="24"/>
          <w:lang w:eastAsia="zh"/>
        </w:rPr>
        <w:t>不涉及</w:t>
      </w:r>
      <w:r>
        <w:rPr>
          <w:rFonts w:hint="eastAsia" w:ascii="Times New Roman" w:hAnsi="Times New Roman"/>
          <w:spacing w:val="4"/>
          <w:sz w:val="24"/>
        </w:rPr>
        <w:t>星云开物</w:t>
      </w:r>
      <w:r>
        <w:rPr>
          <w:rFonts w:hint="eastAsia" w:ascii="Times New Roman" w:hAnsi="Times New Roman"/>
          <w:spacing w:val="4"/>
          <w:sz w:val="24"/>
          <w:lang w:eastAsia="zh"/>
        </w:rPr>
        <w:t>债权债务的转移及人员劳动关系变动</w:t>
      </w:r>
      <w:r>
        <w:rPr>
          <w:rFonts w:ascii="Times New Roman" w:hAnsi="Times New Roman"/>
          <w:spacing w:val="4"/>
          <w:sz w:val="24"/>
        </w:rPr>
        <w:t>。经核查，补充核查期间内，本次交易涉及的债权债务处理及员工安置情况未发生</w:t>
      </w:r>
      <w:r>
        <w:rPr>
          <w:rFonts w:ascii="Times New Roman" w:hAnsi="Times New Roman"/>
          <w:spacing w:val="-1"/>
          <w:sz w:val="24"/>
        </w:rPr>
        <w:t>变化</w:t>
      </w:r>
      <w:r>
        <w:rPr>
          <w:rFonts w:ascii="Times New Roman" w:hAnsi="Times New Roman"/>
          <w:spacing w:val="-2"/>
          <w:sz w:val="24"/>
        </w:rPr>
        <w:t>。</w:t>
      </w:r>
      <w:bookmarkEnd w:id="54"/>
      <w:bookmarkEnd w:id="55"/>
    </w:p>
    <w:p w14:paraId="44D56DB0">
      <w:pPr>
        <w:tabs>
          <w:tab w:val="left" w:pos="709"/>
        </w:tabs>
        <w:snapToGrid w:val="0"/>
        <w:spacing w:before="156" w:beforeLines="50" w:after="156" w:afterLines="50" w:line="360" w:lineRule="auto"/>
        <w:ind w:firstLine="482" w:firstLineChars="200"/>
        <w:rPr>
          <w:rFonts w:hint="eastAsia" w:ascii="Times New Roman" w:hAnsi="Times New Roman"/>
          <w:b/>
          <w:bCs/>
          <w:kern w:val="0"/>
          <w:sz w:val="24"/>
        </w:rPr>
      </w:pPr>
      <w:r>
        <w:rPr>
          <w:rFonts w:hint="eastAsia" w:ascii="Times New Roman" w:hAnsi="Times New Roman"/>
          <w:b/>
          <w:bCs/>
          <w:kern w:val="0"/>
          <w:sz w:val="24"/>
        </w:rPr>
        <w:t>据此，本所认为：</w:t>
      </w:r>
    </w:p>
    <w:p w14:paraId="2648EAF2">
      <w:pPr>
        <w:tabs>
          <w:tab w:val="left" w:pos="709"/>
        </w:tabs>
        <w:snapToGrid w:val="0"/>
        <w:spacing w:before="156" w:beforeLines="50" w:after="156" w:afterLines="50" w:line="360" w:lineRule="auto"/>
        <w:ind w:firstLine="482" w:firstLineChars="200"/>
        <w:rPr>
          <w:rFonts w:hint="eastAsia" w:ascii="Times New Roman" w:hAnsi="Times New Roman"/>
          <w:spacing w:val="-2"/>
          <w:sz w:val="24"/>
        </w:rPr>
      </w:pPr>
      <w:r>
        <w:rPr>
          <w:rFonts w:ascii="Times New Roman" w:hAnsi="Times New Roman"/>
          <w:b/>
          <w:bCs/>
          <w:kern w:val="0"/>
          <w:sz w:val="24"/>
        </w:rPr>
        <w:t>截至本</w:t>
      </w:r>
      <w:r>
        <w:rPr>
          <w:rFonts w:hint="eastAsia" w:ascii="Times New Roman" w:hAnsi="Times New Roman"/>
          <w:b/>
          <w:bCs/>
          <w:kern w:val="0"/>
          <w:sz w:val="24"/>
        </w:rPr>
        <w:t>补充</w:t>
      </w:r>
      <w:r>
        <w:rPr>
          <w:rFonts w:ascii="Times New Roman" w:hAnsi="Times New Roman"/>
          <w:b/>
          <w:bCs/>
          <w:kern w:val="0"/>
          <w:sz w:val="24"/>
        </w:rPr>
        <w:t>法律意见书出具日，</w:t>
      </w:r>
      <w:r>
        <w:rPr>
          <w:rFonts w:ascii="Times New Roman" w:hAnsi="Times New Roman"/>
          <w:b/>
          <w:bCs/>
          <w:kern w:val="0"/>
          <w:sz w:val="24"/>
          <w:lang w:eastAsia="zh"/>
        </w:rPr>
        <w:t>本次交易不涉及</w:t>
      </w:r>
      <w:r>
        <w:rPr>
          <w:rFonts w:hint="eastAsia" w:ascii="Times New Roman" w:hAnsi="Times New Roman"/>
          <w:b/>
          <w:bCs/>
          <w:kern w:val="0"/>
          <w:sz w:val="24"/>
        </w:rPr>
        <w:t>标的公司</w:t>
      </w:r>
      <w:r>
        <w:rPr>
          <w:rFonts w:ascii="Times New Roman" w:hAnsi="Times New Roman"/>
          <w:b/>
          <w:bCs/>
          <w:kern w:val="0"/>
          <w:sz w:val="24"/>
          <w:lang w:eastAsia="zh"/>
        </w:rPr>
        <w:t>债权债务的转移及人员劳动关系变动</w:t>
      </w:r>
      <w:r>
        <w:rPr>
          <w:rFonts w:hint="eastAsia" w:ascii="Times New Roman" w:hAnsi="Times New Roman"/>
          <w:b/>
          <w:bCs/>
          <w:kern w:val="0"/>
          <w:sz w:val="24"/>
        </w:rPr>
        <w:t>。</w:t>
      </w:r>
    </w:p>
    <w:bookmarkEnd w:id="51"/>
    <w:bookmarkEnd w:id="52"/>
    <w:p w14:paraId="71667248">
      <w:pPr>
        <w:tabs>
          <w:tab w:val="left" w:pos="709"/>
        </w:tabs>
        <w:snapToGrid w:val="0"/>
        <w:spacing w:before="156" w:beforeLines="50" w:after="156" w:afterLines="50" w:line="360" w:lineRule="auto"/>
        <w:ind w:firstLine="482" w:firstLineChars="200"/>
        <w:rPr>
          <w:rFonts w:ascii="Times New Roman" w:hAnsi="Times New Roman"/>
          <w:b/>
          <w:bCs/>
          <w:sz w:val="24"/>
        </w:rPr>
      </w:pPr>
      <w:bookmarkStart w:id="56" w:name="_Toc1969816163"/>
      <w:bookmarkStart w:id="57" w:name="_Toc26123"/>
      <w:bookmarkStart w:id="58" w:name="_Toc1172560030"/>
      <w:bookmarkStart w:id="59" w:name="_Toc1277287271"/>
      <w:bookmarkStart w:id="60" w:name="_Toc978458256"/>
      <w:bookmarkStart w:id="61" w:name="_Toc557076215"/>
    </w:p>
    <w:p w14:paraId="7E40AEF9">
      <w:pPr>
        <w:tabs>
          <w:tab w:val="left" w:pos="709"/>
        </w:tabs>
        <w:snapToGrid w:val="0"/>
        <w:spacing w:before="156" w:beforeLines="50" w:after="156" w:afterLines="50" w:line="360" w:lineRule="auto"/>
        <w:ind w:firstLine="482" w:firstLineChars="200"/>
        <w:outlineLvl w:val="0"/>
        <w:rPr>
          <w:rFonts w:ascii="Times New Roman" w:hAnsi="Times New Roman"/>
          <w:b/>
          <w:bCs/>
          <w:sz w:val="24"/>
        </w:rPr>
      </w:pPr>
      <w:bookmarkStart w:id="62" w:name="_Toc10766"/>
      <w:r>
        <w:rPr>
          <w:rFonts w:ascii="Times New Roman" w:hAnsi="Times New Roman"/>
          <w:b/>
          <w:bCs/>
          <w:sz w:val="24"/>
        </w:rPr>
        <w:t>七、</w:t>
      </w:r>
      <w:bookmarkStart w:id="63" w:name="_Toc154136588"/>
      <w:bookmarkStart w:id="64" w:name="_Toc374017306"/>
      <w:r>
        <w:rPr>
          <w:rFonts w:hint="eastAsia" w:ascii="Times New Roman" w:hAnsi="Times New Roman"/>
          <w:b/>
          <w:bCs/>
          <w:sz w:val="24"/>
        </w:rPr>
        <w:t>本次交易涉及的</w:t>
      </w:r>
      <w:r>
        <w:rPr>
          <w:rFonts w:ascii="Times New Roman" w:hAnsi="Times New Roman"/>
          <w:b/>
          <w:bCs/>
          <w:sz w:val="24"/>
        </w:rPr>
        <w:t>关联交易与同业竞争</w:t>
      </w:r>
      <w:bookmarkEnd w:id="56"/>
      <w:bookmarkEnd w:id="57"/>
      <w:bookmarkEnd w:id="58"/>
      <w:bookmarkEnd w:id="59"/>
      <w:bookmarkEnd w:id="60"/>
      <w:bookmarkEnd w:id="61"/>
      <w:bookmarkEnd w:id="62"/>
      <w:bookmarkEnd w:id="63"/>
      <w:bookmarkEnd w:id="64"/>
    </w:p>
    <w:p w14:paraId="78568E2F">
      <w:pPr>
        <w:widowControl/>
        <w:adjustRightInd w:val="0"/>
        <w:snapToGrid w:val="0"/>
        <w:spacing w:before="156" w:beforeLines="50" w:after="156" w:afterLines="50" w:line="360" w:lineRule="auto"/>
        <w:ind w:firstLine="482" w:firstLineChars="200"/>
        <w:outlineLvl w:val="1"/>
        <w:rPr>
          <w:rFonts w:ascii="Times New Roman" w:hAnsi="Times New Roman"/>
          <w:bCs/>
          <w:color w:val="000000"/>
          <w:sz w:val="24"/>
        </w:rPr>
      </w:pPr>
      <w:bookmarkStart w:id="65" w:name="_Toc1906479338"/>
      <w:bookmarkStart w:id="66" w:name="_Toc1092349389"/>
      <w:r>
        <w:rPr>
          <w:rFonts w:ascii="Times New Roman" w:hAnsi="Times New Roman"/>
          <w:b/>
          <w:bCs/>
          <w:sz w:val="24"/>
        </w:rPr>
        <w:t>（一）关联交易</w:t>
      </w:r>
      <w:bookmarkEnd w:id="65"/>
      <w:bookmarkEnd w:id="66"/>
    </w:p>
    <w:p w14:paraId="6B12AD29">
      <w:pPr>
        <w:pStyle w:val="39"/>
        <w:adjustRightInd w:val="0"/>
        <w:snapToGrid w:val="0"/>
        <w:spacing w:before="156" w:beforeLines="50" w:after="156" w:afterLines="50"/>
        <w:ind w:firstLine="464"/>
        <w:rPr>
          <w:rFonts w:hint="eastAsia"/>
          <w:b/>
          <w:bCs/>
          <w:szCs w:val="24"/>
        </w:rPr>
      </w:pPr>
      <w:bookmarkStart w:id="67" w:name="_Toc278482720"/>
      <w:bookmarkStart w:id="68" w:name="_Toc1742220526"/>
      <w:r>
        <w:rPr>
          <w:spacing w:val="-4"/>
          <w:szCs w:val="24"/>
        </w:rPr>
        <w:t>本所律师已在《法律意见书》中披露</w:t>
      </w:r>
      <w:r>
        <w:rPr>
          <w:rFonts w:hint="eastAsia"/>
          <w:spacing w:val="-4"/>
          <w:szCs w:val="24"/>
        </w:rPr>
        <w:t>本次交易的关联交易情况</w:t>
      </w:r>
      <w:r>
        <w:rPr>
          <w:szCs w:val="24"/>
        </w:rPr>
        <w:t>，</w:t>
      </w:r>
      <w:r>
        <w:rPr>
          <w:spacing w:val="-4"/>
          <w:szCs w:val="24"/>
        </w:rPr>
        <w:t>经核查，截至本补充法律意见出具日，</w:t>
      </w:r>
      <w:r>
        <w:rPr>
          <w:rFonts w:hint="eastAsia"/>
          <w:spacing w:val="-4"/>
          <w:szCs w:val="24"/>
        </w:rPr>
        <w:t>本次交易的关联交易情况</w:t>
      </w:r>
      <w:r>
        <w:rPr>
          <w:spacing w:val="-2"/>
          <w:szCs w:val="24"/>
        </w:rPr>
        <w:t>未发生变化</w:t>
      </w:r>
      <w:r>
        <w:rPr>
          <w:rFonts w:hint="eastAsia"/>
          <w:spacing w:val="-2"/>
          <w:szCs w:val="24"/>
        </w:rPr>
        <w:t>。</w:t>
      </w:r>
    </w:p>
    <w:p w14:paraId="67B4EF79">
      <w:pPr>
        <w:tabs>
          <w:tab w:val="left" w:pos="709"/>
        </w:tabs>
        <w:snapToGrid w:val="0"/>
        <w:spacing w:before="156" w:beforeLines="50" w:after="156" w:afterLines="50" w:line="360" w:lineRule="auto"/>
        <w:ind w:firstLine="482" w:firstLineChars="200"/>
        <w:outlineLvl w:val="1"/>
        <w:rPr>
          <w:rFonts w:ascii="Times New Roman" w:hAnsi="Times New Roman"/>
          <w:b/>
          <w:bCs/>
          <w:sz w:val="24"/>
        </w:rPr>
      </w:pPr>
      <w:r>
        <w:rPr>
          <w:rFonts w:ascii="Times New Roman" w:hAnsi="Times New Roman"/>
          <w:b/>
          <w:bCs/>
          <w:sz w:val="24"/>
        </w:rPr>
        <w:t>（二）同业竞争</w:t>
      </w:r>
      <w:bookmarkEnd w:id="67"/>
      <w:bookmarkEnd w:id="68"/>
    </w:p>
    <w:p w14:paraId="6E18E503">
      <w:pPr>
        <w:pStyle w:val="39"/>
        <w:adjustRightInd w:val="0"/>
        <w:snapToGrid w:val="0"/>
        <w:spacing w:before="156" w:beforeLines="50" w:after="156" w:afterLines="50"/>
        <w:ind w:firstLine="464"/>
        <w:rPr>
          <w:spacing w:val="-2"/>
          <w:szCs w:val="24"/>
        </w:rPr>
      </w:pPr>
      <w:r>
        <w:rPr>
          <w:spacing w:val="-4"/>
          <w:szCs w:val="24"/>
        </w:rPr>
        <w:t>本所律师已在《法律意见书》中披露</w:t>
      </w:r>
      <w:r>
        <w:rPr>
          <w:rFonts w:hint="eastAsia"/>
          <w:spacing w:val="-4"/>
          <w:szCs w:val="24"/>
        </w:rPr>
        <w:t>本次交易同业竞争的情况</w:t>
      </w:r>
      <w:r>
        <w:rPr>
          <w:szCs w:val="24"/>
        </w:rPr>
        <w:t>，</w:t>
      </w:r>
      <w:r>
        <w:rPr>
          <w:spacing w:val="-4"/>
          <w:szCs w:val="24"/>
        </w:rPr>
        <w:t>经核查，截至本补充法律意见出具日，</w:t>
      </w:r>
      <w:r>
        <w:rPr>
          <w:rFonts w:hint="eastAsia"/>
          <w:spacing w:val="-4"/>
          <w:szCs w:val="24"/>
        </w:rPr>
        <w:t>本次交易同业竞争的情况</w:t>
      </w:r>
      <w:r>
        <w:rPr>
          <w:spacing w:val="-2"/>
          <w:szCs w:val="24"/>
        </w:rPr>
        <w:t>未发生变化。</w:t>
      </w:r>
    </w:p>
    <w:p w14:paraId="5B91B070">
      <w:pPr>
        <w:tabs>
          <w:tab w:val="left" w:pos="709"/>
        </w:tabs>
        <w:snapToGrid w:val="0"/>
        <w:spacing w:before="156" w:beforeLines="50" w:after="156" w:afterLines="50" w:line="360" w:lineRule="auto"/>
        <w:ind w:firstLine="482" w:firstLineChars="200"/>
        <w:rPr>
          <w:b/>
          <w:bCs/>
          <w:sz w:val="24"/>
        </w:rPr>
      </w:pPr>
      <w:r>
        <w:rPr>
          <w:rFonts w:hint="eastAsia"/>
          <w:b/>
          <w:bCs/>
          <w:sz w:val="24"/>
        </w:rPr>
        <w:t>据此，本所认为：</w:t>
      </w:r>
    </w:p>
    <w:p w14:paraId="6F785BEE">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1、</w:t>
      </w:r>
      <w:r>
        <w:rPr>
          <w:rFonts w:ascii="Times New Roman" w:hAnsi="Times New Roman"/>
          <w:b/>
          <w:bCs/>
          <w:kern w:val="0"/>
          <w:sz w:val="24"/>
        </w:rPr>
        <w:t>本次交易构成关联交易，相关主体为规范和减少关联交易出具的承诺函合法有效</w:t>
      </w:r>
      <w:r>
        <w:rPr>
          <w:rFonts w:ascii="Times New Roman" w:hAnsi="Times New Roman"/>
          <w:b/>
          <w:bCs/>
          <w:sz w:val="24"/>
        </w:rPr>
        <w:t>。</w:t>
      </w:r>
    </w:p>
    <w:p w14:paraId="45DE2E1E">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2、</w:t>
      </w:r>
      <w:r>
        <w:rPr>
          <w:rFonts w:ascii="Times New Roman" w:hAnsi="Times New Roman"/>
          <w:b/>
          <w:bCs/>
          <w:kern w:val="0"/>
          <w:sz w:val="24"/>
        </w:rPr>
        <w:t>本次交易不会导致天亿马新增同业竞争情形，且本次交易涉及的相关主体已出具避免同业竞争的承诺，该等承诺合法有效</w:t>
      </w:r>
      <w:r>
        <w:rPr>
          <w:rFonts w:ascii="Times New Roman" w:hAnsi="Times New Roman"/>
          <w:b/>
          <w:bCs/>
          <w:sz w:val="24"/>
        </w:rPr>
        <w:t>。</w:t>
      </w:r>
    </w:p>
    <w:p w14:paraId="19073F8D">
      <w:pPr>
        <w:pStyle w:val="39"/>
        <w:adjustRightInd w:val="0"/>
        <w:snapToGrid w:val="0"/>
        <w:spacing w:before="156" w:beforeLines="50" w:after="156" w:afterLines="50"/>
        <w:ind w:firstLine="0" w:firstLineChars="0"/>
        <w:rPr>
          <w:spacing w:val="-2"/>
          <w:szCs w:val="24"/>
        </w:rPr>
      </w:pPr>
    </w:p>
    <w:p w14:paraId="0B1FB1B3">
      <w:pPr>
        <w:tabs>
          <w:tab w:val="left" w:pos="709"/>
        </w:tabs>
        <w:snapToGrid w:val="0"/>
        <w:spacing w:before="156" w:beforeLines="50" w:after="156" w:afterLines="50" w:line="360" w:lineRule="auto"/>
        <w:ind w:firstLine="482" w:firstLineChars="200"/>
        <w:outlineLvl w:val="0"/>
        <w:rPr>
          <w:rFonts w:ascii="Times New Roman" w:hAnsi="Times New Roman"/>
          <w:b/>
          <w:bCs/>
          <w:sz w:val="24"/>
        </w:rPr>
      </w:pPr>
      <w:bookmarkStart w:id="69" w:name="_Toc318400804"/>
      <w:bookmarkStart w:id="70" w:name="_Toc1685044346"/>
      <w:bookmarkStart w:id="71" w:name="_Toc968001805"/>
      <w:bookmarkStart w:id="72" w:name="_Toc1858688636"/>
      <w:bookmarkStart w:id="73" w:name="_Toc1044905271"/>
      <w:bookmarkStart w:id="74" w:name="_Toc374017307"/>
      <w:bookmarkStart w:id="75" w:name="_Toc31977"/>
      <w:bookmarkStart w:id="76" w:name="_Toc11793"/>
      <w:r>
        <w:rPr>
          <w:rFonts w:hint="eastAsia" w:ascii="Times New Roman" w:hAnsi="Times New Roman"/>
          <w:b/>
          <w:bCs/>
          <w:sz w:val="24"/>
        </w:rPr>
        <w:t>八</w:t>
      </w:r>
      <w:r>
        <w:rPr>
          <w:rFonts w:ascii="Times New Roman" w:hAnsi="Times New Roman"/>
          <w:b/>
          <w:bCs/>
          <w:sz w:val="24"/>
        </w:rPr>
        <w:t>、</w:t>
      </w:r>
      <w:r>
        <w:rPr>
          <w:rFonts w:hint="eastAsia" w:ascii="Times New Roman" w:hAnsi="Times New Roman"/>
          <w:b/>
          <w:bCs/>
          <w:sz w:val="24"/>
        </w:rPr>
        <w:t>本次交易的</w:t>
      </w:r>
      <w:r>
        <w:rPr>
          <w:rFonts w:ascii="Times New Roman" w:hAnsi="Times New Roman"/>
          <w:b/>
          <w:bCs/>
          <w:sz w:val="24"/>
        </w:rPr>
        <w:t>信息披露</w:t>
      </w:r>
      <w:bookmarkEnd w:id="69"/>
      <w:bookmarkEnd w:id="70"/>
      <w:bookmarkEnd w:id="71"/>
      <w:bookmarkEnd w:id="72"/>
      <w:bookmarkEnd w:id="73"/>
      <w:bookmarkEnd w:id="74"/>
      <w:bookmarkEnd w:id="75"/>
      <w:bookmarkEnd w:id="76"/>
    </w:p>
    <w:p w14:paraId="770BFF4E">
      <w:pPr>
        <w:tabs>
          <w:tab w:val="left" w:pos="709"/>
        </w:tabs>
        <w:snapToGrid w:val="0"/>
        <w:spacing w:before="156" w:beforeLines="50" w:after="156" w:afterLines="50" w:line="360" w:lineRule="auto"/>
        <w:ind w:firstLine="496" w:firstLineChars="200"/>
        <w:rPr>
          <w:rFonts w:hint="eastAsia"/>
          <w:b/>
          <w:bCs/>
          <w:sz w:val="24"/>
        </w:rPr>
      </w:pPr>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截至</w:t>
      </w:r>
      <w:r>
        <w:rPr>
          <w:rFonts w:ascii="Times New Roman" w:hAnsi="Times New Roman"/>
          <w:spacing w:val="-1"/>
          <w:sz w:val="24"/>
        </w:rPr>
        <w:t>《法律意见书》</w:t>
      </w:r>
      <w:r>
        <w:rPr>
          <w:rFonts w:hint="eastAsia" w:ascii="Times New Roman" w:hAnsi="Times New Roman"/>
          <w:spacing w:val="-1"/>
          <w:sz w:val="24"/>
        </w:rPr>
        <w:t>出具日</w:t>
      </w:r>
      <w:r>
        <w:rPr>
          <w:rFonts w:ascii="Times New Roman" w:hAnsi="Times New Roman"/>
          <w:spacing w:val="4"/>
          <w:sz w:val="24"/>
        </w:rPr>
        <w:t>本次交易</w:t>
      </w:r>
      <w:r>
        <w:rPr>
          <w:rFonts w:hint="eastAsia" w:ascii="Times New Roman" w:hAnsi="Times New Roman"/>
          <w:spacing w:val="4"/>
          <w:sz w:val="24"/>
        </w:rPr>
        <w:t>信息披露</w:t>
      </w:r>
      <w:r>
        <w:rPr>
          <w:rFonts w:ascii="Times New Roman" w:hAnsi="Times New Roman"/>
          <w:spacing w:val="4"/>
          <w:sz w:val="24"/>
        </w:rPr>
        <w:t>的</w:t>
      </w:r>
      <w:r>
        <w:rPr>
          <w:rFonts w:ascii="Times New Roman" w:hAnsi="Times New Roman"/>
          <w:spacing w:val="-3"/>
          <w:sz w:val="24"/>
        </w:rPr>
        <w:t>情况。</w:t>
      </w:r>
      <w:r>
        <w:rPr>
          <w:rFonts w:hint="eastAsia"/>
          <w:sz w:val="24"/>
        </w:rPr>
        <w:t>截至本补充法律意见书出具日，天亿马还履行了如下信息披露义务：</w:t>
      </w:r>
    </w:p>
    <w:p w14:paraId="4377EC84">
      <w:pPr>
        <w:tabs>
          <w:tab w:val="left" w:pos="709"/>
        </w:tabs>
        <w:snapToGrid w:val="0"/>
        <w:spacing w:before="156" w:beforeLines="50" w:after="156" w:afterLines="50" w:line="360" w:lineRule="auto"/>
        <w:ind w:firstLine="480" w:firstLineChars="200"/>
        <w:rPr>
          <w:rFonts w:hint="eastAsia" w:ascii="Times New Roman" w:hAnsi="Times New Roman"/>
          <w:bCs/>
          <w:sz w:val="24"/>
        </w:rPr>
      </w:pPr>
      <w:r>
        <w:rPr>
          <w:rFonts w:ascii="Times New Roman" w:hAnsi="Times New Roman"/>
          <w:bCs/>
          <w:sz w:val="24"/>
        </w:rPr>
        <w:t>（一）</w:t>
      </w:r>
      <w:r>
        <w:rPr>
          <w:rFonts w:hint="eastAsia" w:ascii="Times New Roman" w:hAnsi="Times New Roman"/>
          <w:bCs/>
          <w:sz w:val="24"/>
        </w:rPr>
        <w:t>2025年12月12日，</w:t>
      </w:r>
      <w:r>
        <w:rPr>
          <w:rFonts w:ascii="Times New Roman" w:hAnsi="Times New Roman"/>
          <w:bCs/>
          <w:sz w:val="24"/>
        </w:rPr>
        <w:t>公司披露了《广东天亿马信息产业股份有限公司发行股份及支付现金购买资产并募集配套资金暨关联交易报告书（草案）</w:t>
      </w:r>
      <w:r>
        <w:rPr>
          <w:rFonts w:hint="eastAsia" w:ascii="Times New Roman" w:hAnsi="Times New Roman"/>
          <w:bCs/>
          <w:sz w:val="24"/>
        </w:rPr>
        <w:t>》等公告文件</w:t>
      </w:r>
      <w:r>
        <w:rPr>
          <w:rFonts w:hint="eastAsia"/>
          <w:bCs/>
          <w:sz w:val="24"/>
        </w:rPr>
        <w:t>。</w:t>
      </w:r>
      <w:r>
        <w:rPr>
          <w:rFonts w:hint="eastAsia" w:ascii="Times New Roman" w:hAnsi="Times New Roman"/>
          <w:bCs/>
          <w:sz w:val="24"/>
        </w:rPr>
        <w:t>同时披露了各中介机构</w:t>
      </w:r>
      <w:r>
        <w:rPr>
          <w:rFonts w:ascii="Times New Roman" w:hAnsi="Times New Roman"/>
          <w:bCs/>
          <w:sz w:val="24"/>
        </w:rPr>
        <w:t>就</w:t>
      </w:r>
      <w:r>
        <w:rPr>
          <w:rFonts w:hint="eastAsia" w:ascii="Times New Roman" w:hAnsi="Times New Roman"/>
          <w:bCs/>
          <w:sz w:val="24"/>
        </w:rPr>
        <w:t>本次交易出具的文件。</w:t>
      </w:r>
    </w:p>
    <w:p w14:paraId="6F5045D7">
      <w:pPr>
        <w:tabs>
          <w:tab w:val="left" w:pos="709"/>
        </w:tabs>
        <w:snapToGrid w:val="0"/>
        <w:spacing w:before="156" w:beforeLines="50" w:after="156" w:afterLines="50" w:line="360" w:lineRule="auto"/>
        <w:ind w:firstLine="480" w:firstLineChars="200"/>
        <w:rPr>
          <w:rFonts w:ascii="Times New Roman" w:hAnsi="Times New Roman"/>
          <w:bCs/>
          <w:sz w:val="24"/>
        </w:rPr>
      </w:pPr>
      <w:r>
        <w:rPr>
          <w:rFonts w:hint="eastAsia" w:ascii="Times New Roman" w:hAnsi="Times New Roman"/>
          <w:bCs/>
          <w:sz w:val="24"/>
        </w:rPr>
        <w:t>（二）2026年1月27日，</w:t>
      </w:r>
      <w:r>
        <w:rPr>
          <w:rFonts w:ascii="Times New Roman" w:hAnsi="Times New Roman"/>
          <w:bCs/>
          <w:sz w:val="24"/>
        </w:rPr>
        <w:t>公司披露了《广东天亿马信息产业股份有限公司</w:t>
      </w:r>
      <w:r>
        <w:rPr>
          <w:rFonts w:hint="eastAsia" w:ascii="Times New Roman" w:hAnsi="Times New Roman"/>
          <w:bCs/>
          <w:sz w:val="24"/>
        </w:rPr>
        <w:t>&lt;</w:t>
      </w:r>
      <w:r>
        <w:rPr>
          <w:rFonts w:ascii="Times New Roman" w:hAnsi="Times New Roman"/>
          <w:bCs/>
          <w:sz w:val="24"/>
        </w:rPr>
        <w:t>关于广东天亿马信息产业股份有限公司发行股份及支付现金购买资产并募集配套资金申请的审核问询函</w:t>
      </w:r>
      <w:r>
        <w:rPr>
          <w:rFonts w:hint="eastAsia" w:ascii="Times New Roman" w:hAnsi="Times New Roman"/>
          <w:bCs/>
          <w:sz w:val="24"/>
        </w:rPr>
        <w:t>&gt;</w:t>
      </w:r>
      <w:r>
        <w:rPr>
          <w:rFonts w:ascii="Times New Roman" w:hAnsi="Times New Roman"/>
          <w:bCs/>
          <w:sz w:val="24"/>
        </w:rPr>
        <w:t>之回复</w:t>
      </w:r>
      <w:r>
        <w:rPr>
          <w:rFonts w:hint="eastAsia" w:ascii="Times New Roman" w:hAnsi="Times New Roman"/>
          <w:bCs/>
          <w:sz w:val="24"/>
        </w:rPr>
        <w:t>》</w:t>
      </w:r>
      <w:r>
        <w:rPr>
          <w:rFonts w:ascii="Times New Roman" w:hAnsi="Times New Roman"/>
          <w:bCs/>
          <w:sz w:val="24"/>
        </w:rPr>
        <w:t>《广东天亿马信息产业股份有限公司发行股份及支付现金购买资产并募集配套资金暨关联交易报告书（草案）</w:t>
      </w:r>
      <w:r>
        <w:rPr>
          <w:rFonts w:hint="eastAsia" w:ascii="Times New Roman" w:hAnsi="Times New Roman"/>
          <w:bCs/>
          <w:sz w:val="24"/>
        </w:rPr>
        <w:t>》（修订稿）等公告文件。同时披露了各中介机构</w:t>
      </w:r>
      <w:r>
        <w:rPr>
          <w:rFonts w:ascii="Times New Roman" w:hAnsi="Times New Roman"/>
          <w:bCs/>
          <w:sz w:val="24"/>
        </w:rPr>
        <w:t>就</w:t>
      </w:r>
      <w:r>
        <w:rPr>
          <w:rFonts w:hint="eastAsia" w:ascii="Times New Roman" w:hAnsi="Times New Roman"/>
          <w:bCs/>
          <w:sz w:val="24"/>
        </w:rPr>
        <w:t>交易所问询事项出具回复的文件。</w:t>
      </w:r>
    </w:p>
    <w:p w14:paraId="0F1D1BCB">
      <w:pPr>
        <w:tabs>
          <w:tab w:val="left" w:pos="709"/>
        </w:tabs>
        <w:snapToGrid w:val="0"/>
        <w:spacing w:before="156" w:beforeLines="50" w:after="156" w:afterLines="50" w:line="360" w:lineRule="auto"/>
        <w:ind w:firstLine="482" w:firstLineChars="200"/>
        <w:rPr>
          <w:rFonts w:hint="eastAsia"/>
          <w:b/>
          <w:bCs/>
          <w:sz w:val="24"/>
        </w:rPr>
      </w:pPr>
      <w:r>
        <w:rPr>
          <w:rFonts w:hint="eastAsia"/>
          <w:b/>
          <w:bCs/>
          <w:sz w:val="24"/>
        </w:rPr>
        <w:t>综上，本所认为：</w:t>
      </w:r>
    </w:p>
    <w:p w14:paraId="184892B1">
      <w:pPr>
        <w:tabs>
          <w:tab w:val="left" w:pos="709"/>
        </w:tabs>
        <w:snapToGrid w:val="0"/>
        <w:spacing w:before="156" w:beforeLines="50" w:after="156" w:afterLines="50" w:line="360" w:lineRule="auto"/>
        <w:ind w:firstLine="482" w:firstLineChars="200"/>
        <w:rPr>
          <w:rFonts w:ascii="Times New Roman" w:hAnsi="Times New Roman"/>
          <w:spacing w:val="-2"/>
          <w:sz w:val="24"/>
        </w:rPr>
      </w:pPr>
      <w:r>
        <w:rPr>
          <w:rFonts w:hint="eastAsia"/>
          <w:b/>
          <w:bCs/>
          <w:sz w:val="24"/>
        </w:rPr>
        <w:t>截至本补充法律意见书出具之日，上市公司已履行了现阶段法定的信息披露义务。随着本次交易进程的推进，上市公司需依据交易进程继续履行相关的信息披露义务。</w:t>
      </w:r>
    </w:p>
    <w:p w14:paraId="7AEBAC32">
      <w:pPr>
        <w:pStyle w:val="39"/>
        <w:adjustRightInd w:val="0"/>
        <w:snapToGrid w:val="0"/>
        <w:spacing w:before="156" w:beforeLines="50" w:after="156" w:afterLines="50"/>
        <w:ind w:firstLine="472"/>
        <w:rPr>
          <w:spacing w:val="-2"/>
          <w:szCs w:val="24"/>
        </w:rPr>
      </w:pPr>
    </w:p>
    <w:p w14:paraId="781574C1">
      <w:pPr>
        <w:tabs>
          <w:tab w:val="left" w:pos="709"/>
        </w:tabs>
        <w:snapToGrid w:val="0"/>
        <w:spacing w:before="156" w:beforeLines="50" w:after="156" w:afterLines="50" w:line="360" w:lineRule="auto"/>
        <w:ind w:firstLine="482" w:firstLineChars="200"/>
        <w:outlineLvl w:val="0"/>
        <w:rPr>
          <w:rFonts w:ascii="Times New Roman" w:hAnsi="Times New Roman"/>
          <w:b/>
          <w:bCs/>
          <w:sz w:val="24"/>
        </w:rPr>
      </w:pPr>
      <w:bookmarkStart w:id="77" w:name="_Toc5594"/>
      <w:bookmarkStart w:id="78" w:name="_Toc560853637"/>
      <w:bookmarkStart w:id="79" w:name="_Toc1665623513"/>
      <w:bookmarkStart w:id="80" w:name="_Toc1120628285"/>
      <w:bookmarkStart w:id="81" w:name="_Toc1898728232"/>
      <w:bookmarkStart w:id="82" w:name="_Toc1092208227"/>
      <w:bookmarkStart w:id="83" w:name="_Toc374017305"/>
      <w:bookmarkStart w:id="84" w:name="_Toc16615"/>
      <w:bookmarkStart w:id="85" w:name="_Toc13684"/>
      <w:r>
        <w:rPr>
          <w:rFonts w:hint="eastAsia" w:ascii="Times New Roman" w:hAnsi="Times New Roman"/>
          <w:b/>
          <w:bCs/>
          <w:sz w:val="24"/>
        </w:rPr>
        <w:t>九</w:t>
      </w:r>
      <w:r>
        <w:rPr>
          <w:rFonts w:ascii="Times New Roman" w:hAnsi="Times New Roman"/>
          <w:b/>
          <w:bCs/>
          <w:sz w:val="24"/>
        </w:rPr>
        <w:t>、本次交易的实质条件</w:t>
      </w:r>
      <w:bookmarkEnd w:id="77"/>
      <w:bookmarkEnd w:id="78"/>
      <w:bookmarkEnd w:id="79"/>
      <w:bookmarkEnd w:id="80"/>
      <w:bookmarkEnd w:id="81"/>
      <w:bookmarkEnd w:id="82"/>
      <w:bookmarkEnd w:id="83"/>
      <w:bookmarkEnd w:id="84"/>
    </w:p>
    <w:p w14:paraId="6D64982A">
      <w:pPr>
        <w:tabs>
          <w:tab w:val="left" w:pos="709"/>
        </w:tabs>
        <w:snapToGrid w:val="0"/>
        <w:spacing w:before="156" w:beforeLines="50" w:line="360" w:lineRule="auto"/>
        <w:ind w:firstLine="482" w:firstLineChars="200"/>
        <w:outlineLvl w:val="1"/>
        <w:rPr>
          <w:rFonts w:ascii="Times New Roman" w:hAnsi="Times New Roman"/>
          <w:b/>
          <w:bCs/>
          <w:sz w:val="24"/>
        </w:rPr>
      </w:pPr>
      <w:bookmarkStart w:id="86" w:name="_Toc192503030"/>
      <w:bookmarkStart w:id="87" w:name="_Toc593517879"/>
      <w:bookmarkStart w:id="88" w:name="_Toc629680652"/>
      <w:bookmarkStart w:id="89" w:name="_Toc572091768"/>
      <w:bookmarkStart w:id="90" w:name="_Toc1470524216"/>
      <w:bookmarkStart w:id="91" w:name="_Toc225837360"/>
      <w:r>
        <w:rPr>
          <w:rFonts w:ascii="Times New Roman" w:hAnsi="Times New Roman"/>
          <w:b/>
          <w:bCs/>
          <w:sz w:val="24"/>
        </w:rPr>
        <w:t>（一）本次交易符合《重组管理办法》第十一条的相关规定</w:t>
      </w:r>
      <w:bookmarkEnd w:id="86"/>
      <w:bookmarkEnd w:id="87"/>
      <w:bookmarkEnd w:id="88"/>
      <w:bookmarkEnd w:id="89"/>
    </w:p>
    <w:p w14:paraId="1F73056D">
      <w:pPr>
        <w:tabs>
          <w:tab w:val="left" w:pos="709"/>
        </w:tabs>
        <w:snapToGrid w:val="0"/>
        <w:spacing w:before="156" w:beforeLines="50" w:line="360" w:lineRule="auto"/>
        <w:ind w:firstLine="496" w:firstLineChars="200"/>
        <w:rPr>
          <w:rFonts w:hint="eastAsia"/>
          <w:sz w:val="24"/>
        </w:rPr>
      </w:pPr>
      <w:r>
        <w:rPr>
          <w:rFonts w:ascii="Times New Roman" w:hAnsi="Times New Roman"/>
          <w:spacing w:val="4"/>
          <w:sz w:val="24"/>
        </w:rPr>
        <w:t>本所律师已在</w:t>
      </w:r>
      <w:r>
        <w:rPr>
          <w:rFonts w:ascii="Times New Roman" w:hAnsi="Times New Roman"/>
          <w:spacing w:val="-1"/>
          <w:sz w:val="24"/>
        </w:rPr>
        <w:t>《法律意见书》中披露本次交易符合《重组管理办法》第十一条的相关规定的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的相关内容未发生变化，本此交易仍符合</w:t>
      </w:r>
      <w:r>
        <w:rPr>
          <w:rFonts w:ascii="Times New Roman" w:hAnsi="Times New Roman"/>
          <w:spacing w:val="-1"/>
          <w:sz w:val="24"/>
        </w:rPr>
        <w:t>《重组管理办法》第十一条的相关规定</w:t>
      </w:r>
      <w:r>
        <w:rPr>
          <w:rFonts w:hint="eastAsia" w:ascii="Times New Roman" w:hAnsi="Times New Roman"/>
          <w:spacing w:val="-1"/>
          <w:sz w:val="24"/>
        </w:rPr>
        <w:t>。</w:t>
      </w:r>
    </w:p>
    <w:p w14:paraId="3829FE4B">
      <w:pPr>
        <w:tabs>
          <w:tab w:val="left" w:pos="709"/>
        </w:tabs>
        <w:snapToGrid w:val="0"/>
        <w:spacing w:before="156" w:beforeLines="50" w:line="360" w:lineRule="auto"/>
        <w:ind w:firstLine="482" w:firstLineChars="200"/>
        <w:outlineLvl w:val="1"/>
        <w:rPr>
          <w:rFonts w:ascii="Times New Roman" w:hAnsi="Times New Roman"/>
          <w:b/>
          <w:bCs/>
          <w:sz w:val="24"/>
        </w:rPr>
      </w:pPr>
      <w:bookmarkStart w:id="92" w:name="_Toc862057157"/>
      <w:bookmarkStart w:id="93" w:name="_Toc1288052828"/>
      <w:bookmarkStart w:id="94" w:name="_Toc905417211"/>
      <w:bookmarkStart w:id="95" w:name="_Toc1871463140"/>
      <w:bookmarkStart w:id="96" w:name="OLE_LINK5"/>
      <w:bookmarkStart w:id="97" w:name="OLE_LINK6"/>
      <w:r>
        <w:rPr>
          <w:rFonts w:ascii="Times New Roman" w:hAnsi="Times New Roman"/>
          <w:b/>
          <w:bCs/>
          <w:sz w:val="24"/>
        </w:rPr>
        <w:t>（二）本次交易符合不构成《重组管理办法》第十三条的规定的情形</w:t>
      </w:r>
    </w:p>
    <w:p w14:paraId="05F547F0">
      <w:pPr>
        <w:tabs>
          <w:tab w:val="left" w:pos="709"/>
        </w:tabs>
        <w:snapToGrid w:val="0"/>
        <w:spacing w:before="156" w:beforeLines="50" w:line="360" w:lineRule="auto"/>
        <w:ind w:firstLine="476" w:firstLineChars="200"/>
        <w:rPr>
          <w:rFonts w:ascii="Times New Roman" w:hAnsi="Times New Roman"/>
          <w:sz w:val="24"/>
        </w:rPr>
      </w:pPr>
      <w:r>
        <w:rPr>
          <w:rFonts w:ascii="Times New Roman" w:hAnsi="Times New Roman"/>
          <w:spacing w:val="-1"/>
          <w:sz w:val="24"/>
        </w:rPr>
        <w:t>本所律师已在《法律意见书》中披露本次交易符合《重组管理办法》第十三条的相关规定的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的相关内容未发生变化，本此交易仍符合</w:t>
      </w:r>
      <w:r>
        <w:rPr>
          <w:rFonts w:ascii="Times New Roman" w:hAnsi="Times New Roman"/>
          <w:spacing w:val="-1"/>
          <w:sz w:val="24"/>
        </w:rPr>
        <w:t>《重组管理办法》第十三条的相关规定</w:t>
      </w:r>
      <w:r>
        <w:rPr>
          <w:rFonts w:ascii="Times New Roman" w:hAnsi="Times New Roman"/>
          <w:sz w:val="24"/>
        </w:rPr>
        <w:t>。</w:t>
      </w:r>
    </w:p>
    <w:p w14:paraId="3A4382F1">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（三）本次交易符合《重组管理办法》第四十三条的相关规定</w:t>
      </w:r>
      <w:bookmarkEnd w:id="92"/>
      <w:bookmarkEnd w:id="93"/>
      <w:bookmarkEnd w:id="94"/>
      <w:bookmarkEnd w:id="95"/>
    </w:p>
    <w:bookmarkEnd w:id="96"/>
    <w:bookmarkEnd w:id="97"/>
    <w:p w14:paraId="58AE86D7">
      <w:pPr>
        <w:tabs>
          <w:tab w:val="left" w:pos="709"/>
        </w:tabs>
        <w:snapToGrid w:val="0"/>
        <w:spacing w:before="156" w:beforeLines="50" w:line="360" w:lineRule="auto"/>
        <w:ind w:firstLine="480" w:firstLineChars="200"/>
        <w:rPr>
          <w:rFonts w:ascii="Times New Roman" w:hAnsi="Times New Roman"/>
          <w:sz w:val="24"/>
        </w:rPr>
      </w:pPr>
      <w:bookmarkStart w:id="98" w:name="_Toc1828515671"/>
      <w:bookmarkStart w:id="99" w:name="_Toc1669955037"/>
      <w:bookmarkStart w:id="100" w:name="_Toc1668718436"/>
      <w:bookmarkStart w:id="101" w:name="_Toc1171633799"/>
      <w:r>
        <w:rPr>
          <w:rFonts w:ascii="Times New Roman" w:hAnsi="Times New Roman"/>
          <w:sz w:val="24"/>
          <w:lang w:eastAsia="zh"/>
        </w:rPr>
        <w:t>1</w:t>
      </w:r>
      <w:r>
        <w:rPr>
          <w:rFonts w:ascii="Times New Roman" w:hAnsi="Times New Roman"/>
          <w:sz w:val="24"/>
        </w:rPr>
        <w:t>、根据天亿马相关审计报告并经本所律师核查，天亿马202</w:t>
      </w:r>
      <w:r>
        <w:rPr>
          <w:rFonts w:hint="eastAsia" w:ascii="Times New Roman" w:hAnsi="Times New Roman"/>
          <w:sz w:val="24"/>
        </w:rPr>
        <w:t>5</w:t>
      </w:r>
      <w:r>
        <w:rPr>
          <w:rFonts w:ascii="Times New Roman" w:hAnsi="Times New Roman"/>
          <w:sz w:val="24"/>
        </w:rPr>
        <w:t>年财务报表已经中审亚太会计师事务所（特殊普通合伙）审计，出具了编号为中审亚太审字（202</w:t>
      </w:r>
      <w:r>
        <w:rPr>
          <w:rFonts w:hint="eastAsia" w:ascii="Times New Roman" w:hAnsi="Times New Roman"/>
          <w:sz w:val="24"/>
        </w:rPr>
        <w:t>6</w:t>
      </w:r>
      <w:r>
        <w:rPr>
          <w:rFonts w:ascii="Times New Roman" w:hAnsi="Times New Roman"/>
          <w:sz w:val="24"/>
        </w:rPr>
        <w:t>）</w:t>
      </w:r>
      <w:r>
        <w:rPr>
          <w:rFonts w:hint="eastAsia" w:ascii="Times New Roman" w:hAnsi="Times New Roman"/>
          <w:sz w:val="24"/>
        </w:rPr>
        <w:t>002364</w:t>
      </w:r>
      <w:r>
        <w:rPr>
          <w:rFonts w:ascii="Times New Roman" w:hAnsi="Times New Roman"/>
          <w:sz w:val="24"/>
        </w:rPr>
        <w:t>号的标准无保留意见审计报告，天亿马不存在最近一年财务会计报告被注册会计师出具保留意见、否定意见或者无法表示意见的审计报告的情形。本次交易符合《重组管理办法》第四十三条第一款第（</w:t>
      </w:r>
      <w:r>
        <w:rPr>
          <w:rFonts w:ascii="Times New Roman" w:hAnsi="Times New Roman"/>
          <w:sz w:val="24"/>
          <w:lang w:eastAsia="zh"/>
        </w:rPr>
        <w:t>一</w:t>
      </w:r>
      <w:r>
        <w:rPr>
          <w:rFonts w:ascii="Times New Roman" w:hAnsi="Times New Roman"/>
          <w:sz w:val="24"/>
        </w:rPr>
        <w:t>）项之规定。</w:t>
      </w:r>
    </w:p>
    <w:p w14:paraId="3F82092A">
      <w:pPr>
        <w:tabs>
          <w:tab w:val="left" w:pos="709"/>
        </w:tabs>
        <w:snapToGrid w:val="0"/>
        <w:spacing w:before="156" w:beforeLines="50" w:line="360" w:lineRule="auto"/>
        <w:ind w:firstLine="480" w:firstLineChars="200"/>
        <w:rPr>
          <w:rFonts w:ascii="Times New Roman" w:hAnsi="Times New Roman"/>
          <w:sz w:val="24"/>
        </w:rPr>
      </w:pPr>
      <w:r>
        <w:rPr>
          <w:rFonts w:ascii="Times New Roman" w:hAnsi="Times New Roman"/>
          <w:sz w:val="24"/>
          <w:lang w:eastAsia="zh"/>
        </w:rPr>
        <w:t>2</w:t>
      </w:r>
      <w:r>
        <w:rPr>
          <w:rFonts w:ascii="Times New Roman" w:hAnsi="Times New Roman"/>
          <w:sz w:val="24"/>
        </w:rPr>
        <w:t>、根据天亿马及其现任董事、高级管理人员</w:t>
      </w:r>
      <w:r>
        <w:rPr>
          <w:rFonts w:hint="eastAsia" w:ascii="Times New Roman" w:hAnsi="Times New Roman"/>
          <w:sz w:val="24"/>
        </w:rPr>
        <w:t>提供的诚信档案等资料</w:t>
      </w:r>
      <w:r>
        <w:rPr>
          <w:rFonts w:ascii="Times New Roman" w:hAnsi="Times New Roman"/>
          <w:sz w:val="24"/>
        </w:rPr>
        <w:t>并经本所律师核查，天亿马及其现任董事、高级管理人员不存在因涉嫌犯罪正被司法机关立案侦查或涉嫌违法违规正被中国证监会立案调查的情形。本次交易符合《重组管理办法》第四十三条第一款第（</w:t>
      </w:r>
      <w:r>
        <w:rPr>
          <w:rFonts w:ascii="Times New Roman" w:hAnsi="Times New Roman"/>
          <w:sz w:val="24"/>
          <w:lang w:eastAsia="zh"/>
        </w:rPr>
        <w:t>二</w:t>
      </w:r>
      <w:r>
        <w:rPr>
          <w:rFonts w:ascii="Times New Roman" w:hAnsi="Times New Roman"/>
          <w:sz w:val="24"/>
        </w:rPr>
        <w:t>）项之规定。</w:t>
      </w:r>
    </w:p>
    <w:p w14:paraId="7E61E66B">
      <w:pPr>
        <w:tabs>
          <w:tab w:val="left" w:pos="709"/>
        </w:tabs>
        <w:snapToGrid w:val="0"/>
        <w:spacing w:before="156" w:beforeLines="50" w:line="360" w:lineRule="auto"/>
        <w:ind w:firstLine="480" w:firstLineChars="200"/>
        <w:rPr>
          <w:rFonts w:ascii="Times New Roman" w:hAnsi="Times New Roman"/>
          <w:sz w:val="24"/>
          <w:lang w:bidi="ar"/>
        </w:rPr>
      </w:pPr>
      <w:r>
        <w:rPr>
          <w:rFonts w:ascii="Times New Roman" w:hAnsi="Times New Roman"/>
          <w:sz w:val="24"/>
          <w:lang w:bidi="ar"/>
        </w:rPr>
        <w:t>3、</w:t>
      </w:r>
      <w:r>
        <w:rPr>
          <w:rFonts w:ascii="Times New Roman" w:hAnsi="Times New Roman"/>
          <w:spacing w:val="-1"/>
          <w:sz w:val="24"/>
        </w:rPr>
        <w:t>本所律师已在《法律意见书》中披露本次交易符合《重组管理办法》</w:t>
      </w:r>
      <w:r>
        <w:rPr>
          <w:rFonts w:ascii="Times New Roman" w:hAnsi="Times New Roman"/>
          <w:sz w:val="24"/>
        </w:rPr>
        <w:t>四十三条</w:t>
      </w:r>
      <w:r>
        <w:rPr>
          <w:rFonts w:ascii="Times New Roman" w:hAnsi="Times New Roman"/>
          <w:sz w:val="24"/>
          <w:lang w:bidi="ar"/>
        </w:rPr>
        <w:t>第二款</w:t>
      </w:r>
      <w:r>
        <w:rPr>
          <w:rFonts w:hint="eastAsia" w:ascii="Times New Roman" w:hAnsi="Times New Roman"/>
          <w:sz w:val="24"/>
          <w:lang w:bidi="ar"/>
        </w:rPr>
        <w:t>和第三款</w:t>
      </w:r>
      <w:r>
        <w:rPr>
          <w:rFonts w:ascii="Times New Roman" w:hAnsi="Times New Roman"/>
          <w:spacing w:val="-1"/>
          <w:sz w:val="24"/>
        </w:rPr>
        <w:t>规定的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的相关内容未发生变化，本此交易仍符合</w:t>
      </w:r>
      <w:r>
        <w:rPr>
          <w:rFonts w:ascii="Times New Roman" w:hAnsi="Times New Roman"/>
          <w:spacing w:val="-1"/>
          <w:sz w:val="24"/>
        </w:rPr>
        <w:t>《重组管理办法》</w:t>
      </w:r>
      <w:r>
        <w:rPr>
          <w:rFonts w:ascii="Times New Roman" w:hAnsi="Times New Roman"/>
          <w:sz w:val="24"/>
        </w:rPr>
        <w:t>四十三条</w:t>
      </w:r>
      <w:r>
        <w:rPr>
          <w:rFonts w:ascii="Times New Roman" w:hAnsi="Times New Roman"/>
          <w:sz w:val="24"/>
          <w:lang w:bidi="ar"/>
        </w:rPr>
        <w:t>第二款</w:t>
      </w:r>
      <w:r>
        <w:rPr>
          <w:rFonts w:hint="eastAsia" w:ascii="Times New Roman" w:hAnsi="Times New Roman"/>
          <w:sz w:val="24"/>
          <w:lang w:bidi="ar"/>
        </w:rPr>
        <w:t>和第三款</w:t>
      </w:r>
      <w:r>
        <w:rPr>
          <w:rFonts w:ascii="Times New Roman" w:hAnsi="Times New Roman"/>
          <w:spacing w:val="-1"/>
          <w:sz w:val="24"/>
        </w:rPr>
        <w:t>的相关规定</w:t>
      </w:r>
      <w:r>
        <w:rPr>
          <w:rFonts w:hint="eastAsia" w:ascii="Times New Roman" w:hAnsi="Times New Roman"/>
          <w:spacing w:val="-1"/>
          <w:sz w:val="24"/>
        </w:rPr>
        <w:t>。</w:t>
      </w:r>
    </w:p>
    <w:bookmarkEnd w:id="98"/>
    <w:bookmarkEnd w:id="99"/>
    <w:bookmarkEnd w:id="100"/>
    <w:bookmarkEnd w:id="101"/>
    <w:p w14:paraId="3953BE20">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（四）本次交易符合《重组管理办法》第四十四条的规定</w:t>
      </w:r>
    </w:p>
    <w:p w14:paraId="3E88F4FA">
      <w:pPr>
        <w:tabs>
          <w:tab w:val="left" w:pos="709"/>
        </w:tabs>
        <w:snapToGrid w:val="0"/>
        <w:spacing w:before="156" w:beforeLines="50" w:line="360" w:lineRule="auto"/>
        <w:ind w:firstLine="482" w:firstLineChars="200"/>
        <w:rPr>
          <w:rFonts w:ascii="Times New Roman" w:hAnsi="Times New Roman"/>
          <w:b/>
          <w:bCs/>
          <w:sz w:val="24"/>
        </w:rPr>
      </w:pPr>
      <w:r>
        <w:rPr>
          <w:rFonts w:ascii="Times New Roman" w:hAnsi="Times New Roman"/>
          <w:b/>
          <w:bCs/>
          <w:sz w:val="24"/>
        </w:rPr>
        <w:t>1、本次交易有利于提高上市公司资产质量和增强持续经营能力，不会导致财务状况发生重大不利变化</w:t>
      </w:r>
    </w:p>
    <w:p w14:paraId="4E84CC77">
      <w:pPr>
        <w:tabs>
          <w:tab w:val="left" w:pos="709"/>
        </w:tabs>
        <w:snapToGrid w:val="0"/>
        <w:spacing w:before="156" w:beforeLines="50" w:line="360" w:lineRule="auto"/>
        <w:ind w:firstLine="476" w:firstLineChars="200"/>
        <w:rPr>
          <w:rFonts w:hint="eastAsia" w:ascii="Times New Roman" w:hAnsi="Times New Roman"/>
          <w:spacing w:val="-1"/>
          <w:sz w:val="24"/>
        </w:rPr>
      </w:pPr>
      <w:r>
        <w:rPr>
          <w:rFonts w:ascii="Times New Roman" w:hAnsi="Times New Roman"/>
          <w:spacing w:val="-1"/>
          <w:sz w:val="24"/>
        </w:rPr>
        <w:t>本所律师已在《法律意见书》中披露本次交易有利于提高上市公司资产质量和增强持续经营能力，不会导致财务状况发生重大不利变化的</w:t>
      </w:r>
      <w:r>
        <w:rPr>
          <w:rFonts w:hint="eastAsia" w:ascii="Times New Roman" w:hAnsi="Times New Roman"/>
          <w:spacing w:val="-1"/>
          <w:sz w:val="24"/>
        </w:rPr>
        <w:t>相关</w:t>
      </w:r>
      <w:r>
        <w:rPr>
          <w:rFonts w:ascii="Times New Roman" w:hAnsi="Times New Roman"/>
          <w:spacing w:val="-1"/>
          <w:sz w:val="24"/>
        </w:rPr>
        <w:t>情况。</w:t>
      </w:r>
      <w:r>
        <w:rPr>
          <w:rFonts w:hint="eastAsia" w:ascii="Times New Roman" w:hAnsi="Times New Roman"/>
          <w:spacing w:val="-1"/>
          <w:sz w:val="24"/>
        </w:rPr>
        <w:t>根据《重组报告书（草案）》《审计报告》等相关资料，并经本所律师核查，截至本补充法律意见书出具日，本次交易仍有助于上市公司提高资产质量和增强持续经营能力，不会导致财务状况发生重大不利变化。</w:t>
      </w:r>
    </w:p>
    <w:p w14:paraId="76C7D939">
      <w:pPr>
        <w:tabs>
          <w:tab w:val="left" w:pos="709"/>
        </w:tabs>
        <w:snapToGrid w:val="0"/>
        <w:spacing w:before="156" w:beforeLines="50" w:line="360" w:lineRule="auto"/>
        <w:ind w:firstLine="482" w:firstLineChars="200"/>
        <w:rPr>
          <w:rFonts w:ascii="Times New Roman" w:hAnsi="Times New Roman"/>
          <w:b/>
          <w:bCs/>
          <w:sz w:val="24"/>
        </w:rPr>
      </w:pPr>
      <w:r>
        <w:rPr>
          <w:rFonts w:ascii="Times New Roman" w:hAnsi="Times New Roman"/>
          <w:b/>
          <w:bCs/>
          <w:sz w:val="24"/>
        </w:rPr>
        <w:t>2、本次交易不会导致新增重大不利影响的同业竞争及严重影响</w:t>
      </w:r>
      <w:r>
        <w:rPr>
          <w:rFonts w:ascii="Times New Roman" w:hAnsi="Times New Roman"/>
          <w:b/>
          <w:bCs/>
          <w:spacing w:val="-1"/>
          <w:sz w:val="24"/>
        </w:rPr>
        <w:t>独立性或者</w:t>
      </w:r>
      <w:r>
        <w:rPr>
          <w:rFonts w:ascii="Times New Roman" w:hAnsi="Times New Roman"/>
          <w:b/>
          <w:bCs/>
          <w:spacing w:val="-4"/>
          <w:sz w:val="24"/>
        </w:rPr>
        <w:t>显失公平的关联交易</w:t>
      </w:r>
    </w:p>
    <w:p w14:paraId="310218E5">
      <w:pPr>
        <w:pStyle w:val="39"/>
        <w:spacing w:before="156"/>
        <w:ind w:firstLine="476"/>
        <w:rPr>
          <w:shd w:val="clear" w:color="auto" w:fill="FFFFFF"/>
        </w:rPr>
      </w:pPr>
      <w:r>
        <w:rPr>
          <w:spacing w:val="-1"/>
          <w:szCs w:val="24"/>
        </w:rPr>
        <w:t>本所律师已在《法律意见书》中披露本次交易</w:t>
      </w:r>
      <w:r>
        <w:rPr>
          <w:rFonts w:hint="eastAsia"/>
          <w:spacing w:val="-1"/>
          <w:szCs w:val="24"/>
        </w:rPr>
        <w:t>不会导致新增重大不利影响的同业竞争及严重影响独立性或者显失公平的关联交易</w:t>
      </w:r>
      <w:r>
        <w:rPr>
          <w:spacing w:val="-1"/>
          <w:szCs w:val="24"/>
        </w:rPr>
        <w:t>的</w:t>
      </w:r>
      <w:r>
        <w:rPr>
          <w:rFonts w:hint="eastAsia"/>
          <w:spacing w:val="-1"/>
          <w:szCs w:val="24"/>
        </w:rPr>
        <w:t>相关</w:t>
      </w:r>
      <w:r>
        <w:rPr>
          <w:spacing w:val="-1"/>
          <w:szCs w:val="24"/>
        </w:rPr>
        <w:t>情况。根据《重组报告书（草案）》并经本所律师核查，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p>
    <w:p w14:paraId="3E27CB4F">
      <w:pPr>
        <w:tabs>
          <w:tab w:val="left" w:pos="709"/>
        </w:tabs>
        <w:snapToGrid w:val="0"/>
        <w:spacing w:before="156" w:beforeLines="50" w:line="360" w:lineRule="auto"/>
        <w:ind w:firstLine="482" w:firstLineChars="200"/>
        <w:rPr>
          <w:rFonts w:ascii="Times New Roman" w:hAnsi="Times New Roman"/>
          <w:b/>
          <w:bCs/>
          <w:sz w:val="24"/>
        </w:rPr>
      </w:pPr>
      <w:r>
        <w:rPr>
          <w:rFonts w:ascii="Times New Roman" w:hAnsi="Times New Roman"/>
          <w:b/>
          <w:bCs/>
          <w:sz w:val="24"/>
        </w:rPr>
        <w:t>3、本次发行股份所购买的资产为权属清晰的经营性资产，并能在约定期限内办理完毕权属转移手续</w:t>
      </w:r>
    </w:p>
    <w:p w14:paraId="58926C6A">
      <w:pPr>
        <w:tabs>
          <w:tab w:val="left" w:pos="709"/>
        </w:tabs>
        <w:snapToGrid w:val="0"/>
        <w:spacing w:before="156" w:beforeLines="50" w:line="360" w:lineRule="auto"/>
        <w:ind w:firstLine="476" w:firstLineChars="200"/>
        <w:rPr>
          <w:rFonts w:ascii="Times New Roman" w:hAnsi="Times New Roman"/>
          <w:sz w:val="24"/>
        </w:rPr>
      </w:pPr>
      <w:r>
        <w:rPr>
          <w:rFonts w:ascii="Times New Roman" w:hAnsi="Times New Roman"/>
          <w:spacing w:val="-1"/>
          <w:sz w:val="24"/>
        </w:rPr>
        <w:t>本所律师已在《法律意见书》中披露本次发行股份所购买的资产为权属清晰的经营性资产，并能在约定期限内办理完毕权属转移手续的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w:t>
      </w:r>
      <w:r>
        <w:rPr>
          <w:rFonts w:ascii="Times New Roman" w:hAnsi="Times New Roman"/>
          <w:sz w:val="24"/>
        </w:rPr>
        <w:t>。</w:t>
      </w:r>
    </w:p>
    <w:p w14:paraId="2304C6FF">
      <w:pPr>
        <w:tabs>
          <w:tab w:val="left" w:pos="709"/>
        </w:tabs>
        <w:snapToGrid w:val="0"/>
        <w:spacing w:before="156" w:beforeLines="50" w:line="360" w:lineRule="auto"/>
        <w:ind w:firstLine="480" w:firstLineChars="200"/>
        <w:rPr>
          <w:rFonts w:ascii="Times New Roman" w:hAnsi="Times New Roman"/>
          <w:sz w:val="24"/>
        </w:rPr>
      </w:pPr>
      <w:r>
        <w:rPr>
          <w:rFonts w:ascii="Times New Roman" w:hAnsi="Times New Roman"/>
          <w:sz w:val="24"/>
        </w:rPr>
        <w:t>综上，本次交易符合《重组管理办法》第四十四条第一款之规定。</w:t>
      </w:r>
    </w:p>
    <w:p w14:paraId="7744A0BE">
      <w:pPr>
        <w:tabs>
          <w:tab w:val="left" w:pos="709"/>
        </w:tabs>
        <w:snapToGrid w:val="0"/>
        <w:spacing w:before="156" w:beforeLines="50" w:line="360" w:lineRule="auto"/>
        <w:ind w:firstLine="482" w:firstLineChars="200"/>
        <w:rPr>
          <w:rFonts w:ascii="Times New Roman" w:hAnsi="Times New Roman"/>
          <w:b/>
          <w:bCs/>
          <w:sz w:val="24"/>
        </w:rPr>
      </w:pPr>
      <w:r>
        <w:rPr>
          <w:rFonts w:ascii="Times New Roman" w:hAnsi="Times New Roman"/>
          <w:b/>
          <w:bCs/>
          <w:sz w:val="24"/>
        </w:rPr>
        <w:t>4、本次交易所购买的资产与上市公司现有主营业务具有协同效应</w:t>
      </w:r>
    </w:p>
    <w:p w14:paraId="6170AE1A">
      <w:pPr>
        <w:pStyle w:val="39"/>
        <w:spacing w:before="156"/>
        <w:ind w:firstLine="476"/>
      </w:pPr>
      <w:r>
        <w:rPr>
          <w:spacing w:val="-1"/>
          <w:szCs w:val="24"/>
        </w:rPr>
        <w:t>本所律师已在《法律意见书</w:t>
      </w:r>
      <w:r>
        <w:t>》中披露本次交易所购买的资产与上市公司现有主营业务具有协同效应的</w:t>
      </w:r>
      <w:r>
        <w:rPr>
          <w:rFonts w:hint="eastAsia"/>
        </w:rPr>
        <w:t>相关</w:t>
      </w:r>
      <w:r>
        <w:t>情况。</w:t>
      </w:r>
      <w:r>
        <w:rPr>
          <w:spacing w:val="-1"/>
          <w:szCs w:val="24"/>
        </w:rPr>
        <w:t>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t>本次交易符合《重组管理办法》第四十四条第二款之规定。</w:t>
      </w:r>
    </w:p>
    <w:p w14:paraId="0037CAFD">
      <w:pPr>
        <w:tabs>
          <w:tab w:val="left" w:pos="709"/>
        </w:tabs>
        <w:snapToGrid w:val="0"/>
        <w:spacing w:before="156" w:beforeLines="50" w:line="360" w:lineRule="auto"/>
        <w:ind w:firstLine="482" w:firstLineChars="200"/>
        <w:rPr>
          <w:rFonts w:ascii="Times New Roman" w:hAnsi="Times New Roman"/>
          <w:b/>
          <w:bCs/>
          <w:sz w:val="24"/>
        </w:rPr>
      </w:pPr>
      <w:r>
        <w:rPr>
          <w:rFonts w:ascii="Times New Roman" w:hAnsi="Times New Roman"/>
          <w:b/>
          <w:bCs/>
          <w:sz w:val="24"/>
        </w:rPr>
        <w:t>5、本次交易不涉及分期发行股份支付购买资产对价的情形</w:t>
      </w:r>
    </w:p>
    <w:p w14:paraId="3162F117">
      <w:pPr>
        <w:pStyle w:val="39"/>
        <w:spacing w:before="156"/>
        <w:ind w:firstLine="476"/>
        <w:rPr>
          <w:b/>
          <w:bCs/>
          <w:szCs w:val="24"/>
        </w:rPr>
      </w:pPr>
      <w:r>
        <w:rPr>
          <w:spacing w:val="-1"/>
          <w:szCs w:val="24"/>
        </w:rPr>
        <w:t>本所律师已在《法律意见书</w:t>
      </w:r>
      <w:r>
        <w:t>》中</w:t>
      </w:r>
      <w:r>
        <w:rPr>
          <w:szCs w:val="24"/>
          <w:lang w:bidi="ar"/>
        </w:rPr>
        <w:t>披露本次交易不涉及分期发行股份支付购买资产对价的情形的</w:t>
      </w:r>
      <w:r>
        <w:rPr>
          <w:rFonts w:hint="eastAsia"/>
          <w:szCs w:val="24"/>
          <w:lang w:bidi="ar"/>
        </w:rPr>
        <w:t>相关</w:t>
      </w:r>
      <w:r>
        <w:rPr>
          <w:szCs w:val="24"/>
          <w:lang w:bidi="ar"/>
        </w:rPr>
        <w:t>情况。根据《</w:t>
      </w:r>
      <w:r>
        <w:rPr>
          <w:spacing w:val="-1"/>
          <w:szCs w:val="24"/>
        </w:rPr>
        <w:t>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rPr>
          <w:szCs w:val="24"/>
          <w:lang w:bidi="ar"/>
        </w:rPr>
        <w:t>，本次交易不涉及《重组管理办法》第四十四条第三款规定的情形。</w:t>
      </w:r>
    </w:p>
    <w:p w14:paraId="647E4FAD">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（五）本次交易符合《重组管理办法》第四十五条的规定</w:t>
      </w:r>
    </w:p>
    <w:p w14:paraId="78ACDE41">
      <w:pPr>
        <w:tabs>
          <w:tab w:val="left" w:pos="709"/>
        </w:tabs>
        <w:snapToGrid w:val="0"/>
        <w:spacing w:before="156" w:beforeLines="50" w:line="360" w:lineRule="auto"/>
        <w:ind w:firstLine="476" w:firstLineChars="200"/>
        <w:rPr>
          <w:rFonts w:ascii="Times New Roman" w:hAnsi="Times New Roman"/>
          <w:b/>
          <w:bCs/>
          <w:sz w:val="24"/>
        </w:rPr>
      </w:pPr>
      <w:r>
        <w:rPr>
          <w:rFonts w:ascii="Times New Roman" w:hAnsi="Times New Roman"/>
          <w:spacing w:val="-1"/>
          <w:sz w:val="24"/>
        </w:rPr>
        <w:t>本所律师已在《法律意见书》中披露本次交易符合《重组管理办法》第四十五条的规定的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w:t>
      </w:r>
      <w:r>
        <w:rPr>
          <w:rFonts w:ascii="Times New Roman" w:hAnsi="Times New Roman"/>
          <w:sz w:val="24"/>
          <w:lang w:bidi="ar"/>
        </w:rPr>
        <w:t>本次交易符合《重组管理办法》第四十五条的规定。</w:t>
      </w:r>
    </w:p>
    <w:p w14:paraId="540D2443">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（六）本次交易符合《重组管理办法》第四十六条的规定</w:t>
      </w:r>
    </w:p>
    <w:p w14:paraId="5FAB69F3">
      <w:pPr>
        <w:spacing w:before="156" w:beforeLines="50" w:line="360" w:lineRule="auto"/>
        <w:ind w:firstLine="476" w:firstLineChars="200"/>
        <w:rPr>
          <w:rFonts w:ascii="Times New Roman" w:hAnsi="Times New Roman"/>
          <w:sz w:val="24"/>
        </w:rPr>
      </w:pPr>
      <w:r>
        <w:rPr>
          <w:rFonts w:ascii="Times New Roman" w:hAnsi="Times New Roman"/>
          <w:spacing w:val="-1"/>
          <w:sz w:val="24"/>
        </w:rPr>
        <w:t>本所律师已在</w:t>
      </w:r>
      <w:r>
        <w:rPr>
          <w:rFonts w:ascii="Times New Roman" w:hAnsi="Times New Roman"/>
          <w:sz w:val="24"/>
        </w:rPr>
        <w:t>《法律意见书》中披露本次交易符合《重组管理办法》第四十六条的规定的</w:t>
      </w:r>
      <w:r>
        <w:rPr>
          <w:rFonts w:hint="eastAsia" w:ascii="Times New Roman" w:hAnsi="Times New Roman"/>
          <w:sz w:val="24"/>
        </w:rPr>
        <w:t>相关</w:t>
      </w:r>
      <w:r>
        <w:rPr>
          <w:rFonts w:ascii="Times New Roman" w:hAnsi="Times New Roman"/>
          <w:sz w:val="24"/>
        </w:rPr>
        <w:t>情况</w:t>
      </w:r>
      <w:r>
        <w:rPr>
          <w:rFonts w:ascii="Times New Roman" w:hAnsi="Times New Roman"/>
          <w:spacing w:val="-1"/>
          <w:sz w:val="24"/>
        </w:rPr>
        <w:t>。根据《重组报告书（草案）》并经本所律师核查，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《法律意见书》中披露</w:t>
      </w:r>
      <w:r>
        <w:rPr>
          <w:rFonts w:hint="eastAsia" w:ascii="Times New Roman" w:hAnsi="Times New Roman"/>
          <w:spacing w:val="-1"/>
          <w:sz w:val="24"/>
        </w:rPr>
        <w:t>的相关内容未发生变化，</w:t>
      </w:r>
      <w:r>
        <w:rPr>
          <w:rFonts w:ascii="Times New Roman" w:hAnsi="Times New Roman"/>
          <w:sz w:val="24"/>
        </w:rPr>
        <w:t>本次交易符合《重组管理办法》第四十六条的规定。</w:t>
      </w:r>
    </w:p>
    <w:p w14:paraId="0508C3D7">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（七）本次交易符合《重组管理办法》第四十七条的规定</w:t>
      </w:r>
    </w:p>
    <w:p w14:paraId="6D25936F">
      <w:pPr>
        <w:spacing w:before="156" w:beforeLines="50" w:line="360" w:lineRule="auto"/>
        <w:ind w:firstLine="476" w:firstLineChars="200"/>
        <w:rPr>
          <w:rFonts w:ascii="Times New Roman" w:hAnsi="Times New Roman"/>
          <w:spacing w:val="-1"/>
          <w:sz w:val="24"/>
        </w:rPr>
      </w:pPr>
      <w:r>
        <w:rPr>
          <w:rFonts w:ascii="Times New Roman" w:hAnsi="Times New Roman"/>
          <w:spacing w:val="-1"/>
          <w:sz w:val="24"/>
        </w:rPr>
        <w:t>本所律师已在《法律意见书》中披露本次交易符合《重组管理办法》第四十七条的规定的</w:t>
      </w:r>
      <w:r>
        <w:rPr>
          <w:rFonts w:hint="eastAsia" w:ascii="Times New Roman" w:hAnsi="Times New Roman"/>
          <w:spacing w:val="-1"/>
          <w:sz w:val="24"/>
        </w:rPr>
        <w:t>相关</w:t>
      </w:r>
      <w:r>
        <w:rPr>
          <w:rFonts w:ascii="Times New Roman" w:hAnsi="Times New Roman"/>
          <w:spacing w:val="-1"/>
          <w:sz w:val="24"/>
        </w:rPr>
        <w:t>情况。根据《重组报告书（草案）》并经本所律师核查，</w:t>
      </w:r>
      <w:r>
        <w:rPr>
          <w:rFonts w:hint="eastAsia" w:ascii="Times New Roman" w:hAnsi="Times New Roman"/>
          <w:spacing w:val="-1"/>
          <w:sz w:val="24"/>
        </w:rPr>
        <w:t>截至本补充法律意见书出具日，</w:t>
      </w:r>
      <w:r>
        <w:rPr>
          <w:rFonts w:ascii="Times New Roman" w:hAnsi="Times New Roman"/>
          <w:spacing w:val="-1"/>
          <w:sz w:val="24"/>
        </w:rPr>
        <w:t>本次交易</w:t>
      </w:r>
      <w:r>
        <w:rPr>
          <w:rFonts w:hint="eastAsia" w:ascii="Times New Roman" w:hAnsi="Times New Roman"/>
          <w:spacing w:val="-1"/>
          <w:sz w:val="24"/>
        </w:rPr>
        <w:t>仍</w:t>
      </w:r>
      <w:r>
        <w:rPr>
          <w:rFonts w:ascii="Times New Roman" w:hAnsi="Times New Roman"/>
          <w:spacing w:val="-1"/>
          <w:sz w:val="24"/>
        </w:rPr>
        <w:t>符合《重组管理办法》第四十七条的规定。</w:t>
      </w:r>
    </w:p>
    <w:p w14:paraId="37B07FB1">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（八）本次交易符合《注册管理办法》的相关规定</w:t>
      </w:r>
    </w:p>
    <w:p w14:paraId="6116C192">
      <w:pPr>
        <w:pStyle w:val="39"/>
        <w:spacing w:before="156"/>
        <w:ind w:firstLine="482"/>
        <w:rPr>
          <w:b/>
          <w:bCs/>
          <w:shd w:val="clear" w:color="auto" w:fill="FFFFFF"/>
        </w:rPr>
      </w:pPr>
      <w:r>
        <w:rPr>
          <w:b/>
          <w:bCs/>
          <w:shd w:val="clear" w:color="auto" w:fill="FFFFFF"/>
        </w:rPr>
        <w:t>1、本次交易不存在《发行注册管理办法》第十一条规定的不得向特定对象发行股票的情形</w:t>
      </w:r>
    </w:p>
    <w:p w14:paraId="2F1C5571">
      <w:pPr>
        <w:pStyle w:val="39"/>
        <w:spacing w:before="156"/>
        <w:ind w:firstLine="476"/>
        <w:rPr>
          <w:shd w:val="clear" w:color="auto" w:fill="FFFFFF"/>
        </w:rPr>
      </w:pPr>
      <w:r>
        <w:rPr>
          <w:spacing w:val="-1"/>
          <w:szCs w:val="24"/>
        </w:rPr>
        <w:t>本所律师已在</w:t>
      </w:r>
      <w:r>
        <w:t>《法律意见书》中披露本次交易不存在《发行注册管理办法》第十一条规定的不得向特定对象发行股票的情形的</w:t>
      </w:r>
      <w:r>
        <w:rPr>
          <w:rFonts w:hint="eastAsia"/>
        </w:rPr>
        <w:t>相关</w:t>
      </w:r>
      <w:r>
        <w:t>情况。</w:t>
      </w:r>
      <w:r>
        <w:rPr>
          <w:spacing w:val="-1"/>
          <w:szCs w:val="24"/>
        </w:rPr>
        <w:t>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rPr>
          <w:shd w:val="clear" w:color="auto" w:fill="FFFFFF"/>
        </w:rPr>
        <w:t>，本次交易符合《发行注册管理办法》第十一条的规定。</w:t>
      </w:r>
    </w:p>
    <w:p w14:paraId="61FF9A59">
      <w:pPr>
        <w:pStyle w:val="39"/>
        <w:spacing w:before="156"/>
        <w:ind w:firstLine="482"/>
        <w:rPr>
          <w:b/>
          <w:bCs/>
          <w:shd w:val="clear" w:color="auto" w:fill="FFFFFF"/>
        </w:rPr>
      </w:pPr>
      <w:r>
        <w:rPr>
          <w:b/>
          <w:bCs/>
          <w:shd w:val="clear" w:color="auto" w:fill="FFFFFF"/>
        </w:rPr>
        <w:t>2、本次交易符合《发行注册管理办法》第十二条的规定</w:t>
      </w:r>
    </w:p>
    <w:p w14:paraId="54AC3985">
      <w:pPr>
        <w:pStyle w:val="39"/>
        <w:spacing w:before="156"/>
        <w:ind w:firstLine="476"/>
        <w:rPr>
          <w:shd w:val="clear" w:color="auto" w:fill="FFFFFF"/>
        </w:rPr>
      </w:pPr>
      <w:r>
        <w:rPr>
          <w:spacing w:val="-1"/>
          <w:szCs w:val="24"/>
        </w:rPr>
        <w:t>本所律师已在</w:t>
      </w:r>
      <w:r>
        <w:t>《法律意见书》中披露本次交易符合《发行注册管理办法》第十二条的规定的</w:t>
      </w:r>
      <w:r>
        <w:rPr>
          <w:rFonts w:hint="eastAsia"/>
        </w:rPr>
        <w:t>相关</w:t>
      </w:r>
      <w:r>
        <w:t>情况。</w:t>
      </w:r>
      <w:r>
        <w:rPr>
          <w:spacing w:val="-1"/>
          <w:szCs w:val="24"/>
        </w:rPr>
        <w:t>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rPr>
          <w:shd w:val="clear" w:color="auto" w:fill="FFFFFF"/>
        </w:rPr>
        <w:t>，本次交易符合《发行注册管理办法》第十二条的规定。</w:t>
      </w:r>
    </w:p>
    <w:p w14:paraId="213974E6">
      <w:pPr>
        <w:pStyle w:val="39"/>
        <w:spacing w:before="156"/>
        <w:ind w:firstLine="482"/>
        <w:rPr>
          <w:b/>
          <w:bCs/>
          <w:shd w:val="clear" w:color="auto" w:fill="FFFFFF"/>
        </w:rPr>
      </w:pPr>
      <w:r>
        <w:rPr>
          <w:b/>
          <w:bCs/>
          <w:shd w:val="clear" w:color="auto" w:fill="FFFFFF"/>
        </w:rPr>
        <w:t>3、本次交易符合《发行注册管理办法》第五十五条的规定</w:t>
      </w:r>
    </w:p>
    <w:p w14:paraId="7D5E91D7">
      <w:pPr>
        <w:pStyle w:val="39"/>
        <w:spacing w:before="156"/>
        <w:ind w:firstLine="476"/>
        <w:rPr>
          <w:shd w:val="clear" w:color="auto" w:fill="FFFFFF"/>
        </w:rPr>
      </w:pPr>
      <w:r>
        <w:rPr>
          <w:spacing w:val="-1"/>
          <w:szCs w:val="24"/>
        </w:rPr>
        <w:t>本所律师已在</w:t>
      </w:r>
      <w:r>
        <w:t>《法律意见书》中披露本次交易符合《发行注册管理办法》第五十五条的规定的</w:t>
      </w:r>
      <w:r>
        <w:rPr>
          <w:rFonts w:hint="eastAsia"/>
        </w:rPr>
        <w:t>相关</w:t>
      </w:r>
      <w:r>
        <w:t>情况。</w:t>
      </w:r>
      <w:r>
        <w:rPr>
          <w:spacing w:val="-1"/>
          <w:szCs w:val="24"/>
        </w:rPr>
        <w:t>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rPr>
          <w:shd w:val="clear" w:color="auto" w:fill="FFFFFF"/>
        </w:rPr>
        <w:t>，符合《发行注册管理办法》第五十五条的规定。</w:t>
      </w:r>
    </w:p>
    <w:p w14:paraId="2602EB4D">
      <w:pPr>
        <w:pStyle w:val="39"/>
        <w:spacing w:before="156"/>
        <w:ind w:firstLine="482"/>
        <w:rPr>
          <w:b/>
          <w:bCs/>
          <w:shd w:val="clear" w:color="auto" w:fill="FFFFFF"/>
        </w:rPr>
      </w:pPr>
      <w:r>
        <w:rPr>
          <w:b/>
          <w:bCs/>
          <w:shd w:val="clear" w:color="auto" w:fill="FFFFFF"/>
        </w:rPr>
        <w:t>4、本次交易符合《发行注册管理办法》第五十六条、五十七条、五十八条的规定</w:t>
      </w:r>
    </w:p>
    <w:p w14:paraId="64635539">
      <w:pPr>
        <w:pStyle w:val="39"/>
        <w:spacing w:before="156"/>
        <w:ind w:firstLine="476"/>
        <w:rPr>
          <w:shd w:val="clear" w:color="auto" w:fill="FFFFFF"/>
        </w:rPr>
      </w:pPr>
      <w:r>
        <w:rPr>
          <w:spacing w:val="-1"/>
          <w:szCs w:val="24"/>
        </w:rPr>
        <w:t>本所律师已在</w:t>
      </w:r>
      <w:r>
        <w:t>《法律意见书》中披露本次交易符合《发行注册管理办法》第五十六条、五十七条、五十八条的规定的</w:t>
      </w:r>
      <w:r>
        <w:rPr>
          <w:rFonts w:hint="eastAsia"/>
        </w:rPr>
        <w:t>相关</w:t>
      </w:r>
      <w:r>
        <w:t>情况。</w:t>
      </w:r>
      <w:r>
        <w:rPr>
          <w:spacing w:val="-1"/>
          <w:szCs w:val="24"/>
        </w:rPr>
        <w:t>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w:t>
      </w:r>
      <w:r>
        <w:rPr>
          <w:shd w:val="clear" w:color="auto" w:fill="FFFFFF"/>
        </w:rPr>
        <w:t>。本次</w:t>
      </w:r>
      <w:r>
        <w:rPr>
          <w:rFonts w:hint="eastAsia"/>
          <w:shd w:val="clear" w:color="auto" w:fill="FFFFFF"/>
        </w:rPr>
        <w:t>交易</w:t>
      </w:r>
      <w:r>
        <w:rPr>
          <w:shd w:val="clear" w:color="auto" w:fill="FFFFFF"/>
        </w:rPr>
        <w:t>符合《发行注册管理办法》第五十六条、五十七条、五十八条的规定。</w:t>
      </w:r>
    </w:p>
    <w:p w14:paraId="18BEF69E">
      <w:pPr>
        <w:pStyle w:val="39"/>
        <w:spacing w:before="156"/>
        <w:ind w:firstLine="482"/>
        <w:rPr>
          <w:b/>
          <w:bCs/>
          <w:shd w:val="clear" w:color="auto" w:fill="FFFFFF"/>
        </w:rPr>
      </w:pPr>
      <w:r>
        <w:rPr>
          <w:b/>
          <w:bCs/>
          <w:shd w:val="clear" w:color="auto" w:fill="FFFFFF"/>
        </w:rPr>
        <w:t>5、本次交易符合《发行注册管理办法》第五十九条的规定</w:t>
      </w:r>
    </w:p>
    <w:p w14:paraId="148C831B">
      <w:pPr>
        <w:pStyle w:val="39"/>
        <w:spacing w:before="156"/>
        <w:ind w:firstLine="476"/>
        <w:rPr>
          <w:shd w:val="clear" w:color="auto" w:fill="FFFFFF"/>
        </w:rPr>
      </w:pPr>
      <w:r>
        <w:rPr>
          <w:spacing w:val="-1"/>
          <w:szCs w:val="24"/>
        </w:rPr>
        <w:t>本所律师已在</w:t>
      </w:r>
      <w:r>
        <w:t>《法律意</w:t>
      </w:r>
      <w:r>
        <w:rPr>
          <w:spacing w:val="-1"/>
          <w:szCs w:val="24"/>
        </w:rPr>
        <w:t>见书》中披露本次交易符合《发行注册管理办法》第五十九条的规定的</w:t>
      </w:r>
      <w:r>
        <w:rPr>
          <w:rFonts w:hint="eastAsia"/>
          <w:spacing w:val="-1"/>
          <w:szCs w:val="24"/>
        </w:rPr>
        <w:t>相关</w:t>
      </w:r>
      <w:r>
        <w:rPr>
          <w:spacing w:val="-1"/>
          <w:szCs w:val="24"/>
        </w:rPr>
        <w:t>情况。根据《重组报告书（草案）》并经本所律师核查，</w:t>
      </w:r>
      <w:r>
        <w:rPr>
          <w:rFonts w:hint="eastAsia"/>
          <w:spacing w:val="-1"/>
          <w:szCs w:val="24"/>
        </w:rPr>
        <w:t>截至本补充法律意见书出具日，本次交易仍</w:t>
      </w:r>
      <w:r>
        <w:rPr>
          <w:shd w:val="clear" w:color="auto" w:fill="FFFFFF"/>
        </w:rPr>
        <w:t>符合《发行注册管理办法》第五十九条的规定。</w:t>
      </w:r>
    </w:p>
    <w:p w14:paraId="66702538">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（九）本次交易符合《&lt;上市公司证券发行注册管理办法&gt;第九条、第十条、第十一条、第十三条、第四十条、第五十七条、第六十条有关规定的适用意见——证券期货法律适用意见第18号》的要求</w:t>
      </w:r>
    </w:p>
    <w:p w14:paraId="48E5E656">
      <w:pPr>
        <w:pStyle w:val="39"/>
        <w:spacing w:before="156"/>
        <w:ind w:firstLine="476"/>
        <w:rPr>
          <w:shd w:val="clear" w:color="auto" w:fill="FFFFFF"/>
        </w:rPr>
      </w:pPr>
      <w:r>
        <w:rPr>
          <w:spacing w:val="-1"/>
          <w:szCs w:val="24"/>
        </w:rPr>
        <w:t>本所律师已在《法律意见书》中披露本次交易符合《&lt;上市公司证券发行注册管理办法&gt;第九条、第十条、第十一条、第十三条、第四十条、第五十七条、第六十条有关规定的适用意见——证券期货法律适用意见第18号》的要求的</w:t>
      </w:r>
      <w:r>
        <w:rPr>
          <w:rFonts w:hint="eastAsia"/>
          <w:spacing w:val="-1"/>
          <w:szCs w:val="24"/>
        </w:rPr>
        <w:t>相关</w:t>
      </w:r>
      <w:r>
        <w:rPr>
          <w:spacing w:val="-1"/>
          <w:szCs w:val="24"/>
        </w:rPr>
        <w:t>情况。根据《重组报告书（草案）》并经本所律师核查，</w:t>
      </w:r>
      <w:r>
        <w:rPr>
          <w:rFonts w:hint="eastAsia"/>
          <w:spacing w:val="-1"/>
          <w:szCs w:val="24"/>
        </w:rPr>
        <w:t>截至本补充法律意见书出具日，</w:t>
      </w:r>
      <w:r>
        <w:rPr>
          <w:spacing w:val="-1"/>
          <w:szCs w:val="24"/>
        </w:rPr>
        <w:t>《法律意见书》中披露</w:t>
      </w:r>
      <w:r>
        <w:rPr>
          <w:rFonts w:hint="eastAsia"/>
          <w:spacing w:val="-1"/>
          <w:szCs w:val="24"/>
        </w:rPr>
        <w:t>的相关内容未发生变化。本次交易符合《&lt;上市公司证券发行注册管理办法&gt;第九条、第十条、第十一条、第十三条、第四十条、第五十七条、第六十条有关规定的适用意见——证券期货法律适用意见第18号》的要求。</w:t>
      </w:r>
    </w:p>
    <w:p w14:paraId="136C6318">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（十）本次交易符合《上市公司监管指引第9号——上市公司筹划和实施重大资产重组的监管要求》第四条的要求</w:t>
      </w:r>
    </w:p>
    <w:p w14:paraId="2BF61040">
      <w:pPr>
        <w:pStyle w:val="39"/>
        <w:spacing w:before="156"/>
        <w:ind w:firstLine="476"/>
      </w:pPr>
      <w:r>
        <w:rPr>
          <w:spacing w:val="-1"/>
          <w:szCs w:val="24"/>
        </w:rPr>
        <w:t>本所律师已在《法律意见书》中披露本次交易符合《上市公司监管指引第9号——上市公司筹划和实施重大资产重组的监管要求》第四条的要求的</w:t>
      </w:r>
      <w:r>
        <w:rPr>
          <w:rFonts w:hint="eastAsia"/>
          <w:spacing w:val="-1"/>
          <w:szCs w:val="24"/>
        </w:rPr>
        <w:t>相关</w:t>
      </w:r>
      <w:r>
        <w:rPr>
          <w:spacing w:val="-1"/>
          <w:szCs w:val="24"/>
        </w:rPr>
        <w:t>情况。根据《重组报告书（草案）》并经本所律师核查，</w:t>
      </w:r>
      <w:r>
        <w:rPr>
          <w:rFonts w:hint="eastAsia"/>
          <w:spacing w:val="-1"/>
          <w:szCs w:val="24"/>
        </w:rPr>
        <w:t>截至本补充法律意见书出具日，</w:t>
      </w:r>
      <w:r>
        <w:t>本次交易</w:t>
      </w:r>
      <w:r>
        <w:rPr>
          <w:rFonts w:hint="eastAsia"/>
        </w:rPr>
        <w:t>仍</w:t>
      </w:r>
      <w:r>
        <w:t>符合《上市公司监管指引第9号——上市公司筹划和实施重大资产重组的监管要求》第四条的规定。</w:t>
      </w:r>
    </w:p>
    <w:p w14:paraId="6294EC16">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（十一）本次交易符合《上市公司监管指引第9号——上市公司筹划和实施重大资产重组的监管要求》第六条的要求</w:t>
      </w:r>
    </w:p>
    <w:p w14:paraId="11022C10">
      <w:pPr>
        <w:pStyle w:val="39"/>
        <w:spacing w:before="156"/>
        <w:ind w:firstLine="476"/>
        <w:rPr>
          <w:b/>
        </w:rPr>
      </w:pPr>
      <w:r>
        <w:rPr>
          <w:spacing w:val="-1"/>
          <w:szCs w:val="24"/>
        </w:rPr>
        <w:t>本所律师已在《</w:t>
      </w:r>
      <w:r>
        <w:rPr>
          <w:shd w:val="clear" w:color="auto" w:fill="FFFFFF"/>
        </w:rPr>
        <w:t>法律意见书》中披露本次交易符合《上市公司监管指引第9号——上市公司筹划和实施重大资产重组的监管要求》第六条的要求的</w:t>
      </w:r>
      <w:r>
        <w:rPr>
          <w:rFonts w:hint="eastAsia"/>
          <w:shd w:val="clear" w:color="auto" w:fill="FFFFFF"/>
        </w:rPr>
        <w:t>相关</w:t>
      </w:r>
      <w:r>
        <w:rPr>
          <w:shd w:val="clear" w:color="auto" w:fill="FFFFFF"/>
        </w:rPr>
        <w:t>情况。根据《重组报告书（草案</w:t>
      </w:r>
      <w:r>
        <w:rPr>
          <w:spacing w:val="-1"/>
          <w:szCs w:val="24"/>
        </w:rPr>
        <w:t>）》并经本所律师核查，</w:t>
      </w:r>
      <w:r>
        <w:rPr>
          <w:rFonts w:hint="eastAsia"/>
          <w:spacing w:val="-1"/>
          <w:szCs w:val="24"/>
        </w:rPr>
        <w:t>截至本补充法律意见书出具日，</w:t>
      </w:r>
      <w:r>
        <w:t>本次交易</w:t>
      </w:r>
      <w:r>
        <w:rPr>
          <w:rFonts w:hint="eastAsia"/>
        </w:rPr>
        <w:t>仍</w:t>
      </w:r>
      <w:r>
        <w:rPr>
          <w:shd w:val="clear" w:color="auto" w:fill="FFFFFF"/>
        </w:rPr>
        <w:t>符合《上市公司监管指引第9号——上市公司筹划和实施重大资产重组的监管要求》第六条的要求。</w:t>
      </w:r>
    </w:p>
    <w:p w14:paraId="19E6462F">
      <w:pPr>
        <w:tabs>
          <w:tab w:val="left" w:pos="709"/>
        </w:tabs>
        <w:snapToGrid w:val="0"/>
        <w:spacing w:before="156" w:beforeLines="50" w:line="360" w:lineRule="auto"/>
        <w:ind w:firstLine="482" w:firstLineChars="200"/>
        <w:outlineLvl w:val="1"/>
        <w:rPr>
          <w:rFonts w:ascii="Times New Roman" w:hAnsi="Times New Roman"/>
          <w:b/>
          <w:bCs/>
          <w:sz w:val="24"/>
        </w:rPr>
      </w:pPr>
      <w:r>
        <w:rPr>
          <w:rFonts w:ascii="Times New Roman" w:hAnsi="Times New Roman"/>
          <w:b/>
          <w:bCs/>
          <w:sz w:val="24"/>
        </w:rPr>
        <w:t>（十二）相关主体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46D151E4">
      <w:pPr>
        <w:pStyle w:val="39"/>
        <w:spacing w:before="156"/>
        <w:ind w:firstLine="480"/>
        <w:rPr>
          <w:shd w:val="clear" w:color="auto" w:fill="FFFFFF"/>
        </w:rPr>
      </w:pPr>
      <w:r>
        <w:rPr>
          <w:shd w:val="clear" w:color="auto" w:fill="FFFFFF"/>
        </w:rPr>
        <w:t>根据本次交易相关主体提供的资料并经本所律师核查，本次交易相关主体均不存在因涉嫌本次交易相关的内幕交易被立案调查或立案侦查的情形，最近36个月内不存在因涉嫌重大资产重组相关的内幕交易被中国证监会作出行政处罚或者被司法机关依法追究刑事责任的情形。</w:t>
      </w:r>
    </w:p>
    <w:p w14:paraId="7DE5DF2B">
      <w:pPr>
        <w:pStyle w:val="39"/>
        <w:spacing w:before="156"/>
        <w:ind w:firstLine="480"/>
        <w:rPr>
          <w:b/>
        </w:rPr>
      </w:pPr>
      <w:r>
        <w:rPr>
          <w:shd w:val="clear" w:color="auto" w:fill="FFFFFF"/>
        </w:rPr>
        <w:t>综上，本次交易相关主体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2384B431">
      <w:pPr>
        <w:widowControl/>
        <w:adjustRightInd w:val="0"/>
        <w:snapToGrid w:val="0"/>
        <w:spacing w:before="156" w:beforeLines="50" w:after="156" w:afterLines="50" w:line="360" w:lineRule="auto"/>
        <w:ind w:firstLine="482" w:firstLineChars="200"/>
        <w:rPr>
          <w:rFonts w:hint="eastAsia" w:ascii="Times New Roman" w:hAnsi="Times New Roman"/>
          <w:b/>
          <w:bCs/>
          <w:kern w:val="0"/>
          <w:sz w:val="24"/>
        </w:rPr>
      </w:pPr>
      <w:r>
        <w:rPr>
          <w:rFonts w:ascii="Times New Roman" w:hAnsi="Times New Roman"/>
          <w:b/>
          <w:bCs/>
          <w:kern w:val="0"/>
          <w:sz w:val="24"/>
        </w:rPr>
        <w:t>综上，本所认为</w:t>
      </w:r>
      <w:r>
        <w:rPr>
          <w:rFonts w:hint="eastAsia" w:ascii="Times New Roman" w:hAnsi="Times New Roman"/>
          <w:b/>
          <w:bCs/>
          <w:kern w:val="0"/>
          <w:sz w:val="24"/>
        </w:rPr>
        <w:t>：</w:t>
      </w:r>
    </w:p>
    <w:p w14:paraId="67D988CC">
      <w:pPr>
        <w:widowControl/>
        <w:adjustRightInd w:val="0"/>
        <w:snapToGrid w:val="0"/>
        <w:spacing w:before="156" w:beforeLines="50" w:after="156" w:afterLines="50" w:line="360" w:lineRule="auto"/>
        <w:ind w:firstLine="482" w:firstLineChars="200"/>
        <w:rPr>
          <w:rFonts w:hint="eastAsia" w:ascii="Times New Roman" w:hAnsi="Times New Roman"/>
          <w:b/>
          <w:bCs/>
          <w:kern w:val="0"/>
          <w:sz w:val="24"/>
        </w:rPr>
      </w:pPr>
      <w:r>
        <w:rPr>
          <w:rFonts w:ascii="Times New Roman" w:hAnsi="Times New Roman"/>
          <w:b/>
          <w:bCs/>
          <w:kern w:val="0"/>
          <w:sz w:val="24"/>
        </w:rPr>
        <w:t>截至本</w:t>
      </w:r>
      <w:r>
        <w:rPr>
          <w:rFonts w:hint="eastAsia" w:ascii="Times New Roman" w:hAnsi="Times New Roman"/>
          <w:b/>
          <w:bCs/>
          <w:kern w:val="0"/>
          <w:sz w:val="24"/>
        </w:rPr>
        <w:t>补充</w:t>
      </w:r>
      <w:r>
        <w:rPr>
          <w:rFonts w:ascii="Times New Roman" w:hAnsi="Times New Roman"/>
          <w:b/>
          <w:bCs/>
          <w:kern w:val="0"/>
          <w:sz w:val="24"/>
        </w:rPr>
        <w:t>法律意见书出具日，本次交易符合《重组管理办法》《注册管理办法》等相关法律法规、规范性文件规定的关于上市公司发行股份购买资产的各项实质条件</w:t>
      </w:r>
      <w:r>
        <w:rPr>
          <w:rFonts w:hint="eastAsia" w:ascii="Times New Roman" w:hAnsi="Times New Roman"/>
          <w:b/>
          <w:bCs/>
          <w:kern w:val="0"/>
          <w:sz w:val="24"/>
        </w:rPr>
        <w:t>。</w:t>
      </w:r>
    </w:p>
    <w:bookmarkEnd w:id="85"/>
    <w:bookmarkEnd w:id="90"/>
    <w:bookmarkEnd w:id="91"/>
    <w:p w14:paraId="662ACF52">
      <w:pPr>
        <w:tabs>
          <w:tab w:val="left" w:pos="709"/>
        </w:tabs>
        <w:snapToGrid w:val="0"/>
        <w:spacing w:before="156" w:beforeLines="50" w:after="156" w:afterLines="50" w:line="360" w:lineRule="auto"/>
        <w:rPr>
          <w:rFonts w:hint="eastAsia"/>
          <w:b/>
          <w:bCs/>
          <w:sz w:val="24"/>
        </w:rPr>
      </w:pPr>
    </w:p>
    <w:p w14:paraId="144BAB8D">
      <w:pPr>
        <w:tabs>
          <w:tab w:val="left" w:pos="709"/>
        </w:tabs>
        <w:snapToGrid w:val="0"/>
        <w:spacing w:before="156" w:beforeLines="50" w:after="156" w:afterLines="50" w:line="360" w:lineRule="auto"/>
        <w:ind w:firstLine="482" w:firstLineChars="200"/>
        <w:outlineLvl w:val="0"/>
        <w:rPr>
          <w:rFonts w:ascii="Times New Roman" w:hAnsi="Times New Roman"/>
          <w:b/>
          <w:bCs/>
          <w:sz w:val="24"/>
        </w:rPr>
      </w:pPr>
      <w:bookmarkStart w:id="102" w:name="_Toc23588"/>
      <w:bookmarkStart w:id="103" w:name="_Toc21236"/>
      <w:r>
        <w:rPr>
          <w:rFonts w:ascii="Times New Roman" w:hAnsi="Times New Roman"/>
          <w:b/>
          <w:bCs/>
          <w:sz w:val="24"/>
        </w:rPr>
        <w:t>十、</w:t>
      </w:r>
      <w:bookmarkEnd w:id="102"/>
      <w:r>
        <w:rPr>
          <w:rFonts w:ascii="Times New Roman" w:hAnsi="Times New Roman"/>
          <w:b/>
          <w:bCs/>
          <w:sz w:val="24"/>
        </w:rPr>
        <w:t>参与本次交易的证券服务机构</w:t>
      </w:r>
      <w:bookmarkEnd w:id="103"/>
    </w:p>
    <w:p w14:paraId="354D4C7F">
      <w:pPr>
        <w:pStyle w:val="39"/>
        <w:adjustRightInd w:val="0"/>
        <w:snapToGrid w:val="0"/>
        <w:spacing w:before="156" w:beforeLines="50" w:after="156" w:afterLines="50"/>
        <w:ind w:firstLine="496"/>
        <w:rPr>
          <w:spacing w:val="-3"/>
          <w:szCs w:val="24"/>
        </w:rPr>
      </w:pPr>
      <w:r>
        <w:rPr>
          <w:spacing w:val="4"/>
          <w:szCs w:val="24"/>
        </w:rPr>
        <w:t>本所律师已在</w:t>
      </w:r>
      <w:r>
        <w:rPr>
          <w:spacing w:val="-1"/>
          <w:szCs w:val="24"/>
        </w:rPr>
        <w:t>《法律意见书》</w:t>
      </w:r>
      <w:r>
        <w:rPr>
          <w:spacing w:val="4"/>
          <w:szCs w:val="24"/>
        </w:rPr>
        <w:t>中披露参与本次交易的证券服务机构情况</w:t>
      </w:r>
      <w:r>
        <w:rPr>
          <w:spacing w:val="-3"/>
          <w:szCs w:val="24"/>
        </w:rPr>
        <w:t>。</w:t>
      </w:r>
      <w:r>
        <w:rPr>
          <w:color w:val="000000"/>
          <w:kern w:val="0"/>
          <w:szCs w:val="24"/>
        </w:rPr>
        <w:t>经核查，补充核查期间内，参与本次交易的证券服务机构</w:t>
      </w:r>
      <w:r>
        <w:rPr>
          <w:spacing w:val="4"/>
          <w:szCs w:val="24"/>
        </w:rPr>
        <w:t>情况未发生变化</w:t>
      </w:r>
      <w:r>
        <w:rPr>
          <w:spacing w:val="-3"/>
          <w:szCs w:val="24"/>
        </w:rPr>
        <w:t>。</w:t>
      </w:r>
    </w:p>
    <w:p w14:paraId="0BA7BF9D">
      <w:pPr>
        <w:tabs>
          <w:tab w:val="left" w:pos="709"/>
        </w:tabs>
        <w:snapToGrid w:val="0"/>
        <w:spacing w:before="156" w:beforeLines="50" w:after="156" w:afterLines="50" w:line="360" w:lineRule="auto"/>
        <w:ind w:firstLine="482" w:firstLineChars="200"/>
        <w:rPr>
          <w:rFonts w:ascii="Times New Roman" w:hAnsi="Times New Roman"/>
          <w:b/>
          <w:sz w:val="24"/>
        </w:rPr>
      </w:pPr>
      <w:r>
        <w:rPr>
          <w:rFonts w:ascii="Times New Roman" w:hAnsi="Times New Roman"/>
          <w:b/>
          <w:sz w:val="24"/>
        </w:rPr>
        <w:t>综上，本所认为：</w:t>
      </w:r>
    </w:p>
    <w:p w14:paraId="7A6D432F">
      <w:pPr>
        <w:pStyle w:val="39"/>
        <w:adjustRightInd w:val="0"/>
        <w:snapToGrid w:val="0"/>
        <w:spacing w:before="156" w:beforeLines="50" w:after="156" w:afterLines="50"/>
        <w:ind w:firstLine="482"/>
        <w:rPr>
          <w:rFonts w:hint="eastAsia"/>
          <w:spacing w:val="-3"/>
          <w:szCs w:val="24"/>
        </w:rPr>
      </w:pPr>
      <w:r>
        <w:rPr>
          <w:b/>
          <w:bCs/>
          <w:kern w:val="0"/>
          <w:szCs w:val="24"/>
        </w:rPr>
        <w:t>截至</w:t>
      </w:r>
      <w:r>
        <w:rPr>
          <w:rFonts w:hint="eastAsia"/>
          <w:b/>
          <w:bCs/>
          <w:kern w:val="0"/>
          <w:szCs w:val="24"/>
        </w:rPr>
        <w:t>本补充法律意见书出具日</w:t>
      </w:r>
      <w:r>
        <w:rPr>
          <w:b/>
          <w:bCs/>
          <w:kern w:val="0"/>
          <w:szCs w:val="24"/>
        </w:rPr>
        <w:t>，</w:t>
      </w:r>
      <w:r>
        <w:rPr>
          <w:b/>
          <w:bCs/>
          <w:kern w:val="0"/>
        </w:rPr>
        <w:t>为本次交易提供证券服务的证券服务机构均具有必备的执业资格</w:t>
      </w:r>
      <w:r>
        <w:rPr>
          <w:rFonts w:hint="eastAsia"/>
          <w:b/>
          <w:bCs/>
          <w:kern w:val="0"/>
        </w:rPr>
        <w:t>。</w:t>
      </w:r>
    </w:p>
    <w:p w14:paraId="534C374E">
      <w:pPr>
        <w:pStyle w:val="39"/>
        <w:adjustRightInd w:val="0"/>
        <w:snapToGrid w:val="0"/>
        <w:spacing w:before="156" w:beforeLines="50" w:after="156" w:afterLines="50"/>
        <w:ind w:firstLine="482"/>
        <w:rPr>
          <w:b/>
          <w:bCs/>
          <w:color w:val="000000"/>
          <w:kern w:val="0"/>
          <w:szCs w:val="24"/>
        </w:rPr>
      </w:pPr>
    </w:p>
    <w:p w14:paraId="09A04844">
      <w:pPr>
        <w:widowControl/>
        <w:adjustRightInd w:val="0"/>
        <w:snapToGrid w:val="0"/>
        <w:spacing w:before="156" w:beforeLines="50" w:after="156" w:afterLines="50" w:line="360" w:lineRule="auto"/>
        <w:ind w:firstLine="482" w:firstLineChars="200"/>
        <w:outlineLvl w:val="0"/>
        <w:rPr>
          <w:rFonts w:ascii="Times New Roman" w:hAnsi="Times New Roman"/>
          <w:b/>
          <w:bCs/>
          <w:color w:val="000000"/>
          <w:kern w:val="0"/>
          <w:sz w:val="24"/>
        </w:rPr>
      </w:pPr>
      <w:bookmarkStart w:id="104" w:name="_Toc9592"/>
      <w:bookmarkStart w:id="105" w:name="_Toc1934"/>
      <w:r>
        <w:rPr>
          <w:rFonts w:ascii="Times New Roman" w:hAnsi="Times New Roman"/>
          <w:b/>
          <w:bCs/>
          <w:color w:val="000000"/>
          <w:kern w:val="0"/>
          <w:sz w:val="24"/>
        </w:rPr>
        <w:t>十一、</w:t>
      </w:r>
      <w:bookmarkEnd w:id="104"/>
      <w:r>
        <w:rPr>
          <w:rFonts w:ascii="Times New Roman" w:hAnsi="Times New Roman"/>
          <w:b/>
          <w:bCs/>
          <w:color w:val="000000"/>
          <w:kern w:val="0"/>
          <w:sz w:val="24"/>
        </w:rPr>
        <w:t>内幕信息知情人登记制度以及本次交易相关方买卖股票的情况</w:t>
      </w:r>
      <w:bookmarkEnd w:id="105"/>
    </w:p>
    <w:p w14:paraId="156A96EC">
      <w:pPr>
        <w:tabs>
          <w:tab w:val="left" w:pos="709"/>
        </w:tabs>
        <w:snapToGrid w:val="0"/>
        <w:spacing w:before="156" w:beforeLines="50" w:after="156" w:afterLines="50" w:line="360" w:lineRule="auto"/>
        <w:ind w:firstLine="482" w:firstLineChars="200"/>
        <w:outlineLvl w:val="1"/>
        <w:rPr>
          <w:rFonts w:hint="eastAsia" w:ascii="宋体" w:hAnsi="宋体" w:cs="宋体"/>
          <w:b/>
          <w:bCs/>
          <w:sz w:val="24"/>
        </w:rPr>
      </w:pPr>
      <w:bookmarkStart w:id="106" w:name="_Toc1428134253"/>
      <w:bookmarkStart w:id="107" w:name="_Toc2055664782"/>
      <w:r>
        <w:rPr>
          <w:rFonts w:hint="eastAsia" w:ascii="宋体" w:hAnsi="宋体" w:cs="宋体"/>
          <w:b/>
          <w:bCs/>
          <w:sz w:val="24"/>
        </w:rPr>
        <w:t>（一）内幕信息知情人登记制度制定和执行情况</w:t>
      </w:r>
      <w:bookmarkEnd w:id="106"/>
      <w:bookmarkEnd w:id="107"/>
    </w:p>
    <w:p w14:paraId="3764B3EE">
      <w:pPr>
        <w:tabs>
          <w:tab w:val="left" w:pos="709"/>
        </w:tabs>
        <w:snapToGrid w:val="0"/>
        <w:spacing w:before="156" w:beforeLines="50" w:after="156" w:afterLines="50" w:line="360" w:lineRule="auto"/>
        <w:ind w:firstLine="496" w:firstLineChars="200"/>
        <w:rPr>
          <w:rFonts w:hint="eastAsia" w:ascii="宋体" w:hAnsi="宋体" w:cs="宋体"/>
          <w:sz w:val="24"/>
        </w:rPr>
      </w:pPr>
      <w:r>
        <w:rPr>
          <w:rFonts w:ascii="Times New Roman" w:hAnsi="Times New Roman"/>
          <w:spacing w:val="4"/>
          <w:sz w:val="24"/>
        </w:rPr>
        <w:t>本所律师已在</w:t>
      </w:r>
      <w:r>
        <w:rPr>
          <w:rFonts w:ascii="Times New Roman" w:hAnsi="Times New Roman"/>
          <w:spacing w:val="-1"/>
          <w:sz w:val="24"/>
        </w:rPr>
        <w:t>《法律意见书》</w:t>
      </w:r>
      <w:r>
        <w:rPr>
          <w:rFonts w:ascii="Times New Roman" w:hAnsi="Times New Roman"/>
          <w:spacing w:val="4"/>
          <w:sz w:val="24"/>
        </w:rPr>
        <w:t>中披露</w:t>
      </w:r>
      <w:r>
        <w:rPr>
          <w:rFonts w:hint="eastAsia" w:ascii="Times New Roman" w:hAnsi="Times New Roman"/>
          <w:spacing w:val="4"/>
          <w:sz w:val="24"/>
        </w:rPr>
        <w:t>上市公司内幕信息知情人登记制度制定和执行情况</w:t>
      </w:r>
      <w:r>
        <w:rPr>
          <w:rFonts w:ascii="Times New Roman" w:hAnsi="Times New Roman"/>
          <w:spacing w:val="-3"/>
          <w:sz w:val="24"/>
        </w:rPr>
        <w:t>。</w:t>
      </w:r>
      <w:r>
        <w:rPr>
          <w:rFonts w:ascii="Times New Roman" w:hAnsi="Times New Roman"/>
          <w:color w:val="000000"/>
          <w:kern w:val="0"/>
          <w:sz w:val="24"/>
        </w:rPr>
        <w:t>经核查，补充核查期间内，</w:t>
      </w:r>
      <w:r>
        <w:rPr>
          <w:rFonts w:hint="eastAsia" w:ascii="Times New Roman" w:hAnsi="Times New Roman"/>
          <w:spacing w:val="4"/>
          <w:sz w:val="24"/>
        </w:rPr>
        <w:t>上市公司内幕信息知情人登记制度制定和执行情况</w:t>
      </w:r>
      <w:r>
        <w:rPr>
          <w:rFonts w:ascii="Times New Roman" w:hAnsi="Times New Roman"/>
          <w:spacing w:val="4"/>
          <w:sz w:val="24"/>
        </w:rPr>
        <w:t>未发生变化</w:t>
      </w:r>
      <w:r>
        <w:rPr>
          <w:rFonts w:ascii="宋体" w:hAnsi="宋体" w:cs="宋体"/>
          <w:sz w:val="24"/>
        </w:rPr>
        <w:t>。</w:t>
      </w:r>
    </w:p>
    <w:p w14:paraId="7FEEF6B7">
      <w:pPr>
        <w:tabs>
          <w:tab w:val="left" w:pos="709"/>
        </w:tabs>
        <w:snapToGrid w:val="0"/>
        <w:spacing w:before="156" w:beforeLines="50" w:after="156" w:afterLines="50" w:line="360" w:lineRule="auto"/>
        <w:ind w:firstLine="482" w:firstLineChars="200"/>
        <w:rPr>
          <w:rFonts w:hint="eastAsia" w:ascii="宋体" w:hAnsi="宋体" w:cs="宋体"/>
          <w:b/>
          <w:bCs/>
          <w:sz w:val="24"/>
        </w:rPr>
      </w:pPr>
      <w:r>
        <w:rPr>
          <w:rFonts w:hint="eastAsia" w:ascii="宋体" w:hAnsi="宋体" w:cs="宋体"/>
          <w:b/>
          <w:bCs/>
          <w:sz w:val="24"/>
        </w:rPr>
        <w:t>据此</w:t>
      </w:r>
      <w:r>
        <w:rPr>
          <w:rFonts w:ascii="宋体" w:hAnsi="宋体" w:cs="宋体"/>
          <w:b/>
          <w:bCs/>
          <w:sz w:val="24"/>
        </w:rPr>
        <w:t>，本所认为</w:t>
      </w:r>
      <w:r>
        <w:rPr>
          <w:rFonts w:hint="eastAsia" w:ascii="宋体" w:hAnsi="宋体" w:cs="宋体"/>
          <w:b/>
          <w:bCs/>
          <w:sz w:val="24"/>
        </w:rPr>
        <w:t>：</w:t>
      </w:r>
    </w:p>
    <w:p w14:paraId="468D574D">
      <w:pPr>
        <w:tabs>
          <w:tab w:val="left" w:pos="709"/>
        </w:tabs>
        <w:snapToGrid w:val="0"/>
        <w:spacing w:before="156" w:beforeLines="50" w:after="156" w:afterLines="50" w:line="360" w:lineRule="auto"/>
        <w:ind w:firstLine="482" w:firstLineChars="200"/>
        <w:rPr>
          <w:rFonts w:hint="eastAsia" w:ascii="宋体" w:hAnsi="宋体" w:cs="宋体"/>
          <w:b/>
          <w:bCs/>
          <w:sz w:val="24"/>
        </w:rPr>
      </w:pPr>
      <w:r>
        <w:rPr>
          <w:rFonts w:ascii="宋体" w:hAnsi="宋体" w:cs="宋体"/>
          <w:b/>
          <w:bCs/>
          <w:sz w:val="24"/>
        </w:rPr>
        <w:t>上市公司已依法制定《内幕信息知情人登记管理制度》，已按照法律法规、规范性文件及公司制度的规定执行了内幕信息知情人的登记和上报工作。</w:t>
      </w:r>
    </w:p>
    <w:p w14:paraId="39A7E8C9">
      <w:pPr>
        <w:tabs>
          <w:tab w:val="left" w:pos="709"/>
        </w:tabs>
        <w:snapToGrid w:val="0"/>
        <w:spacing w:before="156" w:beforeLines="50" w:after="156" w:afterLines="50" w:line="360" w:lineRule="auto"/>
        <w:ind w:firstLine="482" w:firstLineChars="200"/>
        <w:outlineLvl w:val="1"/>
        <w:rPr>
          <w:rFonts w:hint="eastAsia" w:ascii="宋体" w:hAnsi="宋体" w:cs="宋体"/>
          <w:b/>
          <w:bCs/>
          <w:sz w:val="24"/>
        </w:rPr>
      </w:pPr>
      <w:bookmarkStart w:id="108" w:name="_Toc227667652"/>
      <w:bookmarkStart w:id="109" w:name="_Toc841078138"/>
      <w:r>
        <w:rPr>
          <w:rFonts w:hint="eastAsia" w:ascii="宋体" w:hAnsi="宋体" w:cs="宋体"/>
          <w:b/>
          <w:bCs/>
          <w:sz w:val="24"/>
        </w:rPr>
        <w:t>（二）本次交易相关方买卖股票的情况</w:t>
      </w:r>
      <w:bookmarkEnd w:id="108"/>
      <w:bookmarkEnd w:id="109"/>
    </w:p>
    <w:p w14:paraId="005AF1B9">
      <w:pPr>
        <w:pStyle w:val="39"/>
        <w:adjustRightInd w:val="0"/>
        <w:snapToGrid w:val="0"/>
        <w:spacing w:before="156" w:beforeLines="50" w:after="156" w:afterLines="50"/>
        <w:ind w:firstLine="496"/>
        <w:rPr>
          <w:color w:val="000000"/>
          <w:kern w:val="0"/>
          <w:szCs w:val="24"/>
        </w:rPr>
      </w:pPr>
      <w:r>
        <w:rPr>
          <w:spacing w:val="4"/>
          <w:szCs w:val="24"/>
        </w:rPr>
        <w:t>本所律师已在</w:t>
      </w:r>
      <w:r>
        <w:rPr>
          <w:spacing w:val="-1"/>
          <w:szCs w:val="24"/>
        </w:rPr>
        <w:t>《法律意见书》</w:t>
      </w:r>
      <w:r>
        <w:rPr>
          <w:spacing w:val="4"/>
          <w:szCs w:val="24"/>
        </w:rPr>
        <w:t>中披露</w:t>
      </w:r>
      <w:r>
        <w:rPr>
          <w:spacing w:val="4"/>
          <w:szCs w:val="24"/>
          <w:lang w:eastAsia="zh"/>
        </w:rPr>
        <w:t>本次交易</w:t>
      </w:r>
      <w:r>
        <w:rPr>
          <w:spacing w:val="4"/>
          <w:szCs w:val="24"/>
        </w:rPr>
        <w:t>相关方买卖股票</w:t>
      </w:r>
      <w:r>
        <w:rPr>
          <w:rFonts w:hint="eastAsia"/>
          <w:spacing w:val="4"/>
          <w:szCs w:val="24"/>
        </w:rPr>
        <w:t>的</w:t>
      </w:r>
      <w:r>
        <w:rPr>
          <w:spacing w:val="4"/>
          <w:szCs w:val="24"/>
        </w:rPr>
        <w:t>情况</w:t>
      </w:r>
      <w:r>
        <w:rPr>
          <w:spacing w:val="-3"/>
          <w:szCs w:val="24"/>
        </w:rPr>
        <w:t>。</w:t>
      </w:r>
      <w:r>
        <w:rPr>
          <w:color w:val="000000"/>
          <w:kern w:val="0"/>
          <w:szCs w:val="24"/>
        </w:rPr>
        <w:t>截至本补充法律意见书出具日，本次交易相关方买卖股票</w:t>
      </w:r>
      <w:r>
        <w:rPr>
          <w:rFonts w:hint="eastAsia"/>
          <w:color w:val="000000"/>
          <w:kern w:val="0"/>
          <w:szCs w:val="24"/>
        </w:rPr>
        <w:t>的</w:t>
      </w:r>
      <w:r>
        <w:rPr>
          <w:color w:val="000000"/>
          <w:kern w:val="0"/>
          <w:szCs w:val="24"/>
        </w:rPr>
        <w:t>情况未发生变化。</w:t>
      </w:r>
    </w:p>
    <w:p w14:paraId="5CAFBB0F">
      <w:pPr>
        <w:pStyle w:val="39"/>
        <w:adjustRightInd w:val="0"/>
        <w:snapToGrid w:val="0"/>
        <w:spacing w:before="156" w:beforeLines="50" w:after="156" w:afterLines="50"/>
        <w:ind w:firstLine="480"/>
        <w:rPr>
          <w:color w:val="000000"/>
          <w:kern w:val="0"/>
          <w:szCs w:val="24"/>
        </w:rPr>
      </w:pPr>
    </w:p>
    <w:p w14:paraId="5AFEEDC0">
      <w:pPr>
        <w:pStyle w:val="39"/>
        <w:adjustRightInd w:val="0"/>
        <w:snapToGrid w:val="0"/>
        <w:spacing w:before="156" w:beforeLines="50" w:after="156" w:afterLines="50"/>
        <w:ind w:firstLine="482"/>
        <w:outlineLvl w:val="0"/>
        <w:rPr>
          <w:b/>
          <w:bCs/>
          <w:color w:val="000000"/>
          <w:kern w:val="0"/>
          <w:szCs w:val="24"/>
        </w:rPr>
      </w:pPr>
      <w:bookmarkStart w:id="110" w:name="_Toc5573"/>
      <w:bookmarkStart w:id="111" w:name="_Toc2608"/>
      <w:r>
        <w:rPr>
          <w:b/>
          <w:bCs/>
          <w:color w:val="000000"/>
          <w:kern w:val="0"/>
          <w:szCs w:val="24"/>
        </w:rPr>
        <w:t>十二、律师认为需要说明的其他事项</w:t>
      </w:r>
      <w:bookmarkEnd w:id="110"/>
      <w:bookmarkEnd w:id="111"/>
    </w:p>
    <w:p w14:paraId="093E0640">
      <w:pPr>
        <w:tabs>
          <w:tab w:val="left" w:pos="709"/>
        </w:tabs>
        <w:snapToGrid w:val="0"/>
        <w:spacing w:before="156" w:beforeLines="50" w:after="156" w:afterLines="50" w:line="360" w:lineRule="auto"/>
        <w:ind w:firstLine="496" w:firstLineChars="200"/>
        <w:rPr>
          <w:rFonts w:ascii="Times New Roman" w:hAnsi="Times New Roman"/>
          <w:bCs/>
          <w:sz w:val="24"/>
        </w:rPr>
      </w:pPr>
      <w:r>
        <w:rPr>
          <w:rFonts w:ascii="Times New Roman" w:hAnsi="Times New Roman"/>
          <w:spacing w:val="4"/>
          <w:sz w:val="24"/>
        </w:rPr>
        <w:t>本所律师已在</w:t>
      </w:r>
      <w:r>
        <w:rPr>
          <w:rFonts w:ascii="Times New Roman" w:hAnsi="Times New Roman"/>
          <w:spacing w:val="-1"/>
          <w:sz w:val="24"/>
        </w:rPr>
        <w:t>《法律意见书》</w:t>
      </w:r>
      <w:r>
        <w:rPr>
          <w:rFonts w:hint="eastAsia" w:ascii="Times New Roman" w:hAnsi="Times New Roman"/>
          <w:spacing w:val="-1"/>
          <w:sz w:val="24"/>
        </w:rPr>
        <w:t>中披露</w:t>
      </w:r>
      <w:r>
        <w:rPr>
          <w:rFonts w:ascii="Times New Roman" w:hAnsi="Times New Roman"/>
          <w:bCs/>
          <w:sz w:val="24"/>
        </w:rPr>
        <w:t>《审核关注要点》中涉及的相关法律事项</w:t>
      </w:r>
      <w:r>
        <w:rPr>
          <w:rFonts w:hint="eastAsia" w:ascii="Times New Roman" w:hAnsi="Times New Roman"/>
          <w:bCs/>
          <w:sz w:val="24"/>
        </w:rPr>
        <w:t>的核查情况</w:t>
      </w:r>
      <w:r>
        <w:rPr>
          <w:rFonts w:ascii="Times New Roman" w:hAnsi="Times New Roman"/>
          <w:spacing w:val="-3"/>
          <w:sz w:val="24"/>
        </w:rPr>
        <w:t>。</w:t>
      </w:r>
      <w:r>
        <w:rPr>
          <w:rFonts w:ascii="Times New Roman" w:hAnsi="Times New Roman"/>
          <w:color w:val="000000"/>
          <w:kern w:val="0"/>
          <w:sz w:val="24"/>
        </w:rPr>
        <w:t>截至本补充法律意见书出具日，</w:t>
      </w:r>
      <w:r>
        <w:rPr>
          <w:rFonts w:hint="eastAsia" w:ascii="Times New Roman" w:hAnsi="Times New Roman"/>
          <w:color w:val="000000"/>
          <w:kern w:val="0"/>
          <w:sz w:val="24"/>
        </w:rPr>
        <w:t>除已在《补充法律意见书（一）》及本补充法律意见书中披露的变化情况外，</w:t>
      </w:r>
      <w:r>
        <w:rPr>
          <w:rFonts w:ascii="Times New Roman" w:hAnsi="Times New Roman"/>
          <w:bCs/>
          <w:sz w:val="24"/>
        </w:rPr>
        <w:t>《审核关注要点》中涉及的相关法律事项</w:t>
      </w:r>
      <w:r>
        <w:rPr>
          <w:rFonts w:ascii="Times New Roman" w:hAnsi="Times New Roman"/>
          <w:color w:val="000000"/>
          <w:kern w:val="0"/>
          <w:sz w:val="24"/>
        </w:rPr>
        <w:t>未发生变化</w:t>
      </w:r>
      <w:r>
        <w:rPr>
          <w:rFonts w:hint="eastAsia" w:ascii="Times New Roman" w:hAnsi="Times New Roman"/>
          <w:color w:val="000000"/>
          <w:kern w:val="0"/>
          <w:sz w:val="24"/>
        </w:rPr>
        <w:t>。</w:t>
      </w:r>
    </w:p>
    <w:p w14:paraId="2DBE1E41">
      <w:pPr>
        <w:pStyle w:val="39"/>
        <w:adjustRightInd w:val="0"/>
        <w:snapToGrid w:val="0"/>
        <w:spacing w:before="156" w:beforeLines="50" w:after="156" w:afterLines="50"/>
        <w:ind w:firstLine="480"/>
        <w:rPr>
          <w:color w:val="000000"/>
          <w:kern w:val="0"/>
          <w:szCs w:val="24"/>
        </w:rPr>
      </w:pPr>
    </w:p>
    <w:p w14:paraId="78CF5A6A">
      <w:pPr>
        <w:widowControl/>
        <w:adjustRightInd w:val="0"/>
        <w:snapToGrid w:val="0"/>
        <w:spacing w:before="156" w:beforeLines="50" w:after="156" w:afterLines="50" w:line="360" w:lineRule="auto"/>
        <w:ind w:firstLine="482" w:firstLineChars="200"/>
        <w:outlineLvl w:val="0"/>
        <w:rPr>
          <w:rFonts w:ascii="Times New Roman" w:hAnsi="Times New Roman"/>
          <w:b/>
          <w:bCs/>
          <w:color w:val="000000"/>
          <w:kern w:val="0"/>
          <w:sz w:val="24"/>
        </w:rPr>
      </w:pPr>
      <w:bookmarkStart w:id="112" w:name="_Toc16109"/>
      <w:bookmarkStart w:id="113" w:name="_Toc14068"/>
      <w:r>
        <w:rPr>
          <w:rFonts w:ascii="Times New Roman" w:hAnsi="Times New Roman"/>
          <w:b/>
          <w:bCs/>
          <w:color w:val="000000"/>
          <w:kern w:val="0"/>
          <w:sz w:val="24"/>
        </w:rPr>
        <w:t>十三、结论意见</w:t>
      </w:r>
      <w:bookmarkEnd w:id="112"/>
      <w:bookmarkEnd w:id="113"/>
    </w:p>
    <w:p w14:paraId="4CC1B44A">
      <w:pPr>
        <w:tabs>
          <w:tab w:val="left" w:pos="709"/>
        </w:tabs>
        <w:snapToGrid w:val="0"/>
        <w:spacing w:before="156" w:beforeLines="50" w:after="156" w:afterLines="50" w:line="360" w:lineRule="auto"/>
        <w:ind w:firstLine="482" w:firstLineChars="200"/>
        <w:rPr>
          <w:rFonts w:ascii="Times New Roman" w:hAnsi="Times New Roman"/>
          <w:b/>
          <w:bCs/>
          <w:sz w:val="24"/>
        </w:rPr>
      </w:pPr>
      <w:r>
        <w:rPr>
          <w:rFonts w:ascii="Times New Roman" w:hAnsi="Times New Roman"/>
          <w:b/>
          <w:bCs/>
          <w:sz w:val="24"/>
        </w:rPr>
        <w:t>综上，</w:t>
      </w:r>
      <w:r>
        <w:rPr>
          <w:rFonts w:hint="eastAsia" w:ascii="Times New Roman" w:hAnsi="Times New Roman"/>
          <w:b/>
          <w:bCs/>
          <w:sz w:val="24"/>
        </w:rPr>
        <w:t>本所认为：截至本补充法律意见书出具日</w:t>
      </w:r>
      <w:r>
        <w:rPr>
          <w:rFonts w:ascii="Times New Roman" w:hAnsi="Times New Roman"/>
          <w:b/>
          <w:bCs/>
          <w:sz w:val="24"/>
        </w:rPr>
        <w:t>：</w:t>
      </w:r>
    </w:p>
    <w:p w14:paraId="3A58E89D">
      <w:pPr>
        <w:tabs>
          <w:tab w:val="left" w:pos="709"/>
        </w:tabs>
        <w:snapToGrid w:val="0"/>
        <w:spacing w:before="156" w:beforeLines="50" w:after="156" w:afterLines="50" w:line="360" w:lineRule="auto"/>
        <w:ind w:firstLine="480" w:firstLineChars="200"/>
        <w:rPr>
          <w:rFonts w:ascii="Times New Roman" w:hAnsi="Times New Roman"/>
          <w:b/>
          <w:bCs/>
          <w:sz w:val="24"/>
        </w:rPr>
      </w:pPr>
      <w:r>
        <w:rPr>
          <w:rFonts w:ascii="Times New Roman" w:hAnsi="Times New Roman"/>
          <w:kern w:val="0"/>
          <w:sz w:val="24"/>
          <w:lang w:eastAsia="zh"/>
        </w:rPr>
        <w:t>本次交易的方案符合现行有效的法律法规</w:t>
      </w:r>
      <w:r>
        <w:rPr>
          <w:rFonts w:ascii="Times New Roman" w:hAnsi="Times New Roman"/>
          <w:kern w:val="0"/>
          <w:sz w:val="24"/>
        </w:rPr>
        <w:t>和</w:t>
      </w:r>
      <w:r>
        <w:rPr>
          <w:rFonts w:ascii="Times New Roman" w:hAnsi="Times New Roman"/>
          <w:kern w:val="0"/>
          <w:sz w:val="24"/>
          <w:lang w:eastAsia="zh"/>
        </w:rPr>
        <w:t>规范性文件的规定；本次</w:t>
      </w:r>
      <w:r>
        <w:rPr>
          <w:rFonts w:ascii="Times New Roman" w:hAnsi="Times New Roman"/>
          <w:kern w:val="0"/>
          <w:sz w:val="24"/>
        </w:rPr>
        <w:t>交易</w:t>
      </w:r>
      <w:r>
        <w:rPr>
          <w:rFonts w:ascii="Times New Roman" w:hAnsi="Times New Roman"/>
          <w:kern w:val="0"/>
          <w:sz w:val="24"/>
          <w:lang w:eastAsia="zh"/>
        </w:rPr>
        <w:t>的各方具备</w:t>
      </w:r>
      <w:r>
        <w:rPr>
          <w:rFonts w:ascii="Times New Roman" w:hAnsi="Times New Roman"/>
          <w:kern w:val="0"/>
          <w:sz w:val="24"/>
        </w:rPr>
        <w:t>参与</w:t>
      </w:r>
      <w:r>
        <w:rPr>
          <w:rFonts w:ascii="Times New Roman" w:hAnsi="Times New Roman"/>
          <w:kern w:val="0"/>
          <w:sz w:val="24"/>
          <w:lang w:eastAsia="zh"/>
        </w:rPr>
        <w:t>本次交易的主体资格；本次交易已取得了现阶段必要的批准和授权，该等批准和授权合法、有效；本次交易的相关协议形式及内容均符合法律法规和规范性文件的规定；本次</w:t>
      </w:r>
      <w:r>
        <w:rPr>
          <w:rFonts w:ascii="Times New Roman" w:hAnsi="Times New Roman"/>
          <w:kern w:val="0"/>
          <w:sz w:val="24"/>
        </w:rPr>
        <w:t>交易</w:t>
      </w:r>
      <w:r>
        <w:rPr>
          <w:rFonts w:ascii="Times New Roman" w:hAnsi="Times New Roman"/>
          <w:kern w:val="0"/>
          <w:sz w:val="24"/>
          <w:lang w:eastAsia="zh"/>
        </w:rPr>
        <w:t>的标的资产权属清晰</w:t>
      </w:r>
      <w:r>
        <w:rPr>
          <w:rFonts w:ascii="Times New Roman" w:hAnsi="Times New Roman"/>
          <w:kern w:val="0"/>
          <w:sz w:val="24"/>
        </w:rPr>
        <w:t>，标的</w:t>
      </w:r>
      <w:r>
        <w:rPr>
          <w:rFonts w:ascii="Times New Roman" w:hAnsi="Times New Roman"/>
          <w:kern w:val="0"/>
          <w:sz w:val="24"/>
          <w:lang w:eastAsia="zh"/>
        </w:rPr>
        <w:t>资产按照约定交割不存在实质性法律障碍；上市公司</w:t>
      </w:r>
      <w:r>
        <w:rPr>
          <w:rFonts w:ascii="Times New Roman" w:hAnsi="Times New Roman"/>
          <w:kern w:val="0"/>
          <w:sz w:val="24"/>
        </w:rPr>
        <w:t>已</w:t>
      </w:r>
      <w:r>
        <w:rPr>
          <w:rFonts w:ascii="Times New Roman" w:hAnsi="Times New Roman"/>
          <w:kern w:val="0"/>
          <w:sz w:val="24"/>
          <w:lang w:eastAsia="zh"/>
        </w:rPr>
        <w:t>就本次</w:t>
      </w:r>
      <w:r>
        <w:rPr>
          <w:rFonts w:ascii="Times New Roman" w:hAnsi="Times New Roman"/>
          <w:kern w:val="0"/>
          <w:sz w:val="24"/>
        </w:rPr>
        <w:t>交易</w:t>
      </w:r>
      <w:r>
        <w:rPr>
          <w:rFonts w:ascii="Times New Roman" w:hAnsi="Times New Roman"/>
          <w:kern w:val="0"/>
          <w:sz w:val="24"/>
          <w:lang w:eastAsia="zh"/>
        </w:rPr>
        <w:t>相关事宜履行了现阶段必要的信息披露义务；本次</w:t>
      </w:r>
      <w:r>
        <w:rPr>
          <w:rFonts w:ascii="Times New Roman" w:hAnsi="Times New Roman"/>
          <w:kern w:val="0"/>
          <w:sz w:val="24"/>
        </w:rPr>
        <w:t>交易</w:t>
      </w:r>
      <w:r>
        <w:rPr>
          <w:rFonts w:ascii="Times New Roman" w:hAnsi="Times New Roman"/>
          <w:kern w:val="0"/>
          <w:sz w:val="24"/>
          <w:lang w:eastAsia="zh"/>
        </w:rPr>
        <w:t>符合《重组管理办法》《发行注册管理办法》等法律、法规规定的实质性条件；为本次交易提供证券服务的证券服务机构均具有必备的执业资格；本次交易</w:t>
      </w:r>
      <w:r>
        <w:rPr>
          <w:rFonts w:ascii="Times New Roman" w:hAnsi="Times New Roman"/>
          <w:kern w:val="0"/>
          <w:sz w:val="24"/>
        </w:rPr>
        <w:t>在获得深交所审核通过并经中国证监会同意注册</w:t>
      </w:r>
      <w:r>
        <w:rPr>
          <w:rFonts w:ascii="Times New Roman" w:hAnsi="Times New Roman"/>
          <w:kern w:val="0"/>
          <w:sz w:val="24"/>
          <w:lang w:eastAsia="zh"/>
        </w:rPr>
        <w:t>后方可</w:t>
      </w:r>
      <w:r>
        <w:rPr>
          <w:rFonts w:ascii="Times New Roman" w:hAnsi="Times New Roman"/>
          <w:kern w:val="0"/>
          <w:sz w:val="24"/>
        </w:rPr>
        <w:t>实施</w:t>
      </w:r>
      <w:r>
        <w:rPr>
          <w:rFonts w:ascii="Times New Roman" w:hAnsi="Times New Roman"/>
          <w:b/>
          <w:bCs/>
          <w:sz w:val="24"/>
        </w:rPr>
        <w:t>。</w:t>
      </w:r>
    </w:p>
    <w:p w14:paraId="66AC78F8">
      <w:pPr>
        <w:widowControl/>
        <w:adjustRightInd w:val="0"/>
        <w:snapToGrid w:val="0"/>
        <w:spacing w:before="156" w:beforeLines="50" w:after="156" w:afterLines="50" w:line="360" w:lineRule="auto"/>
        <w:ind w:firstLine="480" w:firstLineChars="200"/>
        <w:rPr>
          <w:rFonts w:ascii="Times New Roman" w:hAnsi="Times New Roman"/>
          <w:color w:val="000000"/>
          <w:kern w:val="0"/>
          <w:sz w:val="24"/>
        </w:rPr>
      </w:pPr>
    </w:p>
    <w:p w14:paraId="44EF608D">
      <w:pPr>
        <w:widowControl/>
        <w:adjustRightInd w:val="0"/>
        <w:snapToGrid w:val="0"/>
        <w:spacing w:before="156" w:beforeLines="50" w:after="156" w:afterLines="50" w:line="360" w:lineRule="auto"/>
        <w:ind w:firstLine="480" w:firstLineChars="200"/>
        <w:rPr>
          <w:rFonts w:ascii="Times New Roman" w:hAnsi="Times New Roman"/>
          <w:color w:val="000000"/>
          <w:kern w:val="0"/>
          <w:sz w:val="24"/>
        </w:rPr>
      </w:pPr>
      <w:r>
        <w:rPr>
          <w:rFonts w:ascii="Times New Roman" w:hAnsi="Times New Roman"/>
          <w:color w:val="000000"/>
          <w:kern w:val="0"/>
          <w:sz w:val="24"/>
        </w:rPr>
        <w:t>本补充法律意见书壹式陆份，伍份交</w:t>
      </w:r>
      <w:r>
        <w:rPr>
          <w:rFonts w:hint="eastAsia" w:ascii="Times New Roman" w:hAnsi="Times New Roman"/>
          <w:color w:val="000000"/>
          <w:kern w:val="0"/>
          <w:sz w:val="24"/>
        </w:rPr>
        <w:t>天亿马</w:t>
      </w:r>
      <w:r>
        <w:rPr>
          <w:rFonts w:ascii="Times New Roman" w:hAnsi="Times New Roman"/>
          <w:color w:val="000000"/>
          <w:kern w:val="0"/>
          <w:sz w:val="24"/>
        </w:rPr>
        <w:t>，壹份由本所留存备查，均由本所律师签字并加盖本所公章后生效，具有同等法律效力。</w:t>
      </w:r>
    </w:p>
    <w:p w14:paraId="4C476578">
      <w:pPr>
        <w:pStyle w:val="39"/>
        <w:adjustRightInd w:val="0"/>
        <w:snapToGrid w:val="0"/>
        <w:spacing w:before="156" w:beforeLines="50" w:after="156" w:afterLines="50"/>
        <w:ind w:firstLine="480"/>
        <w:rPr>
          <w:color w:val="000000"/>
          <w:kern w:val="0"/>
          <w:szCs w:val="24"/>
        </w:rPr>
      </w:pPr>
      <w:r>
        <w:rPr>
          <w:color w:val="000000"/>
          <w:kern w:val="0"/>
          <w:szCs w:val="24"/>
        </w:rPr>
        <w:t>（以下无正文）</w:t>
      </w:r>
    </w:p>
    <w:p w14:paraId="6ECDDFD7">
      <w:pPr>
        <w:widowControl/>
        <w:spacing w:before="156" w:beforeLines="50" w:after="156" w:afterLines="50" w:line="360" w:lineRule="auto"/>
        <w:ind w:firstLine="480" w:firstLineChars="200"/>
        <w:jc w:val="left"/>
        <w:rPr>
          <w:b/>
          <w:bCs/>
          <w:sz w:val="24"/>
        </w:rPr>
      </w:pPr>
      <w:r>
        <w:rPr>
          <w:rFonts w:ascii="Times New Roman" w:hAnsi="Times New Roman"/>
          <w:color w:val="000000"/>
          <w:kern w:val="0"/>
          <w:sz w:val="24"/>
        </w:rPr>
        <w:br w:type="page"/>
      </w:r>
      <w:r>
        <w:rPr>
          <w:rFonts w:hint="eastAsia"/>
          <w:sz w:val="24"/>
          <w:lang/>
        </w:rPr>
        <w:drawing>
          <wp:anchor distT="0" distB="0" distL="114300" distR="114300" simplePos="0" relativeHeight="251661312" behindDoc="0" locked="0" layoutInCell="1" allowOverlap="1">
            <wp:simplePos x="0" y="0"/>
            <wp:positionH relativeFrom="column">
              <wp:posOffset>-1141730</wp:posOffset>
            </wp:positionH>
            <wp:positionV relativeFrom="paragraph">
              <wp:posOffset>-911225</wp:posOffset>
            </wp:positionV>
            <wp:extent cx="7343775" cy="9417050"/>
            <wp:effectExtent l="0" t="0" r="1905" b="1270"/>
            <wp:wrapNone/>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1"/>
                    <a:srcRect b="10039"/>
                    <a:stretch>
                      <a:fillRect/>
                    </a:stretch>
                  </pic:blipFill>
                  <pic:spPr>
                    <a:xfrm>
                      <a:off x="0" y="0"/>
                      <a:ext cx="7343775" cy="9417050"/>
                    </a:xfrm>
                    <a:prstGeom prst="rect">
                      <a:avLst/>
                    </a:prstGeom>
                    <a:noFill/>
                    <a:ln>
                      <a:noFill/>
                    </a:ln>
                  </pic:spPr>
                </pic:pic>
              </a:graphicData>
            </a:graphic>
          </wp:anchor>
        </w:drawing>
      </w:r>
      <w:r>
        <w:rPr>
          <w:rFonts w:hint="eastAsia"/>
          <w:sz w:val="24"/>
        </w:rPr>
        <w:t>（</w:t>
      </w:r>
      <w:r>
        <w:rPr>
          <w:rFonts w:hint="eastAsia" w:ascii="Times New Roman" w:hAnsi="Times New Roman"/>
          <w:sz w:val="24"/>
        </w:rPr>
        <w:t>本页无正文，系《湖南启元律师事务所关于广东天亿马信息产业股份有限公司发行股份及支付现金购买资产并募集配套资金暨关联交易的</w:t>
      </w:r>
      <w:r>
        <w:rPr>
          <w:rFonts w:hint="eastAsia"/>
          <w:sz w:val="24"/>
        </w:rPr>
        <w:t>补充</w:t>
      </w:r>
      <w:r>
        <w:rPr>
          <w:rFonts w:hint="eastAsia" w:ascii="Times New Roman" w:hAnsi="Times New Roman"/>
          <w:sz w:val="24"/>
        </w:rPr>
        <w:t>法律意见书</w:t>
      </w:r>
      <w:r>
        <w:rPr>
          <w:rFonts w:hint="eastAsia"/>
          <w:sz w:val="24"/>
        </w:rPr>
        <w:t>（二）</w:t>
      </w:r>
      <w:r>
        <w:rPr>
          <w:rFonts w:hint="eastAsia" w:ascii="Times New Roman" w:hAnsi="Times New Roman"/>
          <w:sz w:val="24"/>
        </w:rPr>
        <w:t>》之签字盖章页</w:t>
      </w:r>
      <w:r>
        <w:rPr>
          <w:rFonts w:hint="eastAsia"/>
          <w:sz w:val="24"/>
        </w:rPr>
        <w:t>）</w:t>
      </w:r>
    </w:p>
    <w:p w14:paraId="5C8F5365">
      <w:pPr>
        <w:spacing w:line="360" w:lineRule="auto"/>
        <w:ind w:firstLine="480" w:firstLineChars="200"/>
        <w:rPr>
          <w:rFonts w:hint="eastAsia" w:ascii="宋体" w:hAnsi="宋体" w:cs="宋体"/>
          <w:sz w:val="24"/>
        </w:rPr>
      </w:pPr>
    </w:p>
    <w:p w14:paraId="1375A62C">
      <w:pPr>
        <w:spacing w:line="360" w:lineRule="auto"/>
        <w:ind w:firstLine="480" w:firstLineChars="200"/>
        <w:rPr>
          <w:rFonts w:hint="eastAsia" w:ascii="宋体" w:hAnsi="宋体" w:cs="宋体"/>
          <w:sz w:val="24"/>
        </w:rPr>
      </w:pPr>
    </w:p>
    <w:p w14:paraId="5541DBCB">
      <w:pPr>
        <w:spacing w:line="360" w:lineRule="auto"/>
        <w:ind w:firstLine="480" w:firstLineChars="200"/>
        <w:rPr>
          <w:rFonts w:hint="eastAsia" w:ascii="宋体" w:hAnsi="宋体" w:cs="宋体"/>
          <w:sz w:val="24"/>
        </w:rPr>
      </w:pPr>
    </w:p>
    <w:p w14:paraId="0A170C7C">
      <w:pPr>
        <w:spacing w:line="360" w:lineRule="auto"/>
        <w:ind w:firstLine="480" w:firstLineChars="200"/>
        <w:rPr>
          <w:rFonts w:hint="eastAsia" w:ascii="宋体" w:hAnsi="宋体" w:cs="宋体"/>
          <w:sz w:val="24"/>
        </w:rPr>
      </w:pPr>
    </w:p>
    <w:p w14:paraId="5693165D">
      <w:pPr>
        <w:spacing w:line="360" w:lineRule="auto"/>
        <w:ind w:firstLine="480" w:firstLineChars="200"/>
        <w:rPr>
          <w:rFonts w:hint="eastAsia" w:ascii="宋体" w:hAnsi="宋体" w:cs="宋体"/>
          <w:sz w:val="24"/>
        </w:rPr>
      </w:pPr>
      <w:r>
        <w:rPr>
          <w:rFonts w:hint="eastAsia" w:ascii="宋体" w:hAnsi="宋体" w:cs="宋体"/>
          <w:sz w:val="24"/>
        </w:rPr>
        <w:t>湖南启元律师事务所</w:t>
      </w:r>
    </w:p>
    <w:p w14:paraId="5077026E">
      <w:pPr>
        <w:spacing w:line="360" w:lineRule="auto"/>
        <w:ind w:firstLine="480" w:firstLineChars="200"/>
        <w:rPr>
          <w:rFonts w:hint="eastAsia" w:ascii="宋体" w:hAnsi="宋体" w:cs="宋体"/>
          <w:sz w:val="24"/>
        </w:rPr>
      </w:pPr>
    </w:p>
    <w:p w14:paraId="6A82B0B2">
      <w:pPr>
        <w:spacing w:line="360" w:lineRule="auto"/>
        <w:ind w:firstLine="480" w:firstLineChars="200"/>
        <w:rPr>
          <w:rFonts w:hint="eastAsia" w:ascii="宋体" w:hAnsi="宋体" w:cs="宋体"/>
          <w:sz w:val="24"/>
        </w:rPr>
      </w:pPr>
    </w:p>
    <w:p w14:paraId="72538ED8">
      <w:pPr>
        <w:spacing w:line="360" w:lineRule="auto"/>
        <w:ind w:firstLine="480" w:firstLineChars="200"/>
        <w:rPr>
          <w:rFonts w:hint="eastAsia" w:ascii="宋体" w:hAnsi="宋体" w:cs="宋体"/>
          <w:sz w:val="24"/>
        </w:rPr>
      </w:pPr>
      <w:r>
        <w:rPr>
          <w:rFonts w:hint="eastAsia" w:ascii="宋体" w:hAnsi="宋体" w:cs="宋体"/>
          <w:sz w:val="24"/>
        </w:rPr>
        <w:t>负责人：</w:t>
      </w:r>
      <w:r>
        <w:rPr>
          <w:rFonts w:hint="eastAsia" w:ascii="宋体" w:hAnsi="宋体" w:cs="宋体"/>
          <w:sz w:val="24"/>
          <w:u w:val="single"/>
        </w:rPr>
        <w:t xml:space="preserve">                </w:t>
      </w:r>
      <w:r>
        <w:rPr>
          <w:rFonts w:hint="eastAsia" w:ascii="宋体" w:hAnsi="宋体" w:cs="宋体"/>
          <w:sz w:val="24"/>
        </w:rPr>
        <w:t xml:space="preserve">           经办律师：</w:t>
      </w:r>
      <w:r>
        <w:rPr>
          <w:rFonts w:hint="eastAsia" w:ascii="宋体" w:hAnsi="宋体" w:cs="宋体"/>
          <w:sz w:val="24"/>
          <w:u w:val="single"/>
        </w:rPr>
        <w:t xml:space="preserve">                </w:t>
      </w:r>
      <w:r>
        <w:rPr>
          <w:rFonts w:hint="eastAsia" w:ascii="宋体" w:hAnsi="宋体" w:cs="宋体"/>
          <w:sz w:val="24"/>
        </w:rPr>
        <w:t xml:space="preserve">    </w:t>
      </w:r>
    </w:p>
    <w:p w14:paraId="6593DAE4">
      <w:pPr>
        <w:tabs>
          <w:tab w:val="left" w:pos="6883"/>
        </w:tabs>
        <w:spacing w:line="360" w:lineRule="auto"/>
        <w:ind w:firstLine="480" w:firstLineChars="200"/>
        <w:rPr>
          <w:rFonts w:ascii="宋体" w:hAnsi="宋体" w:cs="宋体"/>
          <w:sz w:val="24"/>
        </w:rPr>
      </w:pPr>
      <w:r>
        <w:rPr>
          <w:rFonts w:hint="eastAsia" w:ascii="宋体" w:hAnsi="宋体" w:cs="宋体"/>
          <w:sz w:val="24"/>
        </w:rPr>
        <w:t xml:space="preserve">             </w:t>
      </w:r>
      <w:r>
        <w:rPr>
          <w:rFonts w:hint="eastAsia" w:ascii="宋体" w:hAnsi="宋体"/>
          <w:sz w:val="24"/>
        </w:rPr>
        <w:t>周琳凯</w:t>
      </w:r>
      <w:r>
        <w:rPr>
          <w:rFonts w:hint="eastAsia" w:ascii="宋体" w:hAnsi="宋体" w:cs="宋体"/>
          <w:sz w:val="24"/>
        </w:rPr>
        <w:t xml:space="preserve">                               张  恒</w:t>
      </w:r>
    </w:p>
    <w:p w14:paraId="5A918896">
      <w:pPr>
        <w:spacing w:line="360" w:lineRule="auto"/>
        <w:ind w:firstLine="480" w:firstLineChars="200"/>
        <w:rPr>
          <w:rFonts w:hint="eastAsia" w:ascii="宋体" w:hAnsi="宋体" w:cs="宋体"/>
          <w:sz w:val="24"/>
        </w:rPr>
      </w:pPr>
    </w:p>
    <w:p w14:paraId="0EE32487">
      <w:pPr>
        <w:spacing w:line="360" w:lineRule="auto"/>
        <w:ind w:firstLine="480" w:firstLineChars="200"/>
        <w:rPr>
          <w:rFonts w:hint="eastAsia" w:ascii="宋体" w:hAnsi="宋体" w:cs="宋体"/>
          <w:sz w:val="24"/>
          <w:u w:val="single"/>
        </w:rPr>
      </w:pPr>
      <w:r>
        <w:rPr>
          <w:rFonts w:hint="eastAsia" w:ascii="宋体" w:hAnsi="宋体" w:cs="宋体"/>
          <w:sz w:val="24"/>
        </w:rPr>
        <w:t xml:space="preserve">                                   经办律师：</w:t>
      </w:r>
      <w:r>
        <w:rPr>
          <w:rFonts w:hint="eastAsia" w:ascii="宋体" w:hAnsi="宋体" w:cs="宋体"/>
          <w:sz w:val="24"/>
          <w:u w:val="single"/>
        </w:rPr>
        <w:t xml:space="preserve">                </w:t>
      </w:r>
    </w:p>
    <w:p w14:paraId="7348307A">
      <w:pPr>
        <w:spacing w:line="360" w:lineRule="auto"/>
        <w:ind w:firstLine="480" w:firstLineChars="200"/>
        <w:rPr>
          <w:rFonts w:hint="eastAsia" w:ascii="宋体" w:hAnsi="宋体" w:cs="宋体"/>
          <w:sz w:val="24"/>
        </w:rPr>
      </w:pPr>
      <w:r>
        <w:rPr>
          <w:rFonts w:hint="eastAsia" w:ascii="宋体" w:hAnsi="宋体" w:cs="宋体"/>
          <w:sz w:val="24"/>
        </w:rPr>
        <w:t xml:space="preserve">                                                  侯大林</w:t>
      </w:r>
    </w:p>
    <w:p w14:paraId="46561EEC">
      <w:pPr>
        <w:spacing w:line="360" w:lineRule="auto"/>
        <w:ind w:firstLine="480" w:firstLineChars="200"/>
        <w:rPr>
          <w:rFonts w:hint="eastAsia" w:ascii="宋体" w:hAnsi="宋体" w:cs="宋体"/>
          <w:sz w:val="24"/>
        </w:rPr>
      </w:pPr>
    </w:p>
    <w:p w14:paraId="76351A0B">
      <w:pPr>
        <w:spacing w:line="360" w:lineRule="auto"/>
        <w:ind w:firstLine="480" w:firstLineChars="200"/>
        <w:rPr>
          <w:rFonts w:hint="eastAsia" w:ascii="宋体" w:hAnsi="宋体" w:cs="宋体"/>
          <w:sz w:val="24"/>
        </w:rPr>
      </w:pPr>
    </w:p>
    <w:p w14:paraId="31CF8E7D">
      <w:pPr>
        <w:spacing w:line="360" w:lineRule="auto"/>
        <w:ind w:firstLine="4560" w:firstLineChars="1900"/>
        <w:rPr>
          <w:rFonts w:hint="eastAsia" w:ascii="宋体" w:hAnsi="宋体" w:cs="宋体"/>
          <w:sz w:val="24"/>
        </w:rPr>
      </w:pPr>
      <w:r>
        <w:rPr>
          <w:rFonts w:hint="eastAsia" w:ascii="宋体" w:hAnsi="宋体" w:cs="宋体"/>
          <w:sz w:val="24"/>
        </w:rPr>
        <w:t>签署日期：    年    月    日</w:t>
      </w:r>
    </w:p>
    <w:p w14:paraId="6F9033DD"/>
    <w:p w14:paraId="3FFA9D23"/>
    <w:sectPr>
      <w:footerReference r:id="rId5" w:type="default"/>
      <w:pgSz w:w="11906" w:h="16838"/>
      <w:pgMar w:top="1440" w:right="1800" w:bottom="1440" w:left="1800" w:header="851" w:footer="850"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PingFang SC">
    <w:altName w:val="Microsoft YaHei UI Light"/>
    <w:panose1 w:val="020B0400000000000000"/>
    <w:charset w:val="00"/>
    <w:family w:val="auto"/>
    <w:pitch w:val="default"/>
    <w:sig w:usb0="A00002FF" w:usb1="7ACFFDFB" w:usb2="00000017" w:usb3="00000000" w:csb0="00040001" w:csb1="00000000"/>
  </w:font>
  <w:font w:name="Helvetica Neue">
    <w:altName w:val="Times New Roman"/>
    <w:panose1 w:val="02000503000000020004"/>
    <w:charset w:val="00"/>
    <w:family w:val="auto"/>
    <w:pitch w:val="default"/>
    <w:sig w:usb0="E50002FF" w:usb1="500079DB" w:usb2="00000010" w:usb3="00000000" w:csb0="0000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Times New Roman Regular">
    <w:altName w:val="Times New Roman"/>
    <w:panose1 w:val="02020603050405020304"/>
    <w:charset w:val="00"/>
    <w:family w:val="auto"/>
    <w:pitch w:val="default"/>
    <w:sig w:usb0="E0002AEF" w:usb1="C0007841"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30D7D">
    <w:pPr>
      <w:pStyle w:val="11"/>
      <w:jc w:val="cen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CD26B">
    <w:pPr>
      <w:pStyle w:val="11"/>
      <w:jc w:val="center"/>
      <w:rPr>
        <w:rFonts w:ascii="Times New Roman" w:hAnsi="Times New Roman"/>
      </w:rPr>
    </w:pPr>
    <w:r>
      <w:rPr>
        <w:rFonts w:ascii="Times New Roman" w:hAnsi="Times New Roman"/>
      </w:rPr>
      <w:t>3-2-</w:t>
    </w: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lang/>
      </w:rPr>
      <w:t>1</w:t>
    </w:r>
    <w:r>
      <w:rPr>
        <w:rFonts w:ascii="Times New Roman" w:hAnsi="Times New Roma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996D2">
    <w:pPr>
      <w:pStyle w:val="46"/>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DDDD1D"/>
    <w:multiLevelType w:val="singleLevel"/>
    <w:tmpl w:val="9EDDDD1D"/>
    <w:lvl w:ilvl="0" w:tentative="0">
      <w:start w:val="1"/>
      <w:numFmt w:val="decimal"/>
      <w:suff w:val="nothing"/>
      <w:lvlText w:val="（%1）"/>
      <w:lvlJc w:val="left"/>
    </w:lvl>
  </w:abstractNum>
  <w:abstractNum w:abstractNumId="1">
    <w:nsid w:val="F763A8C7"/>
    <w:multiLevelType w:val="singleLevel"/>
    <w:tmpl w:val="F763A8C7"/>
    <w:lvl w:ilvl="0" w:tentative="0">
      <w:start w:val="2"/>
      <w:numFmt w:val="chineseCounting"/>
      <w:suff w:val="nothing"/>
      <w:lvlText w:val="（%1）"/>
      <w:lvlJc w:val="left"/>
      <w:pPr>
        <w:ind w:left="358"/>
      </w:pPr>
      <w:rPr>
        <w:rFonts w:hint="eastAsia"/>
      </w:rPr>
    </w:lvl>
  </w:abstractNum>
  <w:abstractNum w:abstractNumId="2">
    <w:nsid w:val="0E21B079"/>
    <w:multiLevelType w:val="singleLevel"/>
    <w:tmpl w:val="0E21B079"/>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AFFF966C"/>
    <w:rsid w:val="00000A9C"/>
    <w:rsid w:val="00002C7C"/>
    <w:rsid w:val="00012A85"/>
    <w:rsid w:val="00021504"/>
    <w:rsid w:val="00036D31"/>
    <w:rsid w:val="00053EA0"/>
    <w:rsid w:val="00062E6B"/>
    <w:rsid w:val="000639F6"/>
    <w:rsid w:val="0006764F"/>
    <w:rsid w:val="000818AB"/>
    <w:rsid w:val="00092269"/>
    <w:rsid w:val="00097FF4"/>
    <w:rsid w:val="000A210B"/>
    <w:rsid w:val="000A4B84"/>
    <w:rsid w:val="000B307B"/>
    <w:rsid w:val="000B5704"/>
    <w:rsid w:val="000C05C0"/>
    <w:rsid w:val="000D3F55"/>
    <w:rsid w:val="000D5721"/>
    <w:rsid w:val="000D5D7F"/>
    <w:rsid w:val="000E0A46"/>
    <w:rsid w:val="000E0A7E"/>
    <w:rsid w:val="000E67A8"/>
    <w:rsid w:val="000E6890"/>
    <w:rsid w:val="000F4435"/>
    <w:rsid w:val="001000D3"/>
    <w:rsid w:val="00117880"/>
    <w:rsid w:val="001213FB"/>
    <w:rsid w:val="00121597"/>
    <w:rsid w:val="00122BB2"/>
    <w:rsid w:val="00127C66"/>
    <w:rsid w:val="00142BDD"/>
    <w:rsid w:val="00144189"/>
    <w:rsid w:val="001470A4"/>
    <w:rsid w:val="00150CFA"/>
    <w:rsid w:val="00163F3F"/>
    <w:rsid w:val="00174A7B"/>
    <w:rsid w:val="00175F8D"/>
    <w:rsid w:val="00192A1D"/>
    <w:rsid w:val="001962BD"/>
    <w:rsid w:val="001A06B0"/>
    <w:rsid w:val="001A1ACB"/>
    <w:rsid w:val="001A3901"/>
    <w:rsid w:val="001A7D78"/>
    <w:rsid w:val="001A7F61"/>
    <w:rsid w:val="001B42FD"/>
    <w:rsid w:val="001B4304"/>
    <w:rsid w:val="001C0FBF"/>
    <w:rsid w:val="001C10FE"/>
    <w:rsid w:val="001C21CF"/>
    <w:rsid w:val="001C4321"/>
    <w:rsid w:val="001C5668"/>
    <w:rsid w:val="001C5B13"/>
    <w:rsid w:val="001D0A0F"/>
    <w:rsid w:val="001D6F6F"/>
    <w:rsid w:val="001E0053"/>
    <w:rsid w:val="001E2796"/>
    <w:rsid w:val="002062A4"/>
    <w:rsid w:val="00207E7B"/>
    <w:rsid w:val="00235293"/>
    <w:rsid w:val="0023790F"/>
    <w:rsid w:val="00241513"/>
    <w:rsid w:val="0025264E"/>
    <w:rsid w:val="002532B8"/>
    <w:rsid w:val="002549F1"/>
    <w:rsid w:val="0026067E"/>
    <w:rsid w:val="00262345"/>
    <w:rsid w:val="00277D1A"/>
    <w:rsid w:val="00280CC4"/>
    <w:rsid w:val="00294959"/>
    <w:rsid w:val="002972E7"/>
    <w:rsid w:val="002A1C7A"/>
    <w:rsid w:val="002A5D6D"/>
    <w:rsid w:val="002B2A91"/>
    <w:rsid w:val="002C1C60"/>
    <w:rsid w:val="002C7766"/>
    <w:rsid w:val="002D3528"/>
    <w:rsid w:val="002D61A7"/>
    <w:rsid w:val="002E3ABE"/>
    <w:rsid w:val="00300051"/>
    <w:rsid w:val="00301007"/>
    <w:rsid w:val="003021B3"/>
    <w:rsid w:val="00314249"/>
    <w:rsid w:val="003150FF"/>
    <w:rsid w:val="00317071"/>
    <w:rsid w:val="00327987"/>
    <w:rsid w:val="003332C8"/>
    <w:rsid w:val="003357D8"/>
    <w:rsid w:val="003408DD"/>
    <w:rsid w:val="00343821"/>
    <w:rsid w:val="00344284"/>
    <w:rsid w:val="00345270"/>
    <w:rsid w:val="003478FB"/>
    <w:rsid w:val="003518B8"/>
    <w:rsid w:val="00362A4F"/>
    <w:rsid w:val="00364F9A"/>
    <w:rsid w:val="003819F9"/>
    <w:rsid w:val="00392C64"/>
    <w:rsid w:val="003A3744"/>
    <w:rsid w:val="003B2225"/>
    <w:rsid w:val="003B2B7A"/>
    <w:rsid w:val="003B6FE5"/>
    <w:rsid w:val="003E77BC"/>
    <w:rsid w:val="003F6A51"/>
    <w:rsid w:val="00421990"/>
    <w:rsid w:val="00421E60"/>
    <w:rsid w:val="00424076"/>
    <w:rsid w:val="004324A4"/>
    <w:rsid w:val="0043313A"/>
    <w:rsid w:val="00441B5F"/>
    <w:rsid w:val="004551DD"/>
    <w:rsid w:val="0045653F"/>
    <w:rsid w:val="00457075"/>
    <w:rsid w:val="004579E5"/>
    <w:rsid w:val="00461660"/>
    <w:rsid w:val="00476C90"/>
    <w:rsid w:val="00476D21"/>
    <w:rsid w:val="0048336D"/>
    <w:rsid w:val="00483AFA"/>
    <w:rsid w:val="00492D03"/>
    <w:rsid w:val="00493300"/>
    <w:rsid w:val="0049605F"/>
    <w:rsid w:val="00496536"/>
    <w:rsid w:val="00497F87"/>
    <w:rsid w:val="004A0F26"/>
    <w:rsid w:val="004A1EB8"/>
    <w:rsid w:val="004A3436"/>
    <w:rsid w:val="004A7590"/>
    <w:rsid w:val="004C1026"/>
    <w:rsid w:val="004C5748"/>
    <w:rsid w:val="004C61DD"/>
    <w:rsid w:val="004C6528"/>
    <w:rsid w:val="004D15AA"/>
    <w:rsid w:val="004E0A6D"/>
    <w:rsid w:val="004E71E9"/>
    <w:rsid w:val="004F25C6"/>
    <w:rsid w:val="00502122"/>
    <w:rsid w:val="0052587D"/>
    <w:rsid w:val="00527B86"/>
    <w:rsid w:val="00527F00"/>
    <w:rsid w:val="00545764"/>
    <w:rsid w:val="005530EB"/>
    <w:rsid w:val="00553B00"/>
    <w:rsid w:val="00556729"/>
    <w:rsid w:val="005652C6"/>
    <w:rsid w:val="005670A8"/>
    <w:rsid w:val="005725CA"/>
    <w:rsid w:val="005756B1"/>
    <w:rsid w:val="0058516D"/>
    <w:rsid w:val="00591AF5"/>
    <w:rsid w:val="00593C03"/>
    <w:rsid w:val="005C1A0D"/>
    <w:rsid w:val="005C3174"/>
    <w:rsid w:val="005C7170"/>
    <w:rsid w:val="005D0700"/>
    <w:rsid w:val="005D0B0C"/>
    <w:rsid w:val="005D54EB"/>
    <w:rsid w:val="005E4199"/>
    <w:rsid w:val="005E5654"/>
    <w:rsid w:val="005F23C2"/>
    <w:rsid w:val="005F43F2"/>
    <w:rsid w:val="005F4B0D"/>
    <w:rsid w:val="00600BF1"/>
    <w:rsid w:val="00602141"/>
    <w:rsid w:val="00614653"/>
    <w:rsid w:val="00614D8D"/>
    <w:rsid w:val="006200A1"/>
    <w:rsid w:val="006222BE"/>
    <w:rsid w:val="00625B58"/>
    <w:rsid w:val="00627C96"/>
    <w:rsid w:val="00634B26"/>
    <w:rsid w:val="0063569E"/>
    <w:rsid w:val="00635A31"/>
    <w:rsid w:val="00635DA5"/>
    <w:rsid w:val="00637CA9"/>
    <w:rsid w:val="00653BBC"/>
    <w:rsid w:val="00664509"/>
    <w:rsid w:val="006732A7"/>
    <w:rsid w:val="00673394"/>
    <w:rsid w:val="0068753E"/>
    <w:rsid w:val="00687AFE"/>
    <w:rsid w:val="00694EF8"/>
    <w:rsid w:val="006A0C53"/>
    <w:rsid w:val="006A634A"/>
    <w:rsid w:val="006B6949"/>
    <w:rsid w:val="006B6AC2"/>
    <w:rsid w:val="006B71B3"/>
    <w:rsid w:val="006C24EE"/>
    <w:rsid w:val="006C5FD0"/>
    <w:rsid w:val="006C6660"/>
    <w:rsid w:val="006D4711"/>
    <w:rsid w:val="006D674C"/>
    <w:rsid w:val="006D6861"/>
    <w:rsid w:val="006E2E3C"/>
    <w:rsid w:val="006E5B58"/>
    <w:rsid w:val="006E7A1D"/>
    <w:rsid w:val="006F4C38"/>
    <w:rsid w:val="007144A9"/>
    <w:rsid w:val="007265DE"/>
    <w:rsid w:val="00730817"/>
    <w:rsid w:val="00731474"/>
    <w:rsid w:val="00745F7D"/>
    <w:rsid w:val="00752357"/>
    <w:rsid w:val="00752941"/>
    <w:rsid w:val="00760557"/>
    <w:rsid w:val="007642CD"/>
    <w:rsid w:val="0076501F"/>
    <w:rsid w:val="007652F3"/>
    <w:rsid w:val="0077327F"/>
    <w:rsid w:val="00773DAB"/>
    <w:rsid w:val="00774D8D"/>
    <w:rsid w:val="00782CDE"/>
    <w:rsid w:val="00787412"/>
    <w:rsid w:val="00796089"/>
    <w:rsid w:val="007A1402"/>
    <w:rsid w:val="007A3F81"/>
    <w:rsid w:val="007A7B9A"/>
    <w:rsid w:val="007B3FD3"/>
    <w:rsid w:val="007B44A6"/>
    <w:rsid w:val="007C1601"/>
    <w:rsid w:val="007C61EA"/>
    <w:rsid w:val="007C7F16"/>
    <w:rsid w:val="007D6E66"/>
    <w:rsid w:val="007D7A34"/>
    <w:rsid w:val="007E04EB"/>
    <w:rsid w:val="007E30E2"/>
    <w:rsid w:val="007F77A4"/>
    <w:rsid w:val="008067A0"/>
    <w:rsid w:val="00815943"/>
    <w:rsid w:val="00816A03"/>
    <w:rsid w:val="00822507"/>
    <w:rsid w:val="00827A5F"/>
    <w:rsid w:val="00827A68"/>
    <w:rsid w:val="0083015B"/>
    <w:rsid w:val="00837C8B"/>
    <w:rsid w:val="008444E1"/>
    <w:rsid w:val="008607D2"/>
    <w:rsid w:val="00866A20"/>
    <w:rsid w:val="00867569"/>
    <w:rsid w:val="00871A95"/>
    <w:rsid w:val="0088294B"/>
    <w:rsid w:val="0088634D"/>
    <w:rsid w:val="00892631"/>
    <w:rsid w:val="00893995"/>
    <w:rsid w:val="00893DB9"/>
    <w:rsid w:val="0089425A"/>
    <w:rsid w:val="00896C43"/>
    <w:rsid w:val="008A2738"/>
    <w:rsid w:val="008A5F50"/>
    <w:rsid w:val="008B2380"/>
    <w:rsid w:val="008B2DF0"/>
    <w:rsid w:val="008B4227"/>
    <w:rsid w:val="008B6354"/>
    <w:rsid w:val="008C48FA"/>
    <w:rsid w:val="008C737A"/>
    <w:rsid w:val="008D1937"/>
    <w:rsid w:val="008D54EB"/>
    <w:rsid w:val="008E052A"/>
    <w:rsid w:val="008E78CC"/>
    <w:rsid w:val="008F0ED0"/>
    <w:rsid w:val="008F2957"/>
    <w:rsid w:val="008F3206"/>
    <w:rsid w:val="00903C7B"/>
    <w:rsid w:val="00907CE8"/>
    <w:rsid w:val="009146C6"/>
    <w:rsid w:val="00931CD4"/>
    <w:rsid w:val="00935F54"/>
    <w:rsid w:val="00940531"/>
    <w:rsid w:val="009444EF"/>
    <w:rsid w:val="009455F8"/>
    <w:rsid w:val="00954A71"/>
    <w:rsid w:val="00967594"/>
    <w:rsid w:val="009705AF"/>
    <w:rsid w:val="00973CDF"/>
    <w:rsid w:val="00973DD0"/>
    <w:rsid w:val="00976076"/>
    <w:rsid w:val="00977FFB"/>
    <w:rsid w:val="009813BB"/>
    <w:rsid w:val="009821A1"/>
    <w:rsid w:val="009A00F5"/>
    <w:rsid w:val="009A06B8"/>
    <w:rsid w:val="009A0E28"/>
    <w:rsid w:val="009A103E"/>
    <w:rsid w:val="009A494A"/>
    <w:rsid w:val="009C026F"/>
    <w:rsid w:val="009C15CF"/>
    <w:rsid w:val="009C1B62"/>
    <w:rsid w:val="009D4D9A"/>
    <w:rsid w:val="009D5321"/>
    <w:rsid w:val="009D6885"/>
    <w:rsid w:val="009E30DF"/>
    <w:rsid w:val="009E5C67"/>
    <w:rsid w:val="009F0837"/>
    <w:rsid w:val="009F0E7E"/>
    <w:rsid w:val="009F2081"/>
    <w:rsid w:val="009F23FB"/>
    <w:rsid w:val="009F5F1A"/>
    <w:rsid w:val="00A0173E"/>
    <w:rsid w:val="00A02016"/>
    <w:rsid w:val="00A24970"/>
    <w:rsid w:val="00A25AC1"/>
    <w:rsid w:val="00A31A66"/>
    <w:rsid w:val="00A31ABC"/>
    <w:rsid w:val="00A34259"/>
    <w:rsid w:val="00A363D4"/>
    <w:rsid w:val="00A36D54"/>
    <w:rsid w:val="00A508A8"/>
    <w:rsid w:val="00A51A53"/>
    <w:rsid w:val="00A553E3"/>
    <w:rsid w:val="00A631AC"/>
    <w:rsid w:val="00A64703"/>
    <w:rsid w:val="00A70E26"/>
    <w:rsid w:val="00A72546"/>
    <w:rsid w:val="00A725B9"/>
    <w:rsid w:val="00A7603D"/>
    <w:rsid w:val="00A77BCC"/>
    <w:rsid w:val="00A81575"/>
    <w:rsid w:val="00A85AAE"/>
    <w:rsid w:val="00AA3A64"/>
    <w:rsid w:val="00AC0130"/>
    <w:rsid w:val="00AC0E0F"/>
    <w:rsid w:val="00AC1054"/>
    <w:rsid w:val="00AC5577"/>
    <w:rsid w:val="00AC6463"/>
    <w:rsid w:val="00AD0B5E"/>
    <w:rsid w:val="00AD6E8E"/>
    <w:rsid w:val="00AE490C"/>
    <w:rsid w:val="00AE67D8"/>
    <w:rsid w:val="00B11F0E"/>
    <w:rsid w:val="00B13E2F"/>
    <w:rsid w:val="00B208CE"/>
    <w:rsid w:val="00B21F0A"/>
    <w:rsid w:val="00B26035"/>
    <w:rsid w:val="00B4631B"/>
    <w:rsid w:val="00B47EBC"/>
    <w:rsid w:val="00B5116F"/>
    <w:rsid w:val="00B5455C"/>
    <w:rsid w:val="00B551EC"/>
    <w:rsid w:val="00B675F9"/>
    <w:rsid w:val="00B767EA"/>
    <w:rsid w:val="00B90F8D"/>
    <w:rsid w:val="00BA29EF"/>
    <w:rsid w:val="00BA561B"/>
    <w:rsid w:val="00BA5D8E"/>
    <w:rsid w:val="00BA6832"/>
    <w:rsid w:val="00BB05A7"/>
    <w:rsid w:val="00BB1C3E"/>
    <w:rsid w:val="00BB661F"/>
    <w:rsid w:val="00BD479C"/>
    <w:rsid w:val="00BE1CCD"/>
    <w:rsid w:val="00BE60D9"/>
    <w:rsid w:val="00BF139C"/>
    <w:rsid w:val="00C04B66"/>
    <w:rsid w:val="00C05117"/>
    <w:rsid w:val="00C12476"/>
    <w:rsid w:val="00C145D3"/>
    <w:rsid w:val="00C1521C"/>
    <w:rsid w:val="00C22B0B"/>
    <w:rsid w:val="00C236CE"/>
    <w:rsid w:val="00C25FDD"/>
    <w:rsid w:val="00C321B8"/>
    <w:rsid w:val="00C33F8B"/>
    <w:rsid w:val="00C34DE8"/>
    <w:rsid w:val="00C36DF3"/>
    <w:rsid w:val="00C54D02"/>
    <w:rsid w:val="00C561FC"/>
    <w:rsid w:val="00C604B6"/>
    <w:rsid w:val="00C61A71"/>
    <w:rsid w:val="00C63DFE"/>
    <w:rsid w:val="00C679AA"/>
    <w:rsid w:val="00C71327"/>
    <w:rsid w:val="00C800E4"/>
    <w:rsid w:val="00C823C9"/>
    <w:rsid w:val="00C8545F"/>
    <w:rsid w:val="00C85D82"/>
    <w:rsid w:val="00C87B9C"/>
    <w:rsid w:val="00C9300A"/>
    <w:rsid w:val="00C93E16"/>
    <w:rsid w:val="00C94EAC"/>
    <w:rsid w:val="00C97B9A"/>
    <w:rsid w:val="00C97F51"/>
    <w:rsid w:val="00CA60B5"/>
    <w:rsid w:val="00CB017B"/>
    <w:rsid w:val="00CB054D"/>
    <w:rsid w:val="00CC4269"/>
    <w:rsid w:val="00CC522F"/>
    <w:rsid w:val="00CD4C08"/>
    <w:rsid w:val="00CE146B"/>
    <w:rsid w:val="00D006DF"/>
    <w:rsid w:val="00D010F4"/>
    <w:rsid w:val="00D03423"/>
    <w:rsid w:val="00D04172"/>
    <w:rsid w:val="00D05135"/>
    <w:rsid w:val="00D11C22"/>
    <w:rsid w:val="00D1448D"/>
    <w:rsid w:val="00D15CB2"/>
    <w:rsid w:val="00D207D6"/>
    <w:rsid w:val="00D27BCC"/>
    <w:rsid w:val="00D325B5"/>
    <w:rsid w:val="00D340A5"/>
    <w:rsid w:val="00D40D69"/>
    <w:rsid w:val="00D441A5"/>
    <w:rsid w:val="00D50B50"/>
    <w:rsid w:val="00D56570"/>
    <w:rsid w:val="00D57CBF"/>
    <w:rsid w:val="00D7112F"/>
    <w:rsid w:val="00D719C7"/>
    <w:rsid w:val="00D71BBA"/>
    <w:rsid w:val="00D92BF9"/>
    <w:rsid w:val="00DA0749"/>
    <w:rsid w:val="00DA6CE6"/>
    <w:rsid w:val="00DB19FE"/>
    <w:rsid w:val="00DB2DBE"/>
    <w:rsid w:val="00DC345B"/>
    <w:rsid w:val="00DC4025"/>
    <w:rsid w:val="00DD681B"/>
    <w:rsid w:val="00DE17B5"/>
    <w:rsid w:val="00DE21CC"/>
    <w:rsid w:val="00DF02D6"/>
    <w:rsid w:val="00DF2BD7"/>
    <w:rsid w:val="00DF5A96"/>
    <w:rsid w:val="00DF5AEF"/>
    <w:rsid w:val="00E0097E"/>
    <w:rsid w:val="00E14D36"/>
    <w:rsid w:val="00E162E3"/>
    <w:rsid w:val="00E25538"/>
    <w:rsid w:val="00E26263"/>
    <w:rsid w:val="00E2730B"/>
    <w:rsid w:val="00E31559"/>
    <w:rsid w:val="00E33DAA"/>
    <w:rsid w:val="00E40BF5"/>
    <w:rsid w:val="00E45C2C"/>
    <w:rsid w:val="00E504E7"/>
    <w:rsid w:val="00E53B03"/>
    <w:rsid w:val="00E6667E"/>
    <w:rsid w:val="00E67B11"/>
    <w:rsid w:val="00E7114C"/>
    <w:rsid w:val="00E91922"/>
    <w:rsid w:val="00E95CC6"/>
    <w:rsid w:val="00E95D5D"/>
    <w:rsid w:val="00EA0E11"/>
    <w:rsid w:val="00EA4D14"/>
    <w:rsid w:val="00EA7493"/>
    <w:rsid w:val="00ED62E0"/>
    <w:rsid w:val="00EE40F7"/>
    <w:rsid w:val="00F30948"/>
    <w:rsid w:val="00F31C04"/>
    <w:rsid w:val="00F35D29"/>
    <w:rsid w:val="00F378B0"/>
    <w:rsid w:val="00F551BD"/>
    <w:rsid w:val="00F577EC"/>
    <w:rsid w:val="00F60D86"/>
    <w:rsid w:val="00F61288"/>
    <w:rsid w:val="00F62D1E"/>
    <w:rsid w:val="00F725AC"/>
    <w:rsid w:val="00F74D6C"/>
    <w:rsid w:val="00F7590F"/>
    <w:rsid w:val="00F76D2F"/>
    <w:rsid w:val="00F81756"/>
    <w:rsid w:val="00F85869"/>
    <w:rsid w:val="00F9012D"/>
    <w:rsid w:val="00FA7578"/>
    <w:rsid w:val="00FB0EE2"/>
    <w:rsid w:val="00FB357E"/>
    <w:rsid w:val="00FB5062"/>
    <w:rsid w:val="00FB5C87"/>
    <w:rsid w:val="00FC1E50"/>
    <w:rsid w:val="00FC637A"/>
    <w:rsid w:val="00FC6602"/>
    <w:rsid w:val="00FC7CFF"/>
    <w:rsid w:val="00FD462B"/>
    <w:rsid w:val="00FD5FE8"/>
    <w:rsid w:val="00FF3FE9"/>
    <w:rsid w:val="00FF60A9"/>
    <w:rsid w:val="00FF712F"/>
    <w:rsid w:val="01102F03"/>
    <w:rsid w:val="013B5FAA"/>
    <w:rsid w:val="015517AD"/>
    <w:rsid w:val="017E6F26"/>
    <w:rsid w:val="019317FE"/>
    <w:rsid w:val="01AE1D2D"/>
    <w:rsid w:val="01CF560E"/>
    <w:rsid w:val="01DB2C49"/>
    <w:rsid w:val="01E13FA7"/>
    <w:rsid w:val="01E411C0"/>
    <w:rsid w:val="020353D6"/>
    <w:rsid w:val="020B07BA"/>
    <w:rsid w:val="021B555C"/>
    <w:rsid w:val="022A5D8D"/>
    <w:rsid w:val="025D115D"/>
    <w:rsid w:val="02633569"/>
    <w:rsid w:val="026D3223"/>
    <w:rsid w:val="02715E83"/>
    <w:rsid w:val="02A36408"/>
    <w:rsid w:val="02E00EC3"/>
    <w:rsid w:val="02EA40C6"/>
    <w:rsid w:val="02F50DF4"/>
    <w:rsid w:val="032338E1"/>
    <w:rsid w:val="032470EF"/>
    <w:rsid w:val="03333611"/>
    <w:rsid w:val="03337B19"/>
    <w:rsid w:val="033C49A3"/>
    <w:rsid w:val="036363D4"/>
    <w:rsid w:val="03922050"/>
    <w:rsid w:val="03C03826"/>
    <w:rsid w:val="03D24A6E"/>
    <w:rsid w:val="03F4488A"/>
    <w:rsid w:val="03FB30C4"/>
    <w:rsid w:val="04001721"/>
    <w:rsid w:val="04246877"/>
    <w:rsid w:val="044004C3"/>
    <w:rsid w:val="048610D6"/>
    <w:rsid w:val="048D450A"/>
    <w:rsid w:val="04BD0E13"/>
    <w:rsid w:val="04C55066"/>
    <w:rsid w:val="04D2320C"/>
    <w:rsid w:val="04E0460D"/>
    <w:rsid w:val="04E47E11"/>
    <w:rsid w:val="04E81376"/>
    <w:rsid w:val="050D4B2E"/>
    <w:rsid w:val="0552282F"/>
    <w:rsid w:val="058F4B10"/>
    <w:rsid w:val="058F545C"/>
    <w:rsid w:val="05942B4C"/>
    <w:rsid w:val="05AD5AFC"/>
    <w:rsid w:val="05BB42A5"/>
    <w:rsid w:val="05C375FE"/>
    <w:rsid w:val="05C522F1"/>
    <w:rsid w:val="05E02719"/>
    <w:rsid w:val="05EA4E63"/>
    <w:rsid w:val="05EB743C"/>
    <w:rsid w:val="05FE23E4"/>
    <w:rsid w:val="06165D7B"/>
    <w:rsid w:val="061F2A86"/>
    <w:rsid w:val="062702A8"/>
    <w:rsid w:val="06A42F8B"/>
    <w:rsid w:val="06A76277"/>
    <w:rsid w:val="06BC5BF1"/>
    <w:rsid w:val="06C21837"/>
    <w:rsid w:val="06E65352"/>
    <w:rsid w:val="070A3E4D"/>
    <w:rsid w:val="073562D9"/>
    <w:rsid w:val="07384550"/>
    <w:rsid w:val="07AB20F7"/>
    <w:rsid w:val="07C160E7"/>
    <w:rsid w:val="07D56AF0"/>
    <w:rsid w:val="07D97668"/>
    <w:rsid w:val="07DEDF54"/>
    <w:rsid w:val="07F81AAA"/>
    <w:rsid w:val="082650FB"/>
    <w:rsid w:val="083217D6"/>
    <w:rsid w:val="0842784B"/>
    <w:rsid w:val="089362EE"/>
    <w:rsid w:val="08A47272"/>
    <w:rsid w:val="08AA3F15"/>
    <w:rsid w:val="08B51480"/>
    <w:rsid w:val="08DB5CDE"/>
    <w:rsid w:val="092A6247"/>
    <w:rsid w:val="09320D22"/>
    <w:rsid w:val="096A0B1B"/>
    <w:rsid w:val="098D5F59"/>
    <w:rsid w:val="099368E1"/>
    <w:rsid w:val="09A36898"/>
    <w:rsid w:val="09B039F5"/>
    <w:rsid w:val="09E4408E"/>
    <w:rsid w:val="09F35C3C"/>
    <w:rsid w:val="0A0A3A20"/>
    <w:rsid w:val="0A110938"/>
    <w:rsid w:val="0A3D797F"/>
    <w:rsid w:val="0A4604F0"/>
    <w:rsid w:val="0A4D3261"/>
    <w:rsid w:val="0A595FAC"/>
    <w:rsid w:val="0A60541B"/>
    <w:rsid w:val="0A8F7AAE"/>
    <w:rsid w:val="0AAE6D74"/>
    <w:rsid w:val="0AB553F2"/>
    <w:rsid w:val="0ACA2F86"/>
    <w:rsid w:val="0AE5046E"/>
    <w:rsid w:val="0AEE6B75"/>
    <w:rsid w:val="0AF168EA"/>
    <w:rsid w:val="0AFD44E7"/>
    <w:rsid w:val="0B0967E9"/>
    <w:rsid w:val="0B680227"/>
    <w:rsid w:val="0B807978"/>
    <w:rsid w:val="0B901D30"/>
    <w:rsid w:val="0B9A1E4C"/>
    <w:rsid w:val="0BB32F20"/>
    <w:rsid w:val="0BE807F7"/>
    <w:rsid w:val="0BE87659"/>
    <w:rsid w:val="0BF82EB9"/>
    <w:rsid w:val="0BFA02CC"/>
    <w:rsid w:val="0C241DFC"/>
    <w:rsid w:val="0C3205C9"/>
    <w:rsid w:val="0C4E0339"/>
    <w:rsid w:val="0C5603BC"/>
    <w:rsid w:val="0C8F3FF0"/>
    <w:rsid w:val="0C99751F"/>
    <w:rsid w:val="0CA83EEE"/>
    <w:rsid w:val="0CAA6628"/>
    <w:rsid w:val="0CBD4DA7"/>
    <w:rsid w:val="0CCB59F8"/>
    <w:rsid w:val="0CCF0636"/>
    <w:rsid w:val="0CDB28F7"/>
    <w:rsid w:val="0D1A60A1"/>
    <w:rsid w:val="0D39078F"/>
    <w:rsid w:val="0D52512B"/>
    <w:rsid w:val="0DB717F6"/>
    <w:rsid w:val="0DC759A0"/>
    <w:rsid w:val="0DE40111"/>
    <w:rsid w:val="0DF110A9"/>
    <w:rsid w:val="0DF15FA5"/>
    <w:rsid w:val="0DFDE5BB"/>
    <w:rsid w:val="0E297B01"/>
    <w:rsid w:val="0E360E1B"/>
    <w:rsid w:val="0E65374C"/>
    <w:rsid w:val="0E736D32"/>
    <w:rsid w:val="0E7A1767"/>
    <w:rsid w:val="0EA260D1"/>
    <w:rsid w:val="0EAE42F8"/>
    <w:rsid w:val="0EB14CF1"/>
    <w:rsid w:val="0ECA4B48"/>
    <w:rsid w:val="0F0C05A0"/>
    <w:rsid w:val="0F0C12E9"/>
    <w:rsid w:val="0F1312D7"/>
    <w:rsid w:val="0F2E7FAE"/>
    <w:rsid w:val="0F5DB764"/>
    <w:rsid w:val="0F642F38"/>
    <w:rsid w:val="0F6B0AEA"/>
    <w:rsid w:val="0F9D6566"/>
    <w:rsid w:val="0FA0212C"/>
    <w:rsid w:val="0FA45DAA"/>
    <w:rsid w:val="0FB96D88"/>
    <w:rsid w:val="0FDF5034"/>
    <w:rsid w:val="0FE829F7"/>
    <w:rsid w:val="0FEC188B"/>
    <w:rsid w:val="0FF178A0"/>
    <w:rsid w:val="1017318A"/>
    <w:rsid w:val="10180B8C"/>
    <w:rsid w:val="101A65FE"/>
    <w:rsid w:val="104573AA"/>
    <w:rsid w:val="10572529"/>
    <w:rsid w:val="10631972"/>
    <w:rsid w:val="109201D1"/>
    <w:rsid w:val="10C50985"/>
    <w:rsid w:val="10D951F6"/>
    <w:rsid w:val="10DC1574"/>
    <w:rsid w:val="10FB457D"/>
    <w:rsid w:val="10FD603E"/>
    <w:rsid w:val="11186A50"/>
    <w:rsid w:val="111D4066"/>
    <w:rsid w:val="11301FEB"/>
    <w:rsid w:val="11345DB3"/>
    <w:rsid w:val="11357601"/>
    <w:rsid w:val="113D1810"/>
    <w:rsid w:val="116752E1"/>
    <w:rsid w:val="1174D38C"/>
    <w:rsid w:val="1182211B"/>
    <w:rsid w:val="11961B12"/>
    <w:rsid w:val="11B30526"/>
    <w:rsid w:val="11B50684"/>
    <w:rsid w:val="11C92E88"/>
    <w:rsid w:val="11FA0114"/>
    <w:rsid w:val="12152F8F"/>
    <w:rsid w:val="1220393D"/>
    <w:rsid w:val="122D2087"/>
    <w:rsid w:val="124F2DF4"/>
    <w:rsid w:val="12715CDC"/>
    <w:rsid w:val="127F7268"/>
    <w:rsid w:val="12896E62"/>
    <w:rsid w:val="128A6D0E"/>
    <w:rsid w:val="12983044"/>
    <w:rsid w:val="12AA36D7"/>
    <w:rsid w:val="12D469A6"/>
    <w:rsid w:val="12DE4F46"/>
    <w:rsid w:val="12ED1816"/>
    <w:rsid w:val="13027FDE"/>
    <w:rsid w:val="13051DF5"/>
    <w:rsid w:val="130A686C"/>
    <w:rsid w:val="131A7256"/>
    <w:rsid w:val="134A6C68"/>
    <w:rsid w:val="13604DF7"/>
    <w:rsid w:val="13797312"/>
    <w:rsid w:val="13A91BE1"/>
    <w:rsid w:val="13CC58CF"/>
    <w:rsid w:val="13D91B57"/>
    <w:rsid w:val="13E63553"/>
    <w:rsid w:val="13EE0DFE"/>
    <w:rsid w:val="13FC0CC9"/>
    <w:rsid w:val="1404336A"/>
    <w:rsid w:val="14295489"/>
    <w:rsid w:val="14455EC3"/>
    <w:rsid w:val="144811B0"/>
    <w:rsid w:val="144E2788"/>
    <w:rsid w:val="144F60F9"/>
    <w:rsid w:val="145C4EA5"/>
    <w:rsid w:val="148937C0"/>
    <w:rsid w:val="148D1E07"/>
    <w:rsid w:val="149C34F4"/>
    <w:rsid w:val="14A3727B"/>
    <w:rsid w:val="14BD1EB1"/>
    <w:rsid w:val="151321C3"/>
    <w:rsid w:val="152B4878"/>
    <w:rsid w:val="156F040F"/>
    <w:rsid w:val="157C753E"/>
    <w:rsid w:val="15852950"/>
    <w:rsid w:val="15C22DC5"/>
    <w:rsid w:val="15EC4007"/>
    <w:rsid w:val="160171CF"/>
    <w:rsid w:val="160A5C99"/>
    <w:rsid w:val="163C2CB8"/>
    <w:rsid w:val="165769EB"/>
    <w:rsid w:val="166A350D"/>
    <w:rsid w:val="167C34BC"/>
    <w:rsid w:val="16846935"/>
    <w:rsid w:val="16907AC1"/>
    <w:rsid w:val="16CB2C7A"/>
    <w:rsid w:val="16CB6F22"/>
    <w:rsid w:val="16F96DE0"/>
    <w:rsid w:val="170132D8"/>
    <w:rsid w:val="171C4DC0"/>
    <w:rsid w:val="17290B16"/>
    <w:rsid w:val="17435DE1"/>
    <w:rsid w:val="17514654"/>
    <w:rsid w:val="17533CAA"/>
    <w:rsid w:val="1754364F"/>
    <w:rsid w:val="17550823"/>
    <w:rsid w:val="17641A43"/>
    <w:rsid w:val="177F5E74"/>
    <w:rsid w:val="179045A6"/>
    <w:rsid w:val="17CD3EAA"/>
    <w:rsid w:val="17CE6D3F"/>
    <w:rsid w:val="18043AAD"/>
    <w:rsid w:val="1823374C"/>
    <w:rsid w:val="182D2D56"/>
    <w:rsid w:val="18335F1D"/>
    <w:rsid w:val="186F54F6"/>
    <w:rsid w:val="18750308"/>
    <w:rsid w:val="187E6B48"/>
    <w:rsid w:val="18996DE5"/>
    <w:rsid w:val="18BE7E20"/>
    <w:rsid w:val="18D9437B"/>
    <w:rsid w:val="191C06FA"/>
    <w:rsid w:val="194B25F7"/>
    <w:rsid w:val="19686453"/>
    <w:rsid w:val="19792055"/>
    <w:rsid w:val="19831126"/>
    <w:rsid w:val="19856C4C"/>
    <w:rsid w:val="19B71771"/>
    <w:rsid w:val="19BF2EF6"/>
    <w:rsid w:val="19FC450F"/>
    <w:rsid w:val="1A0F56C6"/>
    <w:rsid w:val="1A134E76"/>
    <w:rsid w:val="1A170529"/>
    <w:rsid w:val="1A2F4538"/>
    <w:rsid w:val="1A5800E5"/>
    <w:rsid w:val="1AD2616A"/>
    <w:rsid w:val="1AD5775F"/>
    <w:rsid w:val="1ADD03C2"/>
    <w:rsid w:val="1AEA2424"/>
    <w:rsid w:val="1B2C4950"/>
    <w:rsid w:val="1B504DE9"/>
    <w:rsid w:val="1B705779"/>
    <w:rsid w:val="1B860A5A"/>
    <w:rsid w:val="1BA56E3E"/>
    <w:rsid w:val="1BE6424C"/>
    <w:rsid w:val="1BF00FEF"/>
    <w:rsid w:val="1C081A19"/>
    <w:rsid w:val="1C0A00B2"/>
    <w:rsid w:val="1C0A6971"/>
    <w:rsid w:val="1C2E5A06"/>
    <w:rsid w:val="1C2E5D6C"/>
    <w:rsid w:val="1C3210B6"/>
    <w:rsid w:val="1C5C32CD"/>
    <w:rsid w:val="1C5F5538"/>
    <w:rsid w:val="1C615C6D"/>
    <w:rsid w:val="1C98311D"/>
    <w:rsid w:val="1CA7790F"/>
    <w:rsid w:val="1CB375E0"/>
    <w:rsid w:val="1CCC6940"/>
    <w:rsid w:val="1CD13A2C"/>
    <w:rsid w:val="1CD83537"/>
    <w:rsid w:val="1CF33CAC"/>
    <w:rsid w:val="1D0A7D67"/>
    <w:rsid w:val="1D166BFD"/>
    <w:rsid w:val="1D3A7F6E"/>
    <w:rsid w:val="1D3B5ACA"/>
    <w:rsid w:val="1DB7BE2F"/>
    <w:rsid w:val="1DBDC710"/>
    <w:rsid w:val="1DD737EE"/>
    <w:rsid w:val="1DF72C2B"/>
    <w:rsid w:val="1DF95AF8"/>
    <w:rsid w:val="1E0A3BC4"/>
    <w:rsid w:val="1E2F6D6D"/>
    <w:rsid w:val="1E3D568B"/>
    <w:rsid w:val="1E4421D6"/>
    <w:rsid w:val="1E651D61"/>
    <w:rsid w:val="1E65506E"/>
    <w:rsid w:val="1E7F7CBC"/>
    <w:rsid w:val="1E881F2B"/>
    <w:rsid w:val="1E997E6E"/>
    <w:rsid w:val="1EB84F6D"/>
    <w:rsid w:val="1EE8227E"/>
    <w:rsid w:val="1EEB4D48"/>
    <w:rsid w:val="1F087BEB"/>
    <w:rsid w:val="1F096066"/>
    <w:rsid w:val="1F645718"/>
    <w:rsid w:val="1F678E48"/>
    <w:rsid w:val="1F775740"/>
    <w:rsid w:val="1F7A6B27"/>
    <w:rsid w:val="1F9004C4"/>
    <w:rsid w:val="1F9F019F"/>
    <w:rsid w:val="1FB40652"/>
    <w:rsid w:val="1FBC2E91"/>
    <w:rsid w:val="1FBC413C"/>
    <w:rsid w:val="1FBC449B"/>
    <w:rsid w:val="1FBEFD79"/>
    <w:rsid w:val="1FCF491A"/>
    <w:rsid w:val="1FF0C1B0"/>
    <w:rsid w:val="1FF21993"/>
    <w:rsid w:val="1FF516B2"/>
    <w:rsid w:val="1FF76BBC"/>
    <w:rsid w:val="200F667C"/>
    <w:rsid w:val="201900EE"/>
    <w:rsid w:val="20231096"/>
    <w:rsid w:val="20304A05"/>
    <w:rsid w:val="2077770C"/>
    <w:rsid w:val="20796DDF"/>
    <w:rsid w:val="2089606E"/>
    <w:rsid w:val="20A611BE"/>
    <w:rsid w:val="20C128EA"/>
    <w:rsid w:val="20D165F2"/>
    <w:rsid w:val="20D80DC8"/>
    <w:rsid w:val="20DD5C97"/>
    <w:rsid w:val="20E51AC6"/>
    <w:rsid w:val="215001A9"/>
    <w:rsid w:val="215B0191"/>
    <w:rsid w:val="21723DED"/>
    <w:rsid w:val="2174721A"/>
    <w:rsid w:val="21AC189D"/>
    <w:rsid w:val="21C313E8"/>
    <w:rsid w:val="21FEF074"/>
    <w:rsid w:val="222B7F08"/>
    <w:rsid w:val="222F5124"/>
    <w:rsid w:val="22382EB1"/>
    <w:rsid w:val="22471EB5"/>
    <w:rsid w:val="224D7653"/>
    <w:rsid w:val="226A2E83"/>
    <w:rsid w:val="226F0499"/>
    <w:rsid w:val="228F5F0E"/>
    <w:rsid w:val="22B40BE9"/>
    <w:rsid w:val="22C52487"/>
    <w:rsid w:val="23005595"/>
    <w:rsid w:val="23584356"/>
    <w:rsid w:val="23A122AC"/>
    <w:rsid w:val="23A73961"/>
    <w:rsid w:val="23BD6FE3"/>
    <w:rsid w:val="23C6058D"/>
    <w:rsid w:val="23CB7951"/>
    <w:rsid w:val="23D6177B"/>
    <w:rsid w:val="23F30C56"/>
    <w:rsid w:val="23FC7B0B"/>
    <w:rsid w:val="23FDAB7D"/>
    <w:rsid w:val="241C221B"/>
    <w:rsid w:val="2439375F"/>
    <w:rsid w:val="243C084F"/>
    <w:rsid w:val="247C14B1"/>
    <w:rsid w:val="248E7A51"/>
    <w:rsid w:val="24CA6938"/>
    <w:rsid w:val="24CC15DA"/>
    <w:rsid w:val="24CC5585"/>
    <w:rsid w:val="24D20DCB"/>
    <w:rsid w:val="24E266DD"/>
    <w:rsid w:val="24E71EFA"/>
    <w:rsid w:val="25180974"/>
    <w:rsid w:val="251B4FBA"/>
    <w:rsid w:val="25367908"/>
    <w:rsid w:val="253B1C1A"/>
    <w:rsid w:val="255D282B"/>
    <w:rsid w:val="256040C9"/>
    <w:rsid w:val="25951FC5"/>
    <w:rsid w:val="25990C83"/>
    <w:rsid w:val="25A66F0C"/>
    <w:rsid w:val="25AE66B4"/>
    <w:rsid w:val="25B85CB3"/>
    <w:rsid w:val="25CF5934"/>
    <w:rsid w:val="25D54AB7"/>
    <w:rsid w:val="25D77F7D"/>
    <w:rsid w:val="25F1264D"/>
    <w:rsid w:val="25FB087A"/>
    <w:rsid w:val="25FD63FE"/>
    <w:rsid w:val="26321F0A"/>
    <w:rsid w:val="267B5AC6"/>
    <w:rsid w:val="26840055"/>
    <w:rsid w:val="26B865A8"/>
    <w:rsid w:val="26DD51A9"/>
    <w:rsid w:val="27147861"/>
    <w:rsid w:val="272F2675"/>
    <w:rsid w:val="27417A8C"/>
    <w:rsid w:val="274D5A21"/>
    <w:rsid w:val="276F45DB"/>
    <w:rsid w:val="277B3420"/>
    <w:rsid w:val="27856069"/>
    <w:rsid w:val="278D5F9E"/>
    <w:rsid w:val="27937D40"/>
    <w:rsid w:val="27C2106B"/>
    <w:rsid w:val="27DB6E5F"/>
    <w:rsid w:val="27E9484A"/>
    <w:rsid w:val="2819392E"/>
    <w:rsid w:val="282A675C"/>
    <w:rsid w:val="28335AC5"/>
    <w:rsid w:val="28536324"/>
    <w:rsid w:val="28595C3D"/>
    <w:rsid w:val="285A595E"/>
    <w:rsid w:val="286A117E"/>
    <w:rsid w:val="28887D40"/>
    <w:rsid w:val="28E704EB"/>
    <w:rsid w:val="294A7730"/>
    <w:rsid w:val="2962684A"/>
    <w:rsid w:val="296A3769"/>
    <w:rsid w:val="297168A5"/>
    <w:rsid w:val="29BB61B1"/>
    <w:rsid w:val="29CF1912"/>
    <w:rsid w:val="2A662182"/>
    <w:rsid w:val="2A8969CD"/>
    <w:rsid w:val="2A8E16D9"/>
    <w:rsid w:val="2AA04FA8"/>
    <w:rsid w:val="2AD74E2E"/>
    <w:rsid w:val="2AD93FA3"/>
    <w:rsid w:val="2AECB890"/>
    <w:rsid w:val="2B21319D"/>
    <w:rsid w:val="2B315F6D"/>
    <w:rsid w:val="2B5E2587"/>
    <w:rsid w:val="2B700550"/>
    <w:rsid w:val="2B85488A"/>
    <w:rsid w:val="2B876854"/>
    <w:rsid w:val="2BAC5F00"/>
    <w:rsid w:val="2BBF5996"/>
    <w:rsid w:val="2BE05E12"/>
    <w:rsid w:val="2BE5CBAC"/>
    <w:rsid w:val="2BF4E92F"/>
    <w:rsid w:val="2BFED5B0"/>
    <w:rsid w:val="2C046D45"/>
    <w:rsid w:val="2C0E75DC"/>
    <w:rsid w:val="2C156FDF"/>
    <w:rsid w:val="2C762C2C"/>
    <w:rsid w:val="2C9D6109"/>
    <w:rsid w:val="2CAD53F4"/>
    <w:rsid w:val="2CAD5E46"/>
    <w:rsid w:val="2CB43679"/>
    <w:rsid w:val="2CB84510"/>
    <w:rsid w:val="2CD45832"/>
    <w:rsid w:val="2CEF693A"/>
    <w:rsid w:val="2D1F2E2C"/>
    <w:rsid w:val="2D341D72"/>
    <w:rsid w:val="2D5A072D"/>
    <w:rsid w:val="2DC51673"/>
    <w:rsid w:val="2DC86CB0"/>
    <w:rsid w:val="2DDF0676"/>
    <w:rsid w:val="2DF27538"/>
    <w:rsid w:val="2E092D17"/>
    <w:rsid w:val="2E6C4A73"/>
    <w:rsid w:val="2E7611E0"/>
    <w:rsid w:val="2E847680"/>
    <w:rsid w:val="2E8C04B2"/>
    <w:rsid w:val="2E9409DA"/>
    <w:rsid w:val="2EA44DBA"/>
    <w:rsid w:val="2EAE920A"/>
    <w:rsid w:val="2ECC1AD8"/>
    <w:rsid w:val="2EE45BBD"/>
    <w:rsid w:val="2EED5CA0"/>
    <w:rsid w:val="2EFA1125"/>
    <w:rsid w:val="2EFA77F6"/>
    <w:rsid w:val="2F00322A"/>
    <w:rsid w:val="2F1523C9"/>
    <w:rsid w:val="2F2148C9"/>
    <w:rsid w:val="2F4A3E20"/>
    <w:rsid w:val="2F534258"/>
    <w:rsid w:val="2F540420"/>
    <w:rsid w:val="2F7C756C"/>
    <w:rsid w:val="2F7EEE51"/>
    <w:rsid w:val="2F863778"/>
    <w:rsid w:val="2F8C1E0C"/>
    <w:rsid w:val="2F9B415D"/>
    <w:rsid w:val="2FA738B3"/>
    <w:rsid w:val="2FB361F0"/>
    <w:rsid w:val="2FB76CDA"/>
    <w:rsid w:val="2FB7DB8E"/>
    <w:rsid w:val="2FBF11C3"/>
    <w:rsid w:val="2FFC1A86"/>
    <w:rsid w:val="2FFF71C0"/>
    <w:rsid w:val="2FFFC2E6"/>
    <w:rsid w:val="2FFFC935"/>
    <w:rsid w:val="301721D8"/>
    <w:rsid w:val="302062CA"/>
    <w:rsid w:val="3025488D"/>
    <w:rsid w:val="30354AD0"/>
    <w:rsid w:val="304E6747"/>
    <w:rsid w:val="304F6FFA"/>
    <w:rsid w:val="305963C3"/>
    <w:rsid w:val="30744DB1"/>
    <w:rsid w:val="30CC64AB"/>
    <w:rsid w:val="31232662"/>
    <w:rsid w:val="314F1BC2"/>
    <w:rsid w:val="31585A3B"/>
    <w:rsid w:val="3163167C"/>
    <w:rsid w:val="317251C4"/>
    <w:rsid w:val="31AF440F"/>
    <w:rsid w:val="31B75425"/>
    <w:rsid w:val="31C37FC4"/>
    <w:rsid w:val="31C6709C"/>
    <w:rsid w:val="31DBC3AF"/>
    <w:rsid w:val="31FC33CC"/>
    <w:rsid w:val="320B17BF"/>
    <w:rsid w:val="329CD8A9"/>
    <w:rsid w:val="32A45F3D"/>
    <w:rsid w:val="32A74B16"/>
    <w:rsid w:val="32C65EB4"/>
    <w:rsid w:val="32DE76C4"/>
    <w:rsid w:val="32F42D71"/>
    <w:rsid w:val="3332520E"/>
    <w:rsid w:val="33446780"/>
    <w:rsid w:val="334576AF"/>
    <w:rsid w:val="33552D94"/>
    <w:rsid w:val="336A594D"/>
    <w:rsid w:val="33707D19"/>
    <w:rsid w:val="337A1509"/>
    <w:rsid w:val="33882C4C"/>
    <w:rsid w:val="339170DC"/>
    <w:rsid w:val="33AD7074"/>
    <w:rsid w:val="33D96068"/>
    <w:rsid w:val="33EE35F9"/>
    <w:rsid w:val="33EF4F96"/>
    <w:rsid w:val="34056568"/>
    <w:rsid w:val="3442223E"/>
    <w:rsid w:val="345D4361"/>
    <w:rsid w:val="3472093D"/>
    <w:rsid w:val="34782A70"/>
    <w:rsid w:val="348568EB"/>
    <w:rsid w:val="34983880"/>
    <w:rsid w:val="34B111C2"/>
    <w:rsid w:val="34BE62D8"/>
    <w:rsid w:val="34CB54BF"/>
    <w:rsid w:val="351E2F1A"/>
    <w:rsid w:val="352B0250"/>
    <w:rsid w:val="354BFC68"/>
    <w:rsid w:val="356E367C"/>
    <w:rsid w:val="35792A60"/>
    <w:rsid w:val="358A4868"/>
    <w:rsid w:val="35A26EED"/>
    <w:rsid w:val="35D27123"/>
    <w:rsid w:val="35D95EFE"/>
    <w:rsid w:val="35DBDF1B"/>
    <w:rsid w:val="35F90C02"/>
    <w:rsid w:val="35FC0E71"/>
    <w:rsid w:val="35FF470F"/>
    <w:rsid w:val="361B535B"/>
    <w:rsid w:val="36311B6C"/>
    <w:rsid w:val="363AFDBF"/>
    <w:rsid w:val="3648318B"/>
    <w:rsid w:val="3663060A"/>
    <w:rsid w:val="36725605"/>
    <w:rsid w:val="36772FEE"/>
    <w:rsid w:val="36781EAF"/>
    <w:rsid w:val="367C2733"/>
    <w:rsid w:val="36BC51E3"/>
    <w:rsid w:val="36C03506"/>
    <w:rsid w:val="36C6779A"/>
    <w:rsid w:val="36C76AA7"/>
    <w:rsid w:val="36C82A21"/>
    <w:rsid w:val="36D20822"/>
    <w:rsid w:val="370276D6"/>
    <w:rsid w:val="372B2789"/>
    <w:rsid w:val="372F0768"/>
    <w:rsid w:val="37394CB2"/>
    <w:rsid w:val="37532541"/>
    <w:rsid w:val="375B6AE7"/>
    <w:rsid w:val="377D8A90"/>
    <w:rsid w:val="37991DE9"/>
    <w:rsid w:val="37AD13F0"/>
    <w:rsid w:val="37DB0117"/>
    <w:rsid w:val="37E33064"/>
    <w:rsid w:val="37F788E7"/>
    <w:rsid w:val="37FC0ED6"/>
    <w:rsid w:val="37FDDBC4"/>
    <w:rsid w:val="37FE1C4C"/>
    <w:rsid w:val="381F8194"/>
    <w:rsid w:val="384635F3"/>
    <w:rsid w:val="385335A5"/>
    <w:rsid w:val="38703BB2"/>
    <w:rsid w:val="38754799"/>
    <w:rsid w:val="38892B83"/>
    <w:rsid w:val="388B3E87"/>
    <w:rsid w:val="389728BE"/>
    <w:rsid w:val="38993922"/>
    <w:rsid w:val="38A058F5"/>
    <w:rsid w:val="38D135EB"/>
    <w:rsid w:val="38E504A8"/>
    <w:rsid w:val="38F13A35"/>
    <w:rsid w:val="38FFF387"/>
    <w:rsid w:val="39250443"/>
    <w:rsid w:val="39272AC2"/>
    <w:rsid w:val="395E755E"/>
    <w:rsid w:val="3972310B"/>
    <w:rsid w:val="3982268B"/>
    <w:rsid w:val="398C16E9"/>
    <w:rsid w:val="399161E1"/>
    <w:rsid w:val="399E13AE"/>
    <w:rsid w:val="399E6E7A"/>
    <w:rsid w:val="39A962DB"/>
    <w:rsid w:val="39B0341A"/>
    <w:rsid w:val="39D029ED"/>
    <w:rsid w:val="39F1510E"/>
    <w:rsid w:val="39F7FC70"/>
    <w:rsid w:val="39FB44B8"/>
    <w:rsid w:val="39FF7EFD"/>
    <w:rsid w:val="3A2103FD"/>
    <w:rsid w:val="3A241712"/>
    <w:rsid w:val="3A4918FD"/>
    <w:rsid w:val="3A5A4634"/>
    <w:rsid w:val="3A61177C"/>
    <w:rsid w:val="3A736AF5"/>
    <w:rsid w:val="3A7B1A37"/>
    <w:rsid w:val="3A7B9028"/>
    <w:rsid w:val="3A924B34"/>
    <w:rsid w:val="3A9C66C4"/>
    <w:rsid w:val="3ABA0B83"/>
    <w:rsid w:val="3ABB55A6"/>
    <w:rsid w:val="3ACB1C3B"/>
    <w:rsid w:val="3ACC0466"/>
    <w:rsid w:val="3AD62A0C"/>
    <w:rsid w:val="3ADF7EB7"/>
    <w:rsid w:val="3AE44D03"/>
    <w:rsid w:val="3AFD61EB"/>
    <w:rsid w:val="3B305EAC"/>
    <w:rsid w:val="3B455DE4"/>
    <w:rsid w:val="3B47390A"/>
    <w:rsid w:val="3B60677A"/>
    <w:rsid w:val="3B632B7A"/>
    <w:rsid w:val="3BA42B0A"/>
    <w:rsid w:val="3BA64AD4"/>
    <w:rsid w:val="3BAE43DC"/>
    <w:rsid w:val="3BAF8A14"/>
    <w:rsid w:val="3BBD2759"/>
    <w:rsid w:val="3BC51527"/>
    <w:rsid w:val="3BCA742F"/>
    <w:rsid w:val="3BD09246"/>
    <w:rsid w:val="3BEC8A6A"/>
    <w:rsid w:val="3BF7093F"/>
    <w:rsid w:val="3BFA10C7"/>
    <w:rsid w:val="3BFE7318"/>
    <w:rsid w:val="3BFE7681"/>
    <w:rsid w:val="3BFFE212"/>
    <w:rsid w:val="3BFFE7E2"/>
    <w:rsid w:val="3C0B4937"/>
    <w:rsid w:val="3C2368D2"/>
    <w:rsid w:val="3C5B1624"/>
    <w:rsid w:val="3C8506A0"/>
    <w:rsid w:val="3C8C4360"/>
    <w:rsid w:val="3C9B4F06"/>
    <w:rsid w:val="3CA60B04"/>
    <w:rsid w:val="3CAF7C1B"/>
    <w:rsid w:val="3CE04016"/>
    <w:rsid w:val="3CED5DB8"/>
    <w:rsid w:val="3CFE128F"/>
    <w:rsid w:val="3CFE8470"/>
    <w:rsid w:val="3D18555E"/>
    <w:rsid w:val="3D1D7515"/>
    <w:rsid w:val="3D2643D3"/>
    <w:rsid w:val="3D4B6365"/>
    <w:rsid w:val="3D7B9C09"/>
    <w:rsid w:val="3D97146E"/>
    <w:rsid w:val="3D9F0904"/>
    <w:rsid w:val="3DB0410E"/>
    <w:rsid w:val="3DCE3E6E"/>
    <w:rsid w:val="3DD47E4E"/>
    <w:rsid w:val="3DFD4342"/>
    <w:rsid w:val="3DFEB35F"/>
    <w:rsid w:val="3E0D5B80"/>
    <w:rsid w:val="3E5DA7A8"/>
    <w:rsid w:val="3E734A53"/>
    <w:rsid w:val="3E784810"/>
    <w:rsid w:val="3EADC8A9"/>
    <w:rsid w:val="3EBCB51F"/>
    <w:rsid w:val="3EBD0B3A"/>
    <w:rsid w:val="3ED52B4B"/>
    <w:rsid w:val="3ED9222C"/>
    <w:rsid w:val="3EE25E0E"/>
    <w:rsid w:val="3EE711E1"/>
    <w:rsid w:val="3EEF87AC"/>
    <w:rsid w:val="3EF5FB44"/>
    <w:rsid w:val="3EFD6968"/>
    <w:rsid w:val="3EFF97F8"/>
    <w:rsid w:val="3F101F1B"/>
    <w:rsid w:val="3F3FCCCB"/>
    <w:rsid w:val="3F4E4F22"/>
    <w:rsid w:val="3F5B43B5"/>
    <w:rsid w:val="3F6301F0"/>
    <w:rsid w:val="3F679351"/>
    <w:rsid w:val="3F6F2BD3"/>
    <w:rsid w:val="3F75FCBA"/>
    <w:rsid w:val="3F76BD16"/>
    <w:rsid w:val="3F7F557B"/>
    <w:rsid w:val="3F8B767F"/>
    <w:rsid w:val="3F8F63C1"/>
    <w:rsid w:val="3F9244F0"/>
    <w:rsid w:val="3FA2EC8B"/>
    <w:rsid w:val="3FBF0F41"/>
    <w:rsid w:val="3FD61A46"/>
    <w:rsid w:val="3FDF1E3C"/>
    <w:rsid w:val="3FEC0F08"/>
    <w:rsid w:val="3FEEA63E"/>
    <w:rsid w:val="3FFB70CE"/>
    <w:rsid w:val="3FFD46BD"/>
    <w:rsid w:val="3FFD5DC2"/>
    <w:rsid w:val="3FFDA14A"/>
    <w:rsid w:val="3FFFDABB"/>
    <w:rsid w:val="40147893"/>
    <w:rsid w:val="40274478"/>
    <w:rsid w:val="40313A45"/>
    <w:rsid w:val="405B63E0"/>
    <w:rsid w:val="409E155D"/>
    <w:rsid w:val="40AA0BC3"/>
    <w:rsid w:val="40E5067E"/>
    <w:rsid w:val="40E73BB1"/>
    <w:rsid w:val="412D6500"/>
    <w:rsid w:val="413552D2"/>
    <w:rsid w:val="4157061F"/>
    <w:rsid w:val="41766AD4"/>
    <w:rsid w:val="417C672A"/>
    <w:rsid w:val="418D1DFA"/>
    <w:rsid w:val="418E1DC0"/>
    <w:rsid w:val="41967399"/>
    <w:rsid w:val="41AB12FE"/>
    <w:rsid w:val="41C17B42"/>
    <w:rsid w:val="41CB6C7C"/>
    <w:rsid w:val="41D13A6C"/>
    <w:rsid w:val="41EA477C"/>
    <w:rsid w:val="41F70D03"/>
    <w:rsid w:val="4253349B"/>
    <w:rsid w:val="4290203A"/>
    <w:rsid w:val="42957651"/>
    <w:rsid w:val="42964BFC"/>
    <w:rsid w:val="429F227D"/>
    <w:rsid w:val="42E138DB"/>
    <w:rsid w:val="4302730E"/>
    <w:rsid w:val="430F3CE7"/>
    <w:rsid w:val="43141487"/>
    <w:rsid w:val="43217136"/>
    <w:rsid w:val="43316763"/>
    <w:rsid w:val="433F6CA9"/>
    <w:rsid w:val="43475A4E"/>
    <w:rsid w:val="43541F37"/>
    <w:rsid w:val="43A638A3"/>
    <w:rsid w:val="43BE6915"/>
    <w:rsid w:val="43D95515"/>
    <w:rsid w:val="43FE2FD4"/>
    <w:rsid w:val="440700DA"/>
    <w:rsid w:val="445F7F16"/>
    <w:rsid w:val="44697FBB"/>
    <w:rsid w:val="447119F7"/>
    <w:rsid w:val="4475773A"/>
    <w:rsid w:val="44842DCE"/>
    <w:rsid w:val="44B459CC"/>
    <w:rsid w:val="44ED51DB"/>
    <w:rsid w:val="44F468B0"/>
    <w:rsid w:val="450B0CFF"/>
    <w:rsid w:val="45130EE2"/>
    <w:rsid w:val="453F5652"/>
    <w:rsid w:val="455F0984"/>
    <w:rsid w:val="456A6B72"/>
    <w:rsid w:val="45796DB6"/>
    <w:rsid w:val="45A9545B"/>
    <w:rsid w:val="45AE7837"/>
    <w:rsid w:val="45C93B4A"/>
    <w:rsid w:val="46156862"/>
    <w:rsid w:val="462128E4"/>
    <w:rsid w:val="463EEBB5"/>
    <w:rsid w:val="464B3811"/>
    <w:rsid w:val="468D4E49"/>
    <w:rsid w:val="46967EE3"/>
    <w:rsid w:val="46AE0CE1"/>
    <w:rsid w:val="46E04B36"/>
    <w:rsid w:val="46EA7322"/>
    <w:rsid w:val="470B1FE5"/>
    <w:rsid w:val="471A65EA"/>
    <w:rsid w:val="47D26C51"/>
    <w:rsid w:val="47DFFAC2"/>
    <w:rsid w:val="47FB39BA"/>
    <w:rsid w:val="47FD7B60"/>
    <w:rsid w:val="481B2B21"/>
    <w:rsid w:val="48643701"/>
    <w:rsid w:val="48915920"/>
    <w:rsid w:val="48F14D50"/>
    <w:rsid w:val="491A054E"/>
    <w:rsid w:val="49246A8D"/>
    <w:rsid w:val="494131C3"/>
    <w:rsid w:val="494F67AB"/>
    <w:rsid w:val="49506B22"/>
    <w:rsid w:val="49553696"/>
    <w:rsid w:val="495714D8"/>
    <w:rsid w:val="495EACE1"/>
    <w:rsid w:val="496658A3"/>
    <w:rsid w:val="49725BF5"/>
    <w:rsid w:val="499F59A0"/>
    <w:rsid w:val="49A413EC"/>
    <w:rsid w:val="49D63BE5"/>
    <w:rsid w:val="49E45B0D"/>
    <w:rsid w:val="4A431740"/>
    <w:rsid w:val="4A4C72AA"/>
    <w:rsid w:val="4A562822"/>
    <w:rsid w:val="4A670CE8"/>
    <w:rsid w:val="4A783AE0"/>
    <w:rsid w:val="4A7A7889"/>
    <w:rsid w:val="4A9D3F5F"/>
    <w:rsid w:val="4AA71C97"/>
    <w:rsid w:val="4AC7721C"/>
    <w:rsid w:val="4ACE5A5A"/>
    <w:rsid w:val="4AE03433"/>
    <w:rsid w:val="4AE72D14"/>
    <w:rsid w:val="4AFD0DD5"/>
    <w:rsid w:val="4B21266F"/>
    <w:rsid w:val="4B271062"/>
    <w:rsid w:val="4B444C14"/>
    <w:rsid w:val="4B8907FD"/>
    <w:rsid w:val="4BCD7E5B"/>
    <w:rsid w:val="4BD765E4"/>
    <w:rsid w:val="4C3761AC"/>
    <w:rsid w:val="4C6D023D"/>
    <w:rsid w:val="4C7BC1D8"/>
    <w:rsid w:val="4C7F1BCE"/>
    <w:rsid w:val="4C7F311E"/>
    <w:rsid w:val="4C854292"/>
    <w:rsid w:val="4CAD5597"/>
    <w:rsid w:val="4CAF6418"/>
    <w:rsid w:val="4CF05C0E"/>
    <w:rsid w:val="4CF60CEC"/>
    <w:rsid w:val="4CFF562F"/>
    <w:rsid w:val="4CFF5C81"/>
    <w:rsid w:val="4D1B6A2F"/>
    <w:rsid w:val="4D26783B"/>
    <w:rsid w:val="4D3006A2"/>
    <w:rsid w:val="4D3C61C7"/>
    <w:rsid w:val="4D4990DD"/>
    <w:rsid w:val="4D4B3976"/>
    <w:rsid w:val="4D76733C"/>
    <w:rsid w:val="4D7F3EFE"/>
    <w:rsid w:val="4D907392"/>
    <w:rsid w:val="4D9FA3F4"/>
    <w:rsid w:val="4DDB6D37"/>
    <w:rsid w:val="4DE55727"/>
    <w:rsid w:val="4DF6774E"/>
    <w:rsid w:val="4E316171"/>
    <w:rsid w:val="4E46667C"/>
    <w:rsid w:val="4E690212"/>
    <w:rsid w:val="4E8363BB"/>
    <w:rsid w:val="4EA3246F"/>
    <w:rsid w:val="4EB22713"/>
    <w:rsid w:val="4EB33338"/>
    <w:rsid w:val="4EB40742"/>
    <w:rsid w:val="4EB457BD"/>
    <w:rsid w:val="4EFF7251"/>
    <w:rsid w:val="4F222D42"/>
    <w:rsid w:val="4F331C54"/>
    <w:rsid w:val="4F49675E"/>
    <w:rsid w:val="4F4E648A"/>
    <w:rsid w:val="4F4F2935"/>
    <w:rsid w:val="4F5410E5"/>
    <w:rsid w:val="4F646E0C"/>
    <w:rsid w:val="4F675F6D"/>
    <w:rsid w:val="4F72777A"/>
    <w:rsid w:val="4F76B917"/>
    <w:rsid w:val="4F7F8D3F"/>
    <w:rsid w:val="4F8118A6"/>
    <w:rsid w:val="4F8E58CF"/>
    <w:rsid w:val="4F97786A"/>
    <w:rsid w:val="4FA965E0"/>
    <w:rsid w:val="4FB6462A"/>
    <w:rsid w:val="4FBD5C37"/>
    <w:rsid w:val="4FC719AA"/>
    <w:rsid w:val="4FD9BF64"/>
    <w:rsid w:val="4FDC567C"/>
    <w:rsid w:val="500D71ED"/>
    <w:rsid w:val="5029458F"/>
    <w:rsid w:val="503E4E84"/>
    <w:rsid w:val="50580303"/>
    <w:rsid w:val="50605AB7"/>
    <w:rsid w:val="50815C45"/>
    <w:rsid w:val="508969FB"/>
    <w:rsid w:val="50B14FA9"/>
    <w:rsid w:val="50DA3146"/>
    <w:rsid w:val="50EB43B1"/>
    <w:rsid w:val="50F219B7"/>
    <w:rsid w:val="50F5001B"/>
    <w:rsid w:val="511438C5"/>
    <w:rsid w:val="511B6903"/>
    <w:rsid w:val="514167CB"/>
    <w:rsid w:val="514E0A28"/>
    <w:rsid w:val="5152705E"/>
    <w:rsid w:val="515E4EF1"/>
    <w:rsid w:val="519A2D11"/>
    <w:rsid w:val="519D2F0D"/>
    <w:rsid w:val="51A27892"/>
    <w:rsid w:val="51B0369E"/>
    <w:rsid w:val="51BB74CC"/>
    <w:rsid w:val="51C03390"/>
    <w:rsid w:val="51D5428B"/>
    <w:rsid w:val="51D75E5C"/>
    <w:rsid w:val="51E828E6"/>
    <w:rsid w:val="52192945"/>
    <w:rsid w:val="52206678"/>
    <w:rsid w:val="52634497"/>
    <w:rsid w:val="52707792"/>
    <w:rsid w:val="529E2FC4"/>
    <w:rsid w:val="52A20901"/>
    <w:rsid w:val="52C15D21"/>
    <w:rsid w:val="52C25E7E"/>
    <w:rsid w:val="52E141EC"/>
    <w:rsid w:val="52F5BD91"/>
    <w:rsid w:val="52F95C20"/>
    <w:rsid w:val="52FF2373"/>
    <w:rsid w:val="53132A54"/>
    <w:rsid w:val="53342F91"/>
    <w:rsid w:val="536B298A"/>
    <w:rsid w:val="537764E5"/>
    <w:rsid w:val="538B6EB4"/>
    <w:rsid w:val="53B95953"/>
    <w:rsid w:val="53BB9CB5"/>
    <w:rsid w:val="53E81403"/>
    <w:rsid w:val="53EB73DF"/>
    <w:rsid w:val="53ED55E2"/>
    <w:rsid w:val="540B4436"/>
    <w:rsid w:val="54364F2F"/>
    <w:rsid w:val="543B33DD"/>
    <w:rsid w:val="54444A33"/>
    <w:rsid w:val="54612DE1"/>
    <w:rsid w:val="54621729"/>
    <w:rsid w:val="546F592C"/>
    <w:rsid w:val="547C5432"/>
    <w:rsid w:val="547FC767"/>
    <w:rsid w:val="54AEF560"/>
    <w:rsid w:val="54D75BC0"/>
    <w:rsid w:val="54EE5766"/>
    <w:rsid w:val="54F00716"/>
    <w:rsid w:val="55226222"/>
    <w:rsid w:val="552C5FF9"/>
    <w:rsid w:val="55545650"/>
    <w:rsid w:val="55592760"/>
    <w:rsid w:val="556D0A4C"/>
    <w:rsid w:val="55853555"/>
    <w:rsid w:val="55B40674"/>
    <w:rsid w:val="55B654BC"/>
    <w:rsid w:val="55C56C08"/>
    <w:rsid w:val="55F722FE"/>
    <w:rsid w:val="55FF50B5"/>
    <w:rsid w:val="56254A62"/>
    <w:rsid w:val="56784B48"/>
    <w:rsid w:val="567F7A2E"/>
    <w:rsid w:val="5684365E"/>
    <w:rsid w:val="56C3060C"/>
    <w:rsid w:val="56E996EA"/>
    <w:rsid w:val="56FFB702"/>
    <w:rsid w:val="57010F08"/>
    <w:rsid w:val="571A0AAE"/>
    <w:rsid w:val="577B6D11"/>
    <w:rsid w:val="578E76C4"/>
    <w:rsid w:val="578F1B4F"/>
    <w:rsid w:val="5796443F"/>
    <w:rsid w:val="57A25E49"/>
    <w:rsid w:val="57B6648F"/>
    <w:rsid w:val="57CE5DBB"/>
    <w:rsid w:val="57CF0AB7"/>
    <w:rsid w:val="57D1482F"/>
    <w:rsid w:val="57E97DCB"/>
    <w:rsid w:val="57F50B97"/>
    <w:rsid w:val="57F7C5B6"/>
    <w:rsid w:val="57FC09DD"/>
    <w:rsid w:val="57FD7910"/>
    <w:rsid w:val="58047BF3"/>
    <w:rsid w:val="582E554A"/>
    <w:rsid w:val="5835390E"/>
    <w:rsid w:val="58422768"/>
    <w:rsid w:val="58690161"/>
    <w:rsid w:val="587F24DD"/>
    <w:rsid w:val="58A07A42"/>
    <w:rsid w:val="58CF75FD"/>
    <w:rsid w:val="58DF7D9C"/>
    <w:rsid w:val="58E01F01"/>
    <w:rsid w:val="590F5B96"/>
    <w:rsid w:val="593F0717"/>
    <w:rsid w:val="59881496"/>
    <w:rsid w:val="59912A6E"/>
    <w:rsid w:val="59A313A8"/>
    <w:rsid w:val="59A947A5"/>
    <w:rsid w:val="59B450FA"/>
    <w:rsid w:val="59D06B31"/>
    <w:rsid w:val="59E92823"/>
    <w:rsid w:val="5A1F8045"/>
    <w:rsid w:val="5A230963"/>
    <w:rsid w:val="5A3E6910"/>
    <w:rsid w:val="5A4F5526"/>
    <w:rsid w:val="5A554ACE"/>
    <w:rsid w:val="5A6D058E"/>
    <w:rsid w:val="5A7016F5"/>
    <w:rsid w:val="5A8E3DCC"/>
    <w:rsid w:val="5AD81AB5"/>
    <w:rsid w:val="5B7F51E4"/>
    <w:rsid w:val="5B8B15E4"/>
    <w:rsid w:val="5BB21B73"/>
    <w:rsid w:val="5BCA06F9"/>
    <w:rsid w:val="5BDD4761"/>
    <w:rsid w:val="5BF3486A"/>
    <w:rsid w:val="5BF7DC7C"/>
    <w:rsid w:val="5BFF91FB"/>
    <w:rsid w:val="5C080FA7"/>
    <w:rsid w:val="5C082425"/>
    <w:rsid w:val="5C372408"/>
    <w:rsid w:val="5C3E189B"/>
    <w:rsid w:val="5C47700F"/>
    <w:rsid w:val="5C4874E2"/>
    <w:rsid w:val="5C6809DB"/>
    <w:rsid w:val="5C6D1AA8"/>
    <w:rsid w:val="5C8F1F25"/>
    <w:rsid w:val="5CAB22EE"/>
    <w:rsid w:val="5CBFDD43"/>
    <w:rsid w:val="5CC12F8F"/>
    <w:rsid w:val="5CC174C1"/>
    <w:rsid w:val="5CD21964"/>
    <w:rsid w:val="5CEB53DD"/>
    <w:rsid w:val="5CEF3B55"/>
    <w:rsid w:val="5CFA1D52"/>
    <w:rsid w:val="5D244825"/>
    <w:rsid w:val="5D704AEA"/>
    <w:rsid w:val="5D762DD1"/>
    <w:rsid w:val="5D7F68E9"/>
    <w:rsid w:val="5D856B64"/>
    <w:rsid w:val="5DA86032"/>
    <w:rsid w:val="5DAE1953"/>
    <w:rsid w:val="5DB92735"/>
    <w:rsid w:val="5DBCD66E"/>
    <w:rsid w:val="5DD010E5"/>
    <w:rsid w:val="5DD7423E"/>
    <w:rsid w:val="5DDB5F51"/>
    <w:rsid w:val="5DE7553D"/>
    <w:rsid w:val="5DED9818"/>
    <w:rsid w:val="5DFC012C"/>
    <w:rsid w:val="5E026B57"/>
    <w:rsid w:val="5E281679"/>
    <w:rsid w:val="5E391380"/>
    <w:rsid w:val="5E4F4700"/>
    <w:rsid w:val="5E510478"/>
    <w:rsid w:val="5E57057F"/>
    <w:rsid w:val="5E574CC9"/>
    <w:rsid w:val="5E6B4E5F"/>
    <w:rsid w:val="5E6C7BC2"/>
    <w:rsid w:val="5E7F7B97"/>
    <w:rsid w:val="5E7FE0A4"/>
    <w:rsid w:val="5EBF0178"/>
    <w:rsid w:val="5EC475F5"/>
    <w:rsid w:val="5EDC0FAC"/>
    <w:rsid w:val="5EE415F4"/>
    <w:rsid w:val="5EF9AF8C"/>
    <w:rsid w:val="5EFB1461"/>
    <w:rsid w:val="5EFF6126"/>
    <w:rsid w:val="5F2A6057"/>
    <w:rsid w:val="5F3B1CB3"/>
    <w:rsid w:val="5F607852"/>
    <w:rsid w:val="5F7268F8"/>
    <w:rsid w:val="5F745745"/>
    <w:rsid w:val="5F7F0DF5"/>
    <w:rsid w:val="5FA6034F"/>
    <w:rsid w:val="5FBB3994"/>
    <w:rsid w:val="5FBBEC6E"/>
    <w:rsid w:val="5FCFE1E7"/>
    <w:rsid w:val="5FD335CF"/>
    <w:rsid w:val="5FD91D79"/>
    <w:rsid w:val="5FDA3B48"/>
    <w:rsid w:val="5FDF7178"/>
    <w:rsid w:val="5FDF7FC3"/>
    <w:rsid w:val="5FE7E0A8"/>
    <w:rsid w:val="5FE9378E"/>
    <w:rsid w:val="5FEA33AA"/>
    <w:rsid w:val="5FEDEAD5"/>
    <w:rsid w:val="5FEF73FE"/>
    <w:rsid w:val="5FF27689"/>
    <w:rsid w:val="5FF387F9"/>
    <w:rsid w:val="5FF52F2F"/>
    <w:rsid w:val="5FF9E51F"/>
    <w:rsid w:val="5FFCB9EB"/>
    <w:rsid w:val="5FFDF995"/>
    <w:rsid w:val="5FFF12D0"/>
    <w:rsid w:val="5FFF89EA"/>
    <w:rsid w:val="5FFFA450"/>
    <w:rsid w:val="5FFFBD74"/>
    <w:rsid w:val="5FFFBEE3"/>
    <w:rsid w:val="5FFFD48B"/>
    <w:rsid w:val="600357A2"/>
    <w:rsid w:val="6010681D"/>
    <w:rsid w:val="60253BFC"/>
    <w:rsid w:val="603051A0"/>
    <w:rsid w:val="60324361"/>
    <w:rsid w:val="60404F33"/>
    <w:rsid w:val="60C363E5"/>
    <w:rsid w:val="60D40A4D"/>
    <w:rsid w:val="60DC05AB"/>
    <w:rsid w:val="60DC2F78"/>
    <w:rsid w:val="60E05979"/>
    <w:rsid w:val="60F26CCE"/>
    <w:rsid w:val="6101759C"/>
    <w:rsid w:val="61151C31"/>
    <w:rsid w:val="61260661"/>
    <w:rsid w:val="613815C4"/>
    <w:rsid w:val="61497B2C"/>
    <w:rsid w:val="617766E1"/>
    <w:rsid w:val="618D5DF4"/>
    <w:rsid w:val="61981646"/>
    <w:rsid w:val="619F14FA"/>
    <w:rsid w:val="61AC7EF2"/>
    <w:rsid w:val="621C322D"/>
    <w:rsid w:val="622D4942"/>
    <w:rsid w:val="622EE061"/>
    <w:rsid w:val="62556303"/>
    <w:rsid w:val="62703EA6"/>
    <w:rsid w:val="627C1C20"/>
    <w:rsid w:val="629B6165"/>
    <w:rsid w:val="62CE278D"/>
    <w:rsid w:val="62D652AA"/>
    <w:rsid w:val="62E06D1C"/>
    <w:rsid w:val="62F91D31"/>
    <w:rsid w:val="63031F08"/>
    <w:rsid w:val="63133F4E"/>
    <w:rsid w:val="631A3E21"/>
    <w:rsid w:val="63230CAE"/>
    <w:rsid w:val="633402EF"/>
    <w:rsid w:val="63387E58"/>
    <w:rsid w:val="63493E13"/>
    <w:rsid w:val="63690012"/>
    <w:rsid w:val="63A32DCD"/>
    <w:rsid w:val="63AC5518"/>
    <w:rsid w:val="63B3280B"/>
    <w:rsid w:val="63B90A9D"/>
    <w:rsid w:val="63D8784B"/>
    <w:rsid w:val="63E65DE0"/>
    <w:rsid w:val="63EDB20B"/>
    <w:rsid w:val="63F0428F"/>
    <w:rsid w:val="63FC7559"/>
    <w:rsid w:val="64014A1E"/>
    <w:rsid w:val="6413595D"/>
    <w:rsid w:val="642C2480"/>
    <w:rsid w:val="64535748"/>
    <w:rsid w:val="64654C7D"/>
    <w:rsid w:val="647806B2"/>
    <w:rsid w:val="64800B74"/>
    <w:rsid w:val="64B81251"/>
    <w:rsid w:val="64CA4AE0"/>
    <w:rsid w:val="64FB113D"/>
    <w:rsid w:val="651A7AB7"/>
    <w:rsid w:val="651E0C49"/>
    <w:rsid w:val="65271BA9"/>
    <w:rsid w:val="65385EEE"/>
    <w:rsid w:val="65662279"/>
    <w:rsid w:val="65691D39"/>
    <w:rsid w:val="656C5B97"/>
    <w:rsid w:val="65884AAF"/>
    <w:rsid w:val="65984BDE"/>
    <w:rsid w:val="659F468D"/>
    <w:rsid w:val="6653405D"/>
    <w:rsid w:val="66BB0B84"/>
    <w:rsid w:val="66F81549"/>
    <w:rsid w:val="66F81D44"/>
    <w:rsid w:val="66FD1B7F"/>
    <w:rsid w:val="670B621F"/>
    <w:rsid w:val="670F2C7E"/>
    <w:rsid w:val="671B710A"/>
    <w:rsid w:val="67310599"/>
    <w:rsid w:val="674CFC12"/>
    <w:rsid w:val="67597995"/>
    <w:rsid w:val="67792D48"/>
    <w:rsid w:val="6779C5DD"/>
    <w:rsid w:val="677D9958"/>
    <w:rsid w:val="678746F4"/>
    <w:rsid w:val="67A45ABC"/>
    <w:rsid w:val="67B203D1"/>
    <w:rsid w:val="67B78A56"/>
    <w:rsid w:val="67BF1D1F"/>
    <w:rsid w:val="67BFAB73"/>
    <w:rsid w:val="67C91724"/>
    <w:rsid w:val="67E17A1E"/>
    <w:rsid w:val="67FDD28C"/>
    <w:rsid w:val="684564BE"/>
    <w:rsid w:val="684E77D6"/>
    <w:rsid w:val="688345E5"/>
    <w:rsid w:val="68CA50AF"/>
    <w:rsid w:val="68DE60AD"/>
    <w:rsid w:val="68F8169B"/>
    <w:rsid w:val="68FF62A8"/>
    <w:rsid w:val="6907736B"/>
    <w:rsid w:val="690D2242"/>
    <w:rsid w:val="693130A1"/>
    <w:rsid w:val="699360AD"/>
    <w:rsid w:val="69A53FC8"/>
    <w:rsid w:val="69B45ADF"/>
    <w:rsid w:val="69BC35B1"/>
    <w:rsid w:val="69FB34EB"/>
    <w:rsid w:val="69FE9FC8"/>
    <w:rsid w:val="6A070584"/>
    <w:rsid w:val="6A166418"/>
    <w:rsid w:val="6A174A87"/>
    <w:rsid w:val="6A3F13E7"/>
    <w:rsid w:val="6A5225D6"/>
    <w:rsid w:val="6A615DFE"/>
    <w:rsid w:val="6A7259FE"/>
    <w:rsid w:val="6A7E25F5"/>
    <w:rsid w:val="6A8355EC"/>
    <w:rsid w:val="6AEF704E"/>
    <w:rsid w:val="6AF328EE"/>
    <w:rsid w:val="6AFE2430"/>
    <w:rsid w:val="6AFF792D"/>
    <w:rsid w:val="6B17501F"/>
    <w:rsid w:val="6B1F1887"/>
    <w:rsid w:val="6B2018FE"/>
    <w:rsid w:val="6B2659A0"/>
    <w:rsid w:val="6B3F1ECA"/>
    <w:rsid w:val="6B5D4E67"/>
    <w:rsid w:val="6B5E41D4"/>
    <w:rsid w:val="6B5E5865"/>
    <w:rsid w:val="6B6D2669"/>
    <w:rsid w:val="6B98452C"/>
    <w:rsid w:val="6B9B0F84"/>
    <w:rsid w:val="6BB84B12"/>
    <w:rsid w:val="6BBD726F"/>
    <w:rsid w:val="6BCF06BC"/>
    <w:rsid w:val="6BD7933E"/>
    <w:rsid w:val="6BE22653"/>
    <w:rsid w:val="6BFE7222"/>
    <w:rsid w:val="6C281CFE"/>
    <w:rsid w:val="6C4526AF"/>
    <w:rsid w:val="6C4C2348"/>
    <w:rsid w:val="6C5850C7"/>
    <w:rsid w:val="6C967DC3"/>
    <w:rsid w:val="6C9E3355"/>
    <w:rsid w:val="6CA125CA"/>
    <w:rsid w:val="6CBD16C1"/>
    <w:rsid w:val="6CC35394"/>
    <w:rsid w:val="6CC526BA"/>
    <w:rsid w:val="6CC7559D"/>
    <w:rsid w:val="6CD7450B"/>
    <w:rsid w:val="6CDC6F8F"/>
    <w:rsid w:val="6D1575F4"/>
    <w:rsid w:val="6D512242"/>
    <w:rsid w:val="6D780187"/>
    <w:rsid w:val="6D7FBD05"/>
    <w:rsid w:val="6DAA75C3"/>
    <w:rsid w:val="6DBE53FE"/>
    <w:rsid w:val="6DE74955"/>
    <w:rsid w:val="6DED96E6"/>
    <w:rsid w:val="6DF143C8"/>
    <w:rsid w:val="6DF90FF9"/>
    <w:rsid w:val="6DFB6DFB"/>
    <w:rsid w:val="6E11552E"/>
    <w:rsid w:val="6E192B34"/>
    <w:rsid w:val="6E1D0376"/>
    <w:rsid w:val="6E3269C2"/>
    <w:rsid w:val="6E5A6C22"/>
    <w:rsid w:val="6E6C6DB3"/>
    <w:rsid w:val="6E86249D"/>
    <w:rsid w:val="6E8E2F41"/>
    <w:rsid w:val="6E9176CD"/>
    <w:rsid w:val="6E937359"/>
    <w:rsid w:val="6E9766E8"/>
    <w:rsid w:val="6EB81E4D"/>
    <w:rsid w:val="6EBD1212"/>
    <w:rsid w:val="6EC95557"/>
    <w:rsid w:val="6EF30BEF"/>
    <w:rsid w:val="6EFAB7E5"/>
    <w:rsid w:val="6EFC6272"/>
    <w:rsid w:val="6F014C9F"/>
    <w:rsid w:val="6F144D07"/>
    <w:rsid w:val="6F2B6A0F"/>
    <w:rsid w:val="6F3B2F04"/>
    <w:rsid w:val="6F3FB3EF"/>
    <w:rsid w:val="6F55729A"/>
    <w:rsid w:val="6F5763C0"/>
    <w:rsid w:val="6F685621"/>
    <w:rsid w:val="6F6F88A6"/>
    <w:rsid w:val="6F7F5689"/>
    <w:rsid w:val="6F7FB8A9"/>
    <w:rsid w:val="6F9907C8"/>
    <w:rsid w:val="6FB912E0"/>
    <w:rsid w:val="6FC767EC"/>
    <w:rsid w:val="6FCB9FCC"/>
    <w:rsid w:val="6FD76303"/>
    <w:rsid w:val="6FDC326B"/>
    <w:rsid w:val="6FDC7273"/>
    <w:rsid w:val="6FDDFE49"/>
    <w:rsid w:val="6FDF2B52"/>
    <w:rsid w:val="6FDF2CBD"/>
    <w:rsid w:val="6FE933ED"/>
    <w:rsid w:val="6FED1C10"/>
    <w:rsid w:val="6FED4B62"/>
    <w:rsid w:val="6FF38DC4"/>
    <w:rsid w:val="6FF73D51"/>
    <w:rsid w:val="6FF7F682"/>
    <w:rsid w:val="6FFB9F15"/>
    <w:rsid w:val="6FFBDFDD"/>
    <w:rsid w:val="6FFBF4A3"/>
    <w:rsid w:val="6FFDB4A4"/>
    <w:rsid w:val="6FFDDED8"/>
    <w:rsid w:val="6FFE3DB8"/>
    <w:rsid w:val="6FFF80AB"/>
    <w:rsid w:val="6FFF9182"/>
    <w:rsid w:val="7028758D"/>
    <w:rsid w:val="70355FEC"/>
    <w:rsid w:val="704445AF"/>
    <w:rsid w:val="7053741C"/>
    <w:rsid w:val="705D0EFE"/>
    <w:rsid w:val="7063448F"/>
    <w:rsid w:val="70892B69"/>
    <w:rsid w:val="708F5627"/>
    <w:rsid w:val="70B361A9"/>
    <w:rsid w:val="70D23504"/>
    <w:rsid w:val="70D4194A"/>
    <w:rsid w:val="70DF1857"/>
    <w:rsid w:val="70E4517B"/>
    <w:rsid w:val="70E8386B"/>
    <w:rsid w:val="71A14E1B"/>
    <w:rsid w:val="71A37405"/>
    <w:rsid w:val="71B45245"/>
    <w:rsid w:val="71CF3DD8"/>
    <w:rsid w:val="71ED0CF4"/>
    <w:rsid w:val="71F69005"/>
    <w:rsid w:val="71FC1C26"/>
    <w:rsid w:val="72056069"/>
    <w:rsid w:val="72086C48"/>
    <w:rsid w:val="72170B15"/>
    <w:rsid w:val="721C0AE8"/>
    <w:rsid w:val="724E6D50"/>
    <w:rsid w:val="725105EF"/>
    <w:rsid w:val="72761215"/>
    <w:rsid w:val="727E6F0A"/>
    <w:rsid w:val="728C1627"/>
    <w:rsid w:val="728C4044"/>
    <w:rsid w:val="72A526E9"/>
    <w:rsid w:val="72CE1DCA"/>
    <w:rsid w:val="72CF9ABB"/>
    <w:rsid w:val="72FA84C8"/>
    <w:rsid w:val="72FB1F8D"/>
    <w:rsid w:val="72FEB8E9"/>
    <w:rsid w:val="73147A35"/>
    <w:rsid w:val="731A4616"/>
    <w:rsid w:val="7337A53D"/>
    <w:rsid w:val="734B14E2"/>
    <w:rsid w:val="735C01EE"/>
    <w:rsid w:val="739E6DB3"/>
    <w:rsid w:val="73CE642D"/>
    <w:rsid w:val="73D50144"/>
    <w:rsid w:val="73DE4201"/>
    <w:rsid w:val="73E65A38"/>
    <w:rsid w:val="73ED0728"/>
    <w:rsid w:val="742A7349"/>
    <w:rsid w:val="742B4690"/>
    <w:rsid w:val="74375DA0"/>
    <w:rsid w:val="745F2C21"/>
    <w:rsid w:val="746E36DA"/>
    <w:rsid w:val="748B42AD"/>
    <w:rsid w:val="74A76BEC"/>
    <w:rsid w:val="74AD2773"/>
    <w:rsid w:val="74AE025B"/>
    <w:rsid w:val="74E03FDF"/>
    <w:rsid w:val="74F35F93"/>
    <w:rsid w:val="7511154E"/>
    <w:rsid w:val="75444942"/>
    <w:rsid w:val="754C32EF"/>
    <w:rsid w:val="7567563D"/>
    <w:rsid w:val="756D3B0E"/>
    <w:rsid w:val="75712237"/>
    <w:rsid w:val="757AF97B"/>
    <w:rsid w:val="75815EEC"/>
    <w:rsid w:val="759965C5"/>
    <w:rsid w:val="75AD8DDB"/>
    <w:rsid w:val="75BBD2ED"/>
    <w:rsid w:val="75BD2503"/>
    <w:rsid w:val="75C767FD"/>
    <w:rsid w:val="75DE6CAC"/>
    <w:rsid w:val="75F962DD"/>
    <w:rsid w:val="75FEDB14"/>
    <w:rsid w:val="760B6D06"/>
    <w:rsid w:val="762C5820"/>
    <w:rsid w:val="762C5AC0"/>
    <w:rsid w:val="763801AD"/>
    <w:rsid w:val="763C15B6"/>
    <w:rsid w:val="7662760B"/>
    <w:rsid w:val="76665F63"/>
    <w:rsid w:val="7667F54F"/>
    <w:rsid w:val="76837A98"/>
    <w:rsid w:val="76856AB9"/>
    <w:rsid w:val="768A7712"/>
    <w:rsid w:val="76AF1D88"/>
    <w:rsid w:val="76B516E6"/>
    <w:rsid w:val="76B7FA66"/>
    <w:rsid w:val="76DB2892"/>
    <w:rsid w:val="76EE56AD"/>
    <w:rsid w:val="76F3FAA5"/>
    <w:rsid w:val="76F692F5"/>
    <w:rsid w:val="76FC356F"/>
    <w:rsid w:val="76FF41B6"/>
    <w:rsid w:val="770F11B3"/>
    <w:rsid w:val="77234217"/>
    <w:rsid w:val="77291B3A"/>
    <w:rsid w:val="772A78D6"/>
    <w:rsid w:val="773BEF11"/>
    <w:rsid w:val="773EF2E3"/>
    <w:rsid w:val="775D47F9"/>
    <w:rsid w:val="776524A3"/>
    <w:rsid w:val="7779D6FB"/>
    <w:rsid w:val="777E6960"/>
    <w:rsid w:val="777F0A26"/>
    <w:rsid w:val="778766E6"/>
    <w:rsid w:val="778C3E77"/>
    <w:rsid w:val="779EA804"/>
    <w:rsid w:val="77B051E2"/>
    <w:rsid w:val="77B648B0"/>
    <w:rsid w:val="77B7F8E7"/>
    <w:rsid w:val="77BC339F"/>
    <w:rsid w:val="77CE45DA"/>
    <w:rsid w:val="77D37F01"/>
    <w:rsid w:val="77E75337"/>
    <w:rsid w:val="77EE8B5C"/>
    <w:rsid w:val="77EEB8FC"/>
    <w:rsid w:val="77F19AD9"/>
    <w:rsid w:val="77FED073"/>
    <w:rsid w:val="7824317F"/>
    <w:rsid w:val="783FA238"/>
    <w:rsid w:val="78533609"/>
    <w:rsid w:val="7859644F"/>
    <w:rsid w:val="785C7CED"/>
    <w:rsid w:val="785F6863"/>
    <w:rsid w:val="78657A8E"/>
    <w:rsid w:val="78B24E6F"/>
    <w:rsid w:val="78DB6E64"/>
    <w:rsid w:val="78EF290F"/>
    <w:rsid w:val="78F63C9E"/>
    <w:rsid w:val="78F6D0B7"/>
    <w:rsid w:val="78FEC8E0"/>
    <w:rsid w:val="79224F55"/>
    <w:rsid w:val="79497C31"/>
    <w:rsid w:val="795B5DFB"/>
    <w:rsid w:val="795D7A6B"/>
    <w:rsid w:val="79612FC9"/>
    <w:rsid w:val="79714F67"/>
    <w:rsid w:val="797BC8DC"/>
    <w:rsid w:val="799204C3"/>
    <w:rsid w:val="799341D6"/>
    <w:rsid w:val="799D27CA"/>
    <w:rsid w:val="79AD4737"/>
    <w:rsid w:val="79AF74A6"/>
    <w:rsid w:val="79D55FA9"/>
    <w:rsid w:val="79FAE0B8"/>
    <w:rsid w:val="7A0D4354"/>
    <w:rsid w:val="7A2E1215"/>
    <w:rsid w:val="7A3976FD"/>
    <w:rsid w:val="7A4D18C9"/>
    <w:rsid w:val="7A5A1E97"/>
    <w:rsid w:val="7A5B75CF"/>
    <w:rsid w:val="7A5C1746"/>
    <w:rsid w:val="7A683053"/>
    <w:rsid w:val="7A694FD0"/>
    <w:rsid w:val="7A6FF339"/>
    <w:rsid w:val="7A752544"/>
    <w:rsid w:val="7A7AD3F8"/>
    <w:rsid w:val="7A7FF174"/>
    <w:rsid w:val="7A8F346E"/>
    <w:rsid w:val="7A8FBCFC"/>
    <w:rsid w:val="7A962B96"/>
    <w:rsid w:val="7AAFFCC2"/>
    <w:rsid w:val="7AC22455"/>
    <w:rsid w:val="7ACEB846"/>
    <w:rsid w:val="7AEB268D"/>
    <w:rsid w:val="7AEE7FED"/>
    <w:rsid w:val="7AEF3BD0"/>
    <w:rsid w:val="7AF120B9"/>
    <w:rsid w:val="7AF9A342"/>
    <w:rsid w:val="7AFFE833"/>
    <w:rsid w:val="7B104AFF"/>
    <w:rsid w:val="7B1DDEB0"/>
    <w:rsid w:val="7B334ED0"/>
    <w:rsid w:val="7B3E36DA"/>
    <w:rsid w:val="7B51340D"/>
    <w:rsid w:val="7B593C26"/>
    <w:rsid w:val="7B6522AB"/>
    <w:rsid w:val="7B6954DB"/>
    <w:rsid w:val="7B786FA3"/>
    <w:rsid w:val="7B7DD32D"/>
    <w:rsid w:val="7B7E530C"/>
    <w:rsid w:val="7BAA658D"/>
    <w:rsid w:val="7BCE5A52"/>
    <w:rsid w:val="7BCF5A22"/>
    <w:rsid w:val="7BD2102B"/>
    <w:rsid w:val="7BD53E75"/>
    <w:rsid w:val="7BDD5908"/>
    <w:rsid w:val="7BDEFDF6"/>
    <w:rsid w:val="7BDF40AB"/>
    <w:rsid w:val="7BE1E10D"/>
    <w:rsid w:val="7BE83E17"/>
    <w:rsid w:val="7BEE1CD9"/>
    <w:rsid w:val="7BEEE36E"/>
    <w:rsid w:val="7BF4327A"/>
    <w:rsid w:val="7BFBB4E0"/>
    <w:rsid w:val="7BFD27CB"/>
    <w:rsid w:val="7BFD8324"/>
    <w:rsid w:val="7BFED063"/>
    <w:rsid w:val="7BFFE5B1"/>
    <w:rsid w:val="7BFFF663"/>
    <w:rsid w:val="7C0148BF"/>
    <w:rsid w:val="7C2D0AC8"/>
    <w:rsid w:val="7C530CF6"/>
    <w:rsid w:val="7C5947FA"/>
    <w:rsid w:val="7C705B15"/>
    <w:rsid w:val="7C7F1907"/>
    <w:rsid w:val="7C8415C1"/>
    <w:rsid w:val="7C8C4B5A"/>
    <w:rsid w:val="7C9B1AC8"/>
    <w:rsid w:val="7CAB5B76"/>
    <w:rsid w:val="7CBB2B3C"/>
    <w:rsid w:val="7CBB67C8"/>
    <w:rsid w:val="7CBD09B1"/>
    <w:rsid w:val="7CCA3D48"/>
    <w:rsid w:val="7CEE62EC"/>
    <w:rsid w:val="7CF57D1D"/>
    <w:rsid w:val="7CF6DE89"/>
    <w:rsid w:val="7CFE433D"/>
    <w:rsid w:val="7D0AAB70"/>
    <w:rsid w:val="7D1C0762"/>
    <w:rsid w:val="7D26243E"/>
    <w:rsid w:val="7D3C3E94"/>
    <w:rsid w:val="7D4A280A"/>
    <w:rsid w:val="7D6B1F1A"/>
    <w:rsid w:val="7D7A3D02"/>
    <w:rsid w:val="7D7B4FE1"/>
    <w:rsid w:val="7D7F24B4"/>
    <w:rsid w:val="7D8E034F"/>
    <w:rsid w:val="7D9B956E"/>
    <w:rsid w:val="7D9E0BB3"/>
    <w:rsid w:val="7DABB87A"/>
    <w:rsid w:val="7DB5EC61"/>
    <w:rsid w:val="7DC1DE86"/>
    <w:rsid w:val="7DCDD0FC"/>
    <w:rsid w:val="7DDE4E29"/>
    <w:rsid w:val="7DDF0123"/>
    <w:rsid w:val="7DDF2CC8"/>
    <w:rsid w:val="7DE7D5D0"/>
    <w:rsid w:val="7DE93DD1"/>
    <w:rsid w:val="7DEB9313"/>
    <w:rsid w:val="7DEE4682"/>
    <w:rsid w:val="7DEFC00C"/>
    <w:rsid w:val="7DF66193"/>
    <w:rsid w:val="7DFB228F"/>
    <w:rsid w:val="7DFD4775"/>
    <w:rsid w:val="7DFD9EF5"/>
    <w:rsid w:val="7DFEA7E0"/>
    <w:rsid w:val="7DFF5B23"/>
    <w:rsid w:val="7DFFE401"/>
    <w:rsid w:val="7E0A42BC"/>
    <w:rsid w:val="7E0B1F99"/>
    <w:rsid w:val="7E272492"/>
    <w:rsid w:val="7E6638D9"/>
    <w:rsid w:val="7E6B28C4"/>
    <w:rsid w:val="7E6F20AC"/>
    <w:rsid w:val="7E778B91"/>
    <w:rsid w:val="7EB75FF1"/>
    <w:rsid w:val="7EBF989E"/>
    <w:rsid w:val="7EBFBAF2"/>
    <w:rsid w:val="7EDB26EC"/>
    <w:rsid w:val="7EDB2EF7"/>
    <w:rsid w:val="7EDB399D"/>
    <w:rsid w:val="7EDB69FB"/>
    <w:rsid w:val="7EF978F4"/>
    <w:rsid w:val="7EFAD37F"/>
    <w:rsid w:val="7EFB607B"/>
    <w:rsid w:val="7EFBC511"/>
    <w:rsid w:val="7EFBDDA7"/>
    <w:rsid w:val="7EFFD72D"/>
    <w:rsid w:val="7F0B7D77"/>
    <w:rsid w:val="7F0C7BD0"/>
    <w:rsid w:val="7F1716D0"/>
    <w:rsid w:val="7F21759B"/>
    <w:rsid w:val="7F230A4B"/>
    <w:rsid w:val="7F2C1989"/>
    <w:rsid w:val="7F300208"/>
    <w:rsid w:val="7F36ADB7"/>
    <w:rsid w:val="7F3E243B"/>
    <w:rsid w:val="7F476E30"/>
    <w:rsid w:val="7F5825BB"/>
    <w:rsid w:val="7F662834"/>
    <w:rsid w:val="7F67E583"/>
    <w:rsid w:val="7F6B4DE8"/>
    <w:rsid w:val="7F6F1F8A"/>
    <w:rsid w:val="7F6FCFFA"/>
    <w:rsid w:val="7F75C0CF"/>
    <w:rsid w:val="7F793660"/>
    <w:rsid w:val="7F7BD219"/>
    <w:rsid w:val="7F7BDBFF"/>
    <w:rsid w:val="7F7E91C5"/>
    <w:rsid w:val="7F7FA795"/>
    <w:rsid w:val="7F7FE062"/>
    <w:rsid w:val="7F94D1CC"/>
    <w:rsid w:val="7F958C44"/>
    <w:rsid w:val="7F961511"/>
    <w:rsid w:val="7F9E3362"/>
    <w:rsid w:val="7F9F03CD"/>
    <w:rsid w:val="7F9F8EFD"/>
    <w:rsid w:val="7FA91A6A"/>
    <w:rsid w:val="7FAF27CA"/>
    <w:rsid w:val="7FB52358"/>
    <w:rsid w:val="7FB60619"/>
    <w:rsid w:val="7FB78D47"/>
    <w:rsid w:val="7FB7B287"/>
    <w:rsid w:val="7FB8090F"/>
    <w:rsid w:val="7FBB2767"/>
    <w:rsid w:val="7FBE8B9E"/>
    <w:rsid w:val="7FBF0517"/>
    <w:rsid w:val="7FBFEDAF"/>
    <w:rsid w:val="7FC7A9F6"/>
    <w:rsid w:val="7FCE186D"/>
    <w:rsid w:val="7FCF99F0"/>
    <w:rsid w:val="7FD70274"/>
    <w:rsid w:val="7FD77F79"/>
    <w:rsid w:val="7FDA00C0"/>
    <w:rsid w:val="7FDDCFD0"/>
    <w:rsid w:val="7FDE36F2"/>
    <w:rsid w:val="7FDEFA2A"/>
    <w:rsid w:val="7FDF5630"/>
    <w:rsid w:val="7FDF57B4"/>
    <w:rsid w:val="7FDF73AB"/>
    <w:rsid w:val="7FDFC185"/>
    <w:rsid w:val="7FDFE2A7"/>
    <w:rsid w:val="7FE174B3"/>
    <w:rsid w:val="7FE5CC0C"/>
    <w:rsid w:val="7FE7CC57"/>
    <w:rsid w:val="7FEF65A5"/>
    <w:rsid w:val="7FEF850A"/>
    <w:rsid w:val="7FEF93F8"/>
    <w:rsid w:val="7FEFE946"/>
    <w:rsid w:val="7FF67BB0"/>
    <w:rsid w:val="7FF70D4C"/>
    <w:rsid w:val="7FF76D15"/>
    <w:rsid w:val="7FF9EBF1"/>
    <w:rsid w:val="7FFB8BB1"/>
    <w:rsid w:val="7FFBA75B"/>
    <w:rsid w:val="7FFBE5B3"/>
    <w:rsid w:val="7FFCF8E7"/>
    <w:rsid w:val="7FFD7E10"/>
    <w:rsid w:val="7FFE2C28"/>
    <w:rsid w:val="7FFE4E65"/>
    <w:rsid w:val="7FFF1736"/>
    <w:rsid w:val="7FFF576E"/>
    <w:rsid w:val="7FFF98E3"/>
    <w:rsid w:val="7FFF9BC8"/>
    <w:rsid w:val="7FFFDFFF"/>
    <w:rsid w:val="86C37123"/>
    <w:rsid w:val="87EBD548"/>
    <w:rsid w:val="87FF20AE"/>
    <w:rsid w:val="89DE1492"/>
    <w:rsid w:val="8C9A190C"/>
    <w:rsid w:val="8CE72E0E"/>
    <w:rsid w:val="8F5F734C"/>
    <w:rsid w:val="8FFF51A7"/>
    <w:rsid w:val="973E3CCD"/>
    <w:rsid w:val="97E74E45"/>
    <w:rsid w:val="97EFC301"/>
    <w:rsid w:val="9AEFB497"/>
    <w:rsid w:val="9B7FC139"/>
    <w:rsid w:val="9BDF88E8"/>
    <w:rsid w:val="9CEDC24A"/>
    <w:rsid w:val="9CFB8F30"/>
    <w:rsid w:val="9D0C2DD7"/>
    <w:rsid w:val="9DBFE895"/>
    <w:rsid w:val="9DCFDB45"/>
    <w:rsid w:val="9E676A7F"/>
    <w:rsid w:val="9E7E7553"/>
    <w:rsid w:val="9E8E0C1E"/>
    <w:rsid w:val="9EAB66D9"/>
    <w:rsid w:val="9EC38E88"/>
    <w:rsid w:val="9EC73C00"/>
    <w:rsid w:val="9F1DD5B8"/>
    <w:rsid w:val="9F9F8109"/>
    <w:rsid w:val="9FDA336E"/>
    <w:rsid w:val="A03F89DF"/>
    <w:rsid w:val="A35D4688"/>
    <w:rsid w:val="A35D541D"/>
    <w:rsid w:val="A399CB6E"/>
    <w:rsid w:val="A3E76202"/>
    <w:rsid w:val="A3FB5EFF"/>
    <w:rsid w:val="A59F2917"/>
    <w:rsid w:val="A7BCF182"/>
    <w:rsid w:val="A7DF74B3"/>
    <w:rsid w:val="A7E64C44"/>
    <w:rsid w:val="A7ED5963"/>
    <w:rsid w:val="A9363DC1"/>
    <w:rsid w:val="A9FFA37E"/>
    <w:rsid w:val="ACC9BA17"/>
    <w:rsid w:val="ADAF77C1"/>
    <w:rsid w:val="ADD79EA2"/>
    <w:rsid w:val="AE95242D"/>
    <w:rsid w:val="AEEE1B90"/>
    <w:rsid w:val="AF6F7FD5"/>
    <w:rsid w:val="AF7F9BB7"/>
    <w:rsid w:val="AFDE8593"/>
    <w:rsid w:val="AFDFF22A"/>
    <w:rsid w:val="AFEB8C57"/>
    <w:rsid w:val="AFEEA7D8"/>
    <w:rsid w:val="AFFF966C"/>
    <w:rsid w:val="B0F99D08"/>
    <w:rsid w:val="B1BE26ED"/>
    <w:rsid w:val="B1DFFF1C"/>
    <w:rsid w:val="B2955C25"/>
    <w:rsid w:val="B2FFCFF7"/>
    <w:rsid w:val="B4E1F41D"/>
    <w:rsid w:val="B57F3552"/>
    <w:rsid w:val="B57F97A8"/>
    <w:rsid w:val="B67FEDB3"/>
    <w:rsid w:val="B71C968A"/>
    <w:rsid w:val="B76BC02C"/>
    <w:rsid w:val="B77AFF1F"/>
    <w:rsid w:val="B7B9FB26"/>
    <w:rsid w:val="B7BD4DD4"/>
    <w:rsid w:val="B7EF3D7C"/>
    <w:rsid w:val="B8FF93C1"/>
    <w:rsid w:val="B93FA706"/>
    <w:rsid w:val="B9C4E55B"/>
    <w:rsid w:val="BA37421A"/>
    <w:rsid w:val="BA9F3FB5"/>
    <w:rsid w:val="BAB4FA35"/>
    <w:rsid w:val="BABDC05F"/>
    <w:rsid w:val="BB756D52"/>
    <w:rsid w:val="BBCF9D9A"/>
    <w:rsid w:val="BBF6D17D"/>
    <w:rsid w:val="BBF965C6"/>
    <w:rsid w:val="BBFF25A6"/>
    <w:rsid w:val="BBFF498E"/>
    <w:rsid w:val="BC6D2D1C"/>
    <w:rsid w:val="BD5F1C60"/>
    <w:rsid w:val="BDBA9B3A"/>
    <w:rsid w:val="BDBF2BB9"/>
    <w:rsid w:val="BDEB0380"/>
    <w:rsid w:val="BE3F0AF6"/>
    <w:rsid w:val="BE9680BA"/>
    <w:rsid w:val="BEBB5803"/>
    <w:rsid w:val="BED9A35B"/>
    <w:rsid w:val="BEFE0233"/>
    <w:rsid w:val="BEFF3950"/>
    <w:rsid w:val="BEFFFDD1"/>
    <w:rsid w:val="BF5BB1C7"/>
    <w:rsid w:val="BF5F37E1"/>
    <w:rsid w:val="BF5F8389"/>
    <w:rsid w:val="BF9FD65A"/>
    <w:rsid w:val="BFB58203"/>
    <w:rsid w:val="BFBF75BC"/>
    <w:rsid w:val="BFCB5FB9"/>
    <w:rsid w:val="BFD32D5A"/>
    <w:rsid w:val="BFD70513"/>
    <w:rsid w:val="BFD8E897"/>
    <w:rsid w:val="BFDF9772"/>
    <w:rsid w:val="BFDFE344"/>
    <w:rsid w:val="BFEA49C5"/>
    <w:rsid w:val="BFEFB29E"/>
    <w:rsid w:val="BFF734ED"/>
    <w:rsid w:val="BFF7933D"/>
    <w:rsid w:val="BFF7E116"/>
    <w:rsid w:val="BFFB7CED"/>
    <w:rsid w:val="BFFE494E"/>
    <w:rsid w:val="BFFF171E"/>
    <w:rsid w:val="BFFFB380"/>
    <w:rsid w:val="C7DE2DB0"/>
    <w:rsid w:val="C9F74A35"/>
    <w:rsid w:val="CB4FEDE2"/>
    <w:rsid w:val="CB6E2A76"/>
    <w:rsid w:val="CCBF0857"/>
    <w:rsid w:val="CDFD6F27"/>
    <w:rsid w:val="CE3EF765"/>
    <w:rsid w:val="CE5C1B1C"/>
    <w:rsid w:val="CEB24E21"/>
    <w:rsid w:val="CFAFB571"/>
    <w:rsid w:val="CFBFF33B"/>
    <w:rsid w:val="CFF75C19"/>
    <w:rsid w:val="CFFB0E76"/>
    <w:rsid w:val="D2FF0E30"/>
    <w:rsid w:val="D3FF8C0D"/>
    <w:rsid w:val="D7F6691F"/>
    <w:rsid w:val="D7FF04ED"/>
    <w:rsid w:val="D7FF548C"/>
    <w:rsid w:val="D7FF704F"/>
    <w:rsid w:val="D7FFDBE5"/>
    <w:rsid w:val="D94F2083"/>
    <w:rsid w:val="D9AD3D0A"/>
    <w:rsid w:val="D9D33924"/>
    <w:rsid w:val="DACE9F17"/>
    <w:rsid w:val="DB19E35F"/>
    <w:rsid w:val="DB5E21C0"/>
    <w:rsid w:val="DB7F052D"/>
    <w:rsid w:val="DB961D1E"/>
    <w:rsid w:val="DBA6E0A1"/>
    <w:rsid w:val="DBB9BC9C"/>
    <w:rsid w:val="DBF4324B"/>
    <w:rsid w:val="DBFBCFFC"/>
    <w:rsid w:val="DD6A24CC"/>
    <w:rsid w:val="DD9D9F50"/>
    <w:rsid w:val="DEBFDF94"/>
    <w:rsid w:val="DEEFB897"/>
    <w:rsid w:val="DEF73FD1"/>
    <w:rsid w:val="DEFF98AA"/>
    <w:rsid w:val="DEFFD7DB"/>
    <w:rsid w:val="DF163E6F"/>
    <w:rsid w:val="DF379400"/>
    <w:rsid w:val="DF37CDEE"/>
    <w:rsid w:val="DF5D8B26"/>
    <w:rsid w:val="DF979907"/>
    <w:rsid w:val="DF99D83C"/>
    <w:rsid w:val="DFB1F0D2"/>
    <w:rsid w:val="DFBC1B88"/>
    <w:rsid w:val="DFDE8CCC"/>
    <w:rsid w:val="DFED98A5"/>
    <w:rsid w:val="DFF707B4"/>
    <w:rsid w:val="DFF7A188"/>
    <w:rsid w:val="DFFA27D7"/>
    <w:rsid w:val="DFFB18D5"/>
    <w:rsid w:val="DFFDCA21"/>
    <w:rsid w:val="DFFF420D"/>
    <w:rsid w:val="E3AF1976"/>
    <w:rsid w:val="E3E76B60"/>
    <w:rsid w:val="E5D319D8"/>
    <w:rsid w:val="E5F9E79A"/>
    <w:rsid w:val="E6E4ABBA"/>
    <w:rsid w:val="E6FD7C19"/>
    <w:rsid w:val="E7BD930F"/>
    <w:rsid w:val="E7E791FA"/>
    <w:rsid w:val="E7F95A6F"/>
    <w:rsid w:val="E7FB6119"/>
    <w:rsid w:val="E7FF259B"/>
    <w:rsid w:val="E87113CF"/>
    <w:rsid w:val="E9FB8ACD"/>
    <w:rsid w:val="E9FF10AA"/>
    <w:rsid w:val="EAA2CA13"/>
    <w:rsid w:val="EBBBAE78"/>
    <w:rsid w:val="EBDCADB9"/>
    <w:rsid w:val="EBFF7946"/>
    <w:rsid w:val="ECAA9BB1"/>
    <w:rsid w:val="ECFD123F"/>
    <w:rsid w:val="ED6BD77C"/>
    <w:rsid w:val="ED7926EA"/>
    <w:rsid w:val="ED7F3358"/>
    <w:rsid w:val="EDFBA1D2"/>
    <w:rsid w:val="EE5BD5B4"/>
    <w:rsid w:val="EE6B78B0"/>
    <w:rsid w:val="EE744754"/>
    <w:rsid w:val="EE7F4AB8"/>
    <w:rsid w:val="EE9F6FEF"/>
    <w:rsid w:val="EEBF28F0"/>
    <w:rsid w:val="EEEFA5BA"/>
    <w:rsid w:val="EEF97E6C"/>
    <w:rsid w:val="EEF9BD56"/>
    <w:rsid w:val="EEFD25D5"/>
    <w:rsid w:val="EF5FC895"/>
    <w:rsid w:val="EF7FDEDE"/>
    <w:rsid w:val="EFBFFF4B"/>
    <w:rsid w:val="EFD5EB24"/>
    <w:rsid w:val="EFDABBFC"/>
    <w:rsid w:val="EFDF8C43"/>
    <w:rsid w:val="EFDF9968"/>
    <w:rsid w:val="EFEDB273"/>
    <w:rsid w:val="EFF23F91"/>
    <w:rsid w:val="EFF759F1"/>
    <w:rsid w:val="EFF7AAE9"/>
    <w:rsid w:val="EFFF0606"/>
    <w:rsid w:val="EFFF5FF1"/>
    <w:rsid w:val="F0EFF1E8"/>
    <w:rsid w:val="F1599516"/>
    <w:rsid w:val="F1ABFDA3"/>
    <w:rsid w:val="F1BBF4DC"/>
    <w:rsid w:val="F1DF9C85"/>
    <w:rsid w:val="F1FFAAD6"/>
    <w:rsid w:val="F2FBC24B"/>
    <w:rsid w:val="F32F765B"/>
    <w:rsid w:val="F35860DA"/>
    <w:rsid w:val="F35F14B6"/>
    <w:rsid w:val="F3979F6D"/>
    <w:rsid w:val="F3B5EBBF"/>
    <w:rsid w:val="F3B9FBE5"/>
    <w:rsid w:val="F3DA2C59"/>
    <w:rsid w:val="F3DBE097"/>
    <w:rsid w:val="F3FD148E"/>
    <w:rsid w:val="F473B79C"/>
    <w:rsid w:val="F507F1E8"/>
    <w:rsid w:val="F55F9448"/>
    <w:rsid w:val="F5993E8E"/>
    <w:rsid w:val="F5DBAE1A"/>
    <w:rsid w:val="F63594C3"/>
    <w:rsid w:val="F6EECAE1"/>
    <w:rsid w:val="F6FB4203"/>
    <w:rsid w:val="F6FDA746"/>
    <w:rsid w:val="F75C1D19"/>
    <w:rsid w:val="F76ACC2E"/>
    <w:rsid w:val="F77D9D2F"/>
    <w:rsid w:val="F77F842C"/>
    <w:rsid w:val="F7B12F9F"/>
    <w:rsid w:val="F7BB3381"/>
    <w:rsid w:val="F7BF33E3"/>
    <w:rsid w:val="F7DB930E"/>
    <w:rsid w:val="F7F21DD9"/>
    <w:rsid w:val="F7F76AEC"/>
    <w:rsid w:val="F7F7C443"/>
    <w:rsid w:val="F7FAAA51"/>
    <w:rsid w:val="F7FD39A1"/>
    <w:rsid w:val="F7FFE662"/>
    <w:rsid w:val="F83FC3F4"/>
    <w:rsid w:val="F8F38AD5"/>
    <w:rsid w:val="F8F5EE48"/>
    <w:rsid w:val="F9B7736D"/>
    <w:rsid w:val="F9BBED6D"/>
    <w:rsid w:val="F9C7145D"/>
    <w:rsid w:val="F9DFE25C"/>
    <w:rsid w:val="F9FD4E32"/>
    <w:rsid w:val="FA36731F"/>
    <w:rsid w:val="FA3F7AEF"/>
    <w:rsid w:val="FA7F57BB"/>
    <w:rsid w:val="FAFB5DFE"/>
    <w:rsid w:val="FAFD465D"/>
    <w:rsid w:val="FAFF1F40"/>
    <w:rsid w:val="FB57851B"/>
    <w:rsid w:val="FB57BB71"/>
    <w:rsid w:val="FB7757ED"/>
    <w:rsid w:val="FB7FCBCD"/>
    <w:rsid w:val="FBA70F98"/>
    <w:rsid w:val="FBA7F5FC"/>
    <w:rsid w:val="FBB5A1CB"/>
    <w:rsid w:val="FBBB23A2"/>
    <w:rsid w:val="FBBCFC96"/>
    <w:rsid w:val="FBBEA0EB"/>
    <w:rsid w:val="FBBF81D5"/>
    <w:rsid w:val="FBD3D1B1"/>
    <w:rsid w:val="FBDA7D84"/>
    <w:rsid w:val="FBDD6F6D"/>
    <w:rsid w:val="FBFA5A56"/>
    <w:rsid w:val="FBFF3BC4"/>
    <w:rsid w:val="FCBF60DE"/>
    <w:rsid w:val="FCEF92E1"/>
    <w:rsid w:val="FCF2A6EF"/>
    <w:rsid w:val="FCFE1855"/>
    <w:rsid w:val="FD3A5E4B"/>
    <w:rsid w:val="FD453EA4"/>
    <w:rsid w:val="FD6C2348"/>
    <w:rsid w:val="FD6F1275"/>
    <w:rsid w:val="FD7E0B8D"/>
    <w:rsid w:val="FD7E9013"/>
    <w:rsid w:val="FD89C3DF"/>
    <w:rsid w:val="FDB2740C"/>
    <w:rsid w:val="FDBDF5A9"/>
    <w:rsid w:val="FDD5236B"/>
    <w:rsid w:val="FDD68D03"/>
    <w:rsid w:val="FDFBADC5"/>
    <w:rsid w:val="FE3FD5F0"/>
    <w:rsid w:val="FE5FE332"/>
    <w:rsid w:val="FE67F0C0"/>
    <w:rsid w:val="FEBF588E"/>
    <w:rsid w:val="FEBF76A2"/>
    <w:rsid w:val="FEDD7B95"/>
    <w:rsid w:val="FEDFA53B"/>
    <w:rsid w:val="FEE46DD0"/>
    <w:rsid w:val="FEFF2A5B"/>
    <w:rsid w:val="FEFF5765"/>
    <w:rsid w:val="FEFFA2B7"/>
    <w:rsid w:val="FF17AA3A"/>
    <w:rsid w:val="FF1C80D7"/>
    <w:rsid w:val="FF2BB80F"/>
    <w:rsid w:val="FF366514"/>
    <w:rsid w:val="FF5F0FD3"/>
    <w:rsid w:val="FF6B3E79"/>
    <w:rsid w:val="FF6FDB03"/>
    <w:rsid w:val="FF6FF609"/>
    <w:rsid w:val="FF72EA66"/>
    <w:rsid w:val="FF757645"/>
    <w:rsid w:val="FF775057"/>
    <w:rsid w:val="FF7B0F78"/>
    <w:rsid w:val="FF7F2C37"/>
    <w:rsid w:val="FF7F8B90"/>
    <w:rsid w:val="FF7FC207"/>
    <w:rsid w:val="FF7FD34A"/>
    <w:rsid w:val="FF8FE75A"/>
    <w:rsid w:val="FF9148CD"/>
    <w:rsid w:val="FF9D12F5"/>
    <w:rsid w:val="FF9DA585"/>
    <w:rsid w:val="FFACC622"/>
    <w:rsid w:val="FFAF1C18"/>
    <w:rsid w:val="FFB383E9"/>
    <w:rsid w:val="FFBBA5F9"/>
    <w:rsid w:val="FFBE99A3"/>
    <w:rsid w:val="FFBF3B47"/>
    <w:rsid w:val="FFBF445C"/>
    <w:rsid w:val="FFCA805E"/>
    <w:rsid w:val="FFD2442E"/>
    <w:rsid w:val="FFDB067A"/>
    <w:rsid w:val="FFDCE40F"/>
    <w:rsid w:val="FFDDFDE1"/>
    <w:rsid w:val="FFDE5177"/>
    <w:rsid w:val="FFDE6FCF"/>
    <w:rsid w:val="FFE83970"/>
    <w:rsid w:val="FFEA2258"/>
    <w:rsid w:val="FFEBF72D"/>
    <w:rsid w:val="FFEC203E"/>
    <w:rsid w:val="FFEF5083"/>
    <w:rsid w:val="FFF3F08C"/>
    <w:rsid w:val="FFF5F252"/>
    <w:rsid w:val="FFF7BB2E"/>
    <w:rsid w:val="FFF98450"/>
    <w:rsid w:val="FFFD25D0"/>
    <w:rsid w:val="FFFDCADB"/>
    <w:rsid w:val="FFFF072F"/>
    <w:rsid w:val="FFFF4A87"/>
    <w:rsid w:val="FFFF5639"/>
    <w:rsid w:val="FFFFB231"/>
    <w:rsid w:val="FFFFD77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paragraph" w:styleId="2">
    <w:name w:val="heading 2"/>
    <w:basedOn w:val="1"/>
    <w:next w:val="1"/>
    <w:link w:val="29"/>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qFormat/>
    <w:uiPriority w:val="9"/>
    <w:pPr>
      <w:widowControl/>
      <w:spacing w:before="100" w:beforeAutospacing="1" w:after="100" w:afterAutospacing="1"/>
      <w:jc w:val="left"/>
      <w:outlineLvl w:val="3"/>
    </w:pPr>
    <w:rPr>
      <w:rFonts w:ascii="宋体" w:hAnsi="宋体" w:cs="宋体"/>
      <w:b/>
      <w:bCs/>
      <w:kern w:val="0"/>
    </w:rPr>
  </w:style>
  <w:style w:type="paragraph" w:styleId="5">
    <w:name w:val="heading 6"/>
    <w:next w:val="1"/>
    <w:qFormat/>
    <w:uiPriority w:val="0"/>
    <w:pPr>
      <w:keepNext/>
      <w:keepLines/>
      <w:widowControl w:val="0"/>
      <w:spacing w:line="560" w:lineRule="exact"/>
      <w:ind w:firstLine="640" w:firstLineChars="200"/>
      <w:jc w:val="both"/>
      <w:outlineLvl w:val="5"/>
    </w:pPr>
    <w:rPr>
      <w:rFonts w:ascii="Arial" w:hAnsi="Arial" w:eastAsia="仿宋"/>
      <w:b/>
      <w:kern w:val="2"/>
      <w:sz w:val="32"/>
      <w:szCs w:val="24"/>
      <w:lang w:val="en-US" w:eastAsia="zh-CN" w:bidi="ar-SA"/>
    </w:rPr>
  </w:style>
  <w:style w:type="character" w:default="1" w:styleId="23">
    <w:name w:val="Default Paragraph Font"/>
    <w:unhideWhenUsed/>
    <w:uiPriority w:val="1"/>
  </w:style>
  <w:style w:type="table" w:default="1" w:styleId="21">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21"/>
      <w:tblCellMar>
        <w:top w:w="0" w:type="dxa"/>
        <w:left w:w="108" w:type="dxa"/>
        <w:bottom w:w="0" w:type="dxa"/>
        <w:right w:w="108" w:type="dxa"/>
      </w:tblCellMar>
    </w:tblPr>
  </w:style>
  <w:style w:type="paragraph" w:styleId="6">
    <w:name w:val="annotation text"/>
    <w:basedOn w:val="1"/>
    <w:link w:val="30"/>
    <w:qFormat/>
    <w:uiPriority w:val="99"/>
  </w:style>
  <w:style w:type="paragraph" w:styleId="7">
    <w:name w:val="Body Text"/>
    <w:basedOn w:val="1"/>
    <w:semiHidden/>
    <w:qFormat/>
    <w:uiPriority w:val="0"/>
    <w:rPr>
      <w:rFonts w:ascii="宋体" w:hAnsi="宋体" w:eastAsia="宋体" w:cs="宋体"/>
      <w:sz w:val="23"/>
      <w:szCs w:val="23"/>
    </w:rPr>
  </w:style>
  <w:style w:type="paragraph" w:styleId="8">
    <w:name w:val="Body Text Indent"/>
    <w:basedOn w:val="1"/>
    <w:unhideWhenUsed/>
    <w:qFormat/>
    <w:uiPriority w:val="99"/>
    <w:pPr>
      <w:spacing w:after="120"/>
      <w:ind w:left="420" w:leftChars="200"/>
    </w:pPr>
  </w:style>
  <w:style w:type="paragraph" w:styleId="9">
    <w:name w:val="toc 3"/>
    <w:basedOn w:val="1"/>
    <w:next w:val="1"/>
    <w:uiPriority w:val="0"/>
    <w:pPr>
      <w:ind w:left="840" w:leftChars="400"/>
    </w:pPr>
  </w:style>
  <w:style w:type="paragraph" w:styleId="10">
    <w:name w:val="Balloon Text"/>
    <w:basedOn w:val="1"/>
    <w:link w:val="31"/>
    <w:uiPriority w:val="0"/>
    <w:rPr>
      <w:sz w:val="18"/>
      <w:szCs w:val="18"/>
    </w:rPr>
  </w:style>
  <w:style w:type="paragraph" w:styleId="11">
    <w:name w:val="footer"/>
    <w:basedOn w:val="1"/>
    <w:link w:val="32"/>
    <w:qFormat/>
    <w:uiPriority w:val="99"/>
    <w:pPr>
      <w:tabs>
        <w:tab w:val="center" w:pos="4153"/>
        <w:tab w:val="right" w:pos="8306"/>
      </w:tabs>
      <w:snapToGrid w:val="0"/>
      <w:jc w:val="left"/>
    </w:pPr>
    <w:rPr>
      <w:sz w:val="18"/>
      <w:szCs w:val="18"/>
    </w:rPr>
  </w:style>
  <w:style w:type="paragraph" w:styleId="12">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4"/>
    <w:basedOn w:val="1"/>
    <w:next w:val="1"/>
    <w:uiPriority w:val="0"/>
    <w:pPr>
      <w:ind w:left="1260" w:leftChars="600"/>
    </w:pPr>
  </w:style>
  <w:style w:type="paragraph" w:styleId="15">
    <w:name w:val="footnote text"/>
    <w:basedOn w:val="1"/>
    <w:qFormat/>
    <w:uiPriority w:val="0"/>
    <w:pPr>
      <w:snapToGrid w:val="0"/>
      <w:jc w:val="left"/>
    </w:pPr>
    <w:rPr>
      <w:sz w:val="18"/>
      <w:szCs w:val="18"/>
    </w:rPr>
  </w:style>
  <w:style w:type="paragraph" w:styleId="16">
    <w:name w:val="toc 6"/>
    <w:basedOn w:val="1"/>
    <w:next w:val="1"/>
    <w:uiPriority w:val="0"/>
    <w:pPr>
      <w:ind w:left="2100" w:leftChars="1000"/>
    </w:pPr>
  </w:style>
  <w:style w:type="paragraph" w:styleId="17">
    <w:name w:val="toc 2"/>
    <w:basedOn w:val="1"/>
    <w:next w:val="1"/>
    <w:uiPriority w:val="0"/>
    <w:pPr>
      <w:ind w:left="420" w:leftChars="200"/>
    </w:pPr>
  </w:style>
  <w:style w:type="paragraph" w:styleId="18">
    <w:name w:val="Normal (Web)"/>
    <w:basedOn w:val="1"/>
    <w:unhideWhenUsed/>
    <w:qFormat/>
    <w:uiPriority w:val="99"/>
    <w:pPr>
      <w:spacing w:before="100" w:beforeAutospacing="1" w:after="100" w:afterAutospacing="1"/>
    </w:pPr>
  </w:style>
  <w:style w:type="paragraph" w:styleId="19">
    <w:name w:val="annotation subject"/>
    <w:basedOn w:val="6"/>
    <w:next w:val="6"/>
    <w:link w:val="34"/>
    <w:qFormat/>
    <w:uiPriority w:val="0"/>
    <w:pPr>
      <w:jc w:val="left"/>
    </w:pPr>
    <w:rPr>
      <w:b/>
      <w:bCs/>
    </w:rPr>
  </w:style>
  <w:style w:type="paragraph" w:styleId="20">
    <w:name w:val="Body Text First Indent 2"/>
    <w:basedOn w:val="8"/>
    <w:unhideWhenUsed/>
    <w:qFormat/>
    <w:uiPriority w:val="99"/>
    <w:pPr>
      <w:spacing w:after="120"/>
      <w:ind w:left="420" w:leftChars="200" w:firstLine="420" w:firstLineChars="200"/>
    </w:pPr>
    <w:rPr>
      <w:rFonts w:hint="eastAsia" w:ascii="宋体" w:hAnsi="宋体"/>
      <w:sz w:val="24"/>
      <w:szCs w:val="24"/>
      <w:lang w:val="en-US" w:eastAsia="zh-CN" w:bidi="ar-SA"/>
    </w:rPr>
  </w:style>
  <w:style w:type="table" w:styleId="22">
    <w:name w:val="Table Grid"/>
    <w:basedOn w:val="21"/>
    <w:qFormat/>
    <w:uiPriority w:val="0"/>
    <w:rPr>
      <w:rFonts w:ascii="等线" w:hAnsi="等线" w:eastAsia="等线"/>
      <w:lang w:val="en-US" w:eastAsia="zh-CN" w:bidi="ar-S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qFormat/>
    <w:uiPriority w:val="0"/>
    <w:rPr>
      <w:b/>
    </w:rPr>
  </w:style>
  <w:style w:type="character" w:styleId="25">
    <w:name w:val="Emphasis"/>
    <w:qFormat/>
    <w:uiPriority w:val="0"/>
    <w:rPr>
      <w:i/>
    </w:rPr>
  </w:style>
  <w:style w:type="character" w:styleId="26">
    <w:name w:val="Hyperlink"/>
    <w:unhideWhenUsed/>
    <w:qFormat/>
    <w:uiPriority w:val="99"/>
    <w:rPr>
      <w:color w:val="0000FF"/>
      <w:u w:val="single"/>
    </w:rPr>
  </w:style>
  <w:style w:type="character" w:styleId="27">
    <w:name w:val="annotation reference"/>
    <w:qFormat/>
    <w:uiPriority w:val="0"/>
    <w:rPr>
      <w:sz w:val="21"/>
      <w:szCs w:val="21"/>
    </w:rPr>
  </w:style>
  <w:style w:type="character" w:styleId="28">
    <w:name w:val="footnote reference"/>
    <w:qFormat/>
    <w:uiPriority w:val="0"/>
    <w:rPr>
      <w:vertAlign w:val="superscript"/>
    </w:rPr>
  </w:style>
  <w:style w:type="character" w:customStyle="1" w:styleId="29">
    <w:name w:val="标题 2 字符"/>
    <w:link w:val="2"/>
    <w:uiPriority w:val="0"/>
    <w:rPr>
      <w:rFonts w:hint="eastAsia" w:ascii="宋体" w:hAnsi="宋体" w:eastAsia="宋体" w:cs="Times New Roman"/>
      <w:sz w:val="24"/>
      <w:szCs w:val="24"/>
    </w:rPr>
  </w:style>
  <w:style w:type="character" w:customStyle="1" w:styleId="30">
    <w:name w:val="批注文字 字符"/>
    <w:link w:val="6"/>
    <w:qFormat/>
    <w:uiPriority w:val="99"/>
    <w:rPr>
      <w:rFonts w:ascii="Calibri" w:hAnsi="Calibri" w:eastAsia="宋体" w:cs="Times New Roman"/>
      <w:kern w:val="2"/>
      <w:sz w:val="21"/>
      <w:szCs w:val="24"/>
    </w:rPr>
  </w:style>
  <w:style w:type="character" w:customStyle="1" w:styleId="31">
    <w:name w:val="批注框文本 字符"/>
    <w:link w:val="10"/>
    <w:uiPriority w:val="0"/>
    <w:rPr>
      <w:rFonts w:ascii="Calibri" w:hAnsi="Calibri" w:cs="Times New Roman"/>
      <w:kern w:val="2"/>
      <w:sz w:val="18"/>
      <w:szCs w:val="18"/>
    </w:rPr>
  </w:style>
  <w:style w:type="character" w:customStyle="1" w:styleId="32">
    <w:name w:val="页脚 字符"/>
    <w:link w:val="11"/>
    <w:qFormat/>
    <w:uiPriority w:val="99"/>
    <w:rPr>
      <w:rFonts w:ascii="Calibri" w:hAnsi="Calibri" w:eastAsia="宋体" w:cs="Times New Roman"/>
      <w:kern w:val="2"/>
      <w:sz w:val="18"/>
      <w:szCs w:val="18"/>
    </w:rPr>
  </w:style>
  <w:style w:type="character" w:customStyle="1" w:styleId="33">
    <w:name w:val="页眉 字符"/>
    <w:link w:val="12"/>
    <w:qFormat/>
    <w:uiPriority w:val="0"/>
    <w:rPr>
      <w:rFonts w:ascii="Calibri" w:hAnsi="Calibri" w:eastAsia="宋体" w:cs="Times New Roman"/>
      <w:kern w:val="2"/>
      <w:sz w:val="18"/>
      <w:szCs w:val="18"/>
    </w:rPr>
  </w:style>
  <w:style w:type="character" w:customStyle="1" w:styleId="34">
    <w:name w:val="批注主题 字符"/>
    <w:link w:val="19"/>
    <w:qFormat/>
    <w:uiPriority w:val="0"/>
    <w:rPr>
      <w:rFonts w:ascii="Calibri" w:hAnsi="Calibri" w:eastAsia="宋体" w:cs="Times New Roman"/>
      <w:b/>
      <w:bCs/>
      <w:kern w:val="2"/>
      <w:sz w:val="21"/>
      <w:szCs w:val="24"/>
    </w:rPr>
  </w:style>
  <w:style w:type="paragraph" w:styleId="35">
    <w:name w:val="List Paragraph"/>
    <w:basedOn w:val="1"/>
    <w:qFormat/>
    <w:uiPriority w:val="34"/>
    <w:pPr>
      <w:ind w:firstLine="420" w:firstLineChars="200"/>
    </w:pPr>
  </w:style>
  <w:style w:type="character" w:customStyle="1" w:styleId="36">
    <w:name w:val="列表段落 字符"/>
    <w:link w:val="37"/>
    <w:uiPriority w:val="0"/>
    <w:rPr>
      <w:rFonts w:hint="default" w:ascii="Times New Roman" w:hAnsi="Times New Roman" w:eastAsia="宋体" w:cs="Times New Roman"/>
      <w:sz w:val="24"/>
      <w:szCs w:val="24"/>
    </w:rPr>
  </w:style>
  <w:style w:type="paragraph" w:customStyle="1" w:styleId="37">
    <w:name w:val="msolistparagraph"/>
    <w:basedOn w:val="1"/>
    <w:link w:val="36"/>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eastAsia="宋体" w:cs="Times New Roman"/>
      <w:kern w:val="2"/>
      <w:sz w:val="24"/>
      <w:szCs w:val="24"/>
      <w:lang w:val="en-US" w:eastAsia="zh-CN" w:bidi="ar"/>
    </w:rPr>
  </w:style>
  <w:style w:type="paragraph" w:customStyle="1" w:styleId="38">
    <w:name w:val="_Style 3"/>
    <w:basedOn w:val="1"/>
    <w:qFormat/>
    <w:uiPriority w:val="34"/>
    <w:pPr>
      <w:ind w:firstLine="420" w:firstLineChars="200"/>
    </w:pPr>
    <w:rPr>
      <w:rFonts w:ascii="Times New Roman" w:hAnsi="Times New Roman" w:eastAsia="宋体"/>
    </w:rPr>
  </w:style>
  <w:style w:type="paragraph" w:customStyle="1" w:styleId="39">
    <w:name w:val="005正文"/>
    <w:qFormat/>
    <w:uiPriority w:val="0"/>
    <w:pPr>
      <w:widowControl w:val="0"/>
      <w:spacing w:line="360" w:lineRule="auto"/>
      <w:ind w:firstLine="200" w:firstLineChars="200"/>
      <w:jc w:val="both"/>
    </w:pPr>
    <w:rPr>
      <w:kern w:val="2"/>
      <w:sz w:val="24"/>
      <w:szCs w:val="22"/>
      <w:lang w:val="en-US" w:eastAsia="zh-CN" w:bidi="ar-SA"/>
    </w:rPr>
  </w:style>
  <w:style w:type="table" w:customStyle="1" w:styleId="40">
    <w:name w:val="网格型12"/>
    <w:basedOn w:val="21"/>
    <w:qFormat/>
    <w:uiPriority w:val="0"/>
    <w:pPr>
      <w:widowControl w:val="0"/>
      <w:jc w:val="both"/>
    </w:pPr>
    <w:rPr>
      <w:rFonts w:ascii="Calibri" w:hAnsi="Calibri"/>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
    <w:name w:val="修订1"/>
    <w:semiHidden/>
    <w:qFormat/>
    <w:uiPriority w:val="99"/>
    <w:rPr>
      <w:rFonts w:ascii="Calibri" w:hAnsi="Calibri"/>
      <w:kern w:val="2"/>
      <w:sz w:val="21"/>
      <w:szCs w:val="24"/>
      <w:lang w:val="en-US" w:eastAsia="zh-CN" w:bidi="ar-SA"/>
    </w:rPr>
  </w:style>
  <w:style w:type="paragraph" w:customStyle="1" w:styleId="42">
    <w:name w:val="修订2"/>
    <w:semiHidden/>
    <w:qFormat/>
    <w:uiPriority w:val="99"/>
    <w:rPr>
      <w:rFonts w:ascii="Calibri" w:hAnsi="Calibri"/>
      <w:kern w:val="2"/>
      <w:sz w:val="21"/>
      <w:szCs w:val="24"/>
      <w:lang w:val="en-US" w:eastAsia="zh-CN" w:bidi="ar-SA"/>
    </w:rPr>
  </w:style>
  <w:style w:type="paragraph" w:customStyle="1" w:styleId="43">
    <w:name w:val="修订3"/>
    <w:semiHidden/>
    <w:qFormat/>
    <w:uiPriority w:val="99"/>
    <w:rPr>
      <w:rFonts w:ascii="Calibri" w:hAnsi="Calibri"/>
      <w:kern w:val="2"/>
      <w:sz w:val="21"/>
      <w:szCs w:val="24"/>
      <w:lang w:val="en-US" w:eastAsia="zh-CN" w:bidi="ar-SA"/>
    </w:rPr>
  </w:style>
  <w:style w:type="paragraph" w:customStyle="1" w:styleId="44">
    <w:name w:val="修订4"/>
    <w:semiHidden/>
    <w:qFormat/>
    <w:uiPriority w:val="99"/>
    <w:rPr>
      <w:rFonts w:ascii="Calibri" w:hAnsi="Calibri"/>
      <w:kern w:val="2"/>
      <w:sz w:val="21"/>
      <w:szCs w:val="24"/>
      <w:lang w:val="en-US" w:eastAsia="zh-CN" w:bidi="ar-SA"/>
    </w:rPr>
  </w:style>
  <w:style w:type="table" w:customStyle="1" w:styleId="45">
    <w:name w:val="网格型100"/>
    <w:qFormat/>
    <w:uiPriority w:val="0"/>
    <w:rPr>
      <w:rFonts w:ascii="等线" w:hAnsi="等线" w:eastAsia="等线"/>
      <w:lang w:val="en-US" w:eastAsia="zh-CN" w:bidi="ar-S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46">
    <w:name w:val="01文"/>
    <w:qFormat/>
    <w:uiPriority w:val="0"/>
    <w:pPr>
      <w:widowControl w:val="0"/>
      <w:autoSpaceDE w:val="0"/>
      <w:autoSpaceDN w:val="0"/>
      <w:adjustRightInd w:val="0"/>
      <w:snapToGrid w:val="0"/>
      <w:spacing w:line="360" w:lineRule="auto"/>
      <w:ind w:firstLine="200" w:firstLineChars="200"/>
      <w:jc w:val="both"/>
    </w:pPr>
    <w:rPr>
      <w:kern w:val="2"/>
      <w:sz w:val="24"/>
      <w:szCs w:val="24"/>
      <w:lang w:val="en-US" w:eastAsia="zh-CN" w:bidi="ar-SA"/>
    </w:rPr>
  </w:style>
  <w:style w:type="table" w:customStyle="1" w:styleId="47">
    <w:name w:val="gbc1"/>
    <w:unhideWhenUsed/>
    <w:uiPriority w:val="99"/>
    <w:rPr>
      <w:lang w:val="en-US" w:eastAsia="zh-CN" w:bidi="ar-SA"/>
    </w:rPr>
    <w:tblPr>
      <w:tblStyle w:val="21"/>
      <w:tblCellMar>
        <w:top w:w="0" w:type="dxa"/>
        <w:left w:w="108" w:type="dxa"/>
        <w:bottom w:w="0" w:type="dxa"/>
        <w:right w:w="108" w:type="dxa"/>
      </w:tblCellMar>
    </w:tblPr>
  </w:style>
  <w:style w:type="paragraph" w:customStyle="1" w:styleId="48">
    <w:name w:val="p1"/>
    <w:basedOn w:val="1"/>
    <w:uiPriority w:val="0"/>
    <w:pPr>
      <w:spacing w:before="0" w:beforeAutospacing="0" w:after="0" w:afterAutospacing="0"/>
      <w:ind w:left="0" w:right="0"/>
      <w:jc w:val="left"/>
    </w:pPr>
    <w:rPr>
      <w:rFonts w:ascii="PingFang SC" w:hAnsi="PingFang SC" w:eastAsia="PingFang SC" w:cs="PingFang SC"/>
      <w:color w:val="000000"/>
      <w:kern w:val="0"/>
      <w:sz w:val="28"/>
      <w:szCs w:val="28"/>
      <w:lang w:val="en-US" w:eastAsia="zh-CN" w:bidi="ar"/>
    </w:rPr>
  </w:style>
  <w:style w:type="character" w:customStyle="1" w:styleId="49">
    <w:name w:val="s1"/>
    <w:uiPriority w:val="0"/>
    <w:rPr>
      <w:rFonts w:ascii="Helvetica Neue" w:hAnsi="Helvetica Neue" w:eastAsia="Helvetica Neue" w:cs="Helvetica Neue"/>
      <w:sz w:val="28"/>
      <w:szCs w:val="28"/>
    </w:rPr>
  </w:style>
  <w:style w:type="paragraph" w:customStyle="1" w:styleId="50">
    <w:name w:val="二级"/>
    <w:qFormat/>
    <w:uiPriority w:val="0"/>
    <w:pPr>
      <w:keepNext/>
      <w:keepLines/>
      <w:widowControl w:val="0"/>
      <w:adjustRightInd w:val="0"/>
      <w:snapToGrid w:val="0"/>
      <w:spacing w:beforeLines="50" w:afterLines="50" w:line="360" w:lineRule="auto"/>
      <w:jc w:val="both"/>
      <w:outlineLvl w:val="1"/>
    </w:pPr>
    <w:rPr>
      <w:b/>
      <w:sz w:val="24"/>
      <w:szCs w:val="24"/>
      <w:lang w:val="en-US" w:eastAsia="zh-CN" w:bidi="ar-SA"/>
    </w:rPr>
  </w:style>
  <w:style w:type="paragraph" w:styleId="51">
    <w:name w:val=""/>
    <w:unhideWhenUsed/>
    <w:uiPriority w:val="99"/>
    <w:rPr>
      <w:rFonts w:ascii="Calibri" w:hAnsi="Calibri"/>
      <w:kern w:val="2"/>
      <w:sz w:val="21"/>
      <w:szCs w:val="24"/>
      <w:lang w:val="en-US" w:eastAsia="zh-CN" w:bidi="ar-SA"/>
    </w:rPr>
  </w:style>
  <w:style w:type="paragraph" w:customStyle="1" w:styleId="52">
    <w:name w:val="VI 正文格式"/>
    <w:basedOn w:val="1"/>
    <w:link w:val="53"/>
    <w:qFormat/>
    <w:uiPriority w:val="0"/>
    <w:pPr>
      <w:widowControl/>
      <w:adjustRightInd w:val="0"/>
      <w:spacing w:before="93" w:beforeLines="30" w:after="93" w:afterLines="30" w:line="360" w:lineRule="auto"/>
      <w:ind w:firstLine="480" w:firstLineChars="200"/>
      <w:jc w:val="left"/>
      <w:textAlignment w:val="baseline"/>
    </w:pPr>
    <w:rPr>
      <w:rFonts w:ascii="Times New Roman" w:hAnsi="Times New Roman" w:eastAsia="宋体" w:cs="宋体"/>
      <w:kern w:val="0"/>
      <w:sz w:val="24"/>
    </w:rPr>
  </w:style>
  <w:style w:type="character" w:customStyle="1" w:styleId="53">
    <w:name w:val="VI 正文格式 Char"/>
    <w:link w:val="52"/>
    <w:qFormat/>
    <w:uiPriority w:val="0"/>
    <w:rPr>
      <w:rFonts w:ascii="Times New Roman" w:hAnsi="Times New Roman" w:eastAsia="宋体" w:cs="宋体"/>
      <w:kern w:val="0"/>
      <w:sz w:val="24"/>
    </w:rPr>
  </w:style>
  <w:style w:type="paragraph" w:customStyle="1" w:styleId="54">
    <w:name w:val="III （一）"/>
    <w:basedOn w:val="1"/>
    <w:qFormat/>
    <w:uiPriority w:val="0"/>
    <w:pPr>
      <w:keepNext/>
      <w:keepLines/>
      <w:widowControl/>
      <w:spacing w:before="30" w:beforeLines="30" w:after="30" w:afterLines="30" w:line="360" w:lineRule="auto"/>
      <w:ind w:firstLine="200" w:firstLineChars="200"/>
      <w:jc w:val="left"/>
      <w:outlineLvl w:val="2"/>
    </w:pPr>
    <w:rPr>
      <w:rFonts w:ascii="Times New Roman" w:hAnsi="Times New Roman" w:eastAsia="黑体" w:cs="宋体"/>
      <w:b/>
      <w:kern w:val="0"/>
      <w:sz w:val="24"/>
    </w:rPr>
  </w:style>
  <w:style w:type="paragraph" w:customStyle="1" w:styleId="55">
    <w:name w:val="VII 表格内容"/>
    <w:basedOn w:val="1"/>
    <w:qFormat/>
    <w:uiPriority w:val="0"/>
    <w:pPr>
      <w:widowControl/>
      <w:adjustRightInd w:val="0"/>
      <w:snapToGrid w:val="0"/>
      <w:spacing w:line="240" w:lineRule="exact"/>
      <w:jc w:val="right"/>
    </w:pPr>
    <w:rPr>
      <w:rFonts w:ascii="Times New Roman" w:hAnsi="Times New Roman" w:eastAsia="宋体" w:cs="宋体"/>
      <w:kern w:val="0"/>
      <w:sz w:val="21"/>
      <w:szCs w:val="21"/>
    </w:rPr>
  </w:style>
  <w:style w:type="paragraph" w:customStyle="1" w:styleId="56">
    <w:name w:val="005加粗"/>
    <w:uiPriority w:val="0"/>
    <w:pPr>
      <w:widowControl w:val="0"/>
      <w:spacing w:before="30" w:beforeLines="30" w:after="30" w:afterLines="30" w:line="360" w:lineRule="auto"/>
      <w:ind w:firstLine="200" w:firstLineChars="200"/>
      <w:jc w:val="both"/>
    </w:pPr>
    <w:rPr>
      <w:rFonts w:ascii="黑体" w:hAnsi="黑体" w:eastAsia="黑体"/>
      <w:b/>
      <w:kern w:val="2"/>
      <w:sz w:val="24"/>
      <w:szCs w:val="22"/>
      <w:lang w:val="en-US" w:eastAsia="zh-CN" w:bidi="ar-SA"/>
    </w:rPr>
  </w:style>
  <w:style w:type="paragraph" w:customStyle="1" w:styleId="57">
    <w:name w:val="002二级标题"/>
    <w:uiPriority w:val="0"/>
    <w:pPr>
      <w:keepNext/>
      <w:keepLines/>
      <w:widowControl w:val="0"/>
      <w:spacing w:before="30" w:beforeLines="30" w:after="30" w:afterLines="30" w:line="360" w:lineRule="auto"/>
      <w:jc w:val="both"/>
      <w:outlineLvl w:val="1"/>
    </w:pPr>
    <w:rPr>
      <w:rFonts w:ascii="黑体" w:hAnsi="黑体" w:eastAsia="黑体"/>
      <w:b/>
      <w:bCs/>
      <w:kern w:val="2"/>
      <w:sz w:val="24"/>
      <w:szCs w:val="28"/>
      <w:lang w:val="en-US" w:eastAsia="zh-CN" w:bidi="ar-SA"/>
    </w:rPr>
  </w:style>
  <w:style w:type="paragraph" w:customStyle="1" w:styleId="58">
    <w:name w:val="注："/>
    <w:basedOn w:val="1"/>
    <w:qFormat/>
    <w:uiPriority w:val="0"/>
    <w:pPr>
      <w:widowControl/>
      <w:spacing w:line="360" w:lineRule="auto"/>
      <w:ind w:firstLine="420" w:firstLineChars="200"/>
      <w:jc w:val="left"/>
    </w:pPr>
    <w:rPr>
      <w:rFonts w:ascii="Times New Roman" w:hAnsi="Times New Roman" w:eastAsia="宋体" w:cs="宋体"/>
      <w:kern w:val="0"/>
      <w:sz w:val="21"/>
      <w:szCs w:val="21"/>
    </w:rPr>
  </w:style>
  <w:style w:type="paragraph" w:customStyle="1" w:styleId="59">
    <w:name w:val="IV 1、"/>
    <w:basedOn w:val="1"/>
    <w:qFormat/>
    <w:uiPriority w:val="0"/>
    <w:pPr>
      <w:keepNext/>
      <w:keepLines/>
      <w:widowControl/>
      <w:spacing w:before="93" w:beforeLines="30" w:after="93" w:afterLines="30" w:line="360" w:lineRule="auto"/>
      <w:ind w:firstLine="482" w:firstLineChars="200"/>
      <w:jc w:val="left"/>
      <w:outlineLvl w:val="3"/>
    </w:pPr>
    <w:rPr>
      <w:rFonts w:ascii="Times New Roman" w:hAnsi="Times New Roman" w:eastAsia="黑体" w:cs="宋体"/>
      <w:b/>
      <w:kern w:val="0"/>
      <w:sz w:val="24"/>
    </w:rPr>
  </w:style>
  <w:style w:type="paragraph" w:customStyle="1" w:styleId="60">
    <w:name w:val="V （1）"/>
    <w:basedOn w:val="1"/>
    <w:qFormat/>
    <w:uiPriority w:val="0"/>
    <w:pPr>
      <w:widowControl/>
      <w:adjustRightInd w:val="0"/>
      <w:spacing w:before="93" w:beforeLines="30" w:after="93" w:afterLines="30" w:line="360" w:lineRule="auto"/>
      <w:ind w:firstLine="482" w:firstLineChars="200"/>
      <w:jc w:val="left"/>
      <w:textAlignment w:val="baseline"/>
    </w:pPr>
    <w:rPr>
      <w:rFonts w:ascii="Times New Roman" w:hAnsi="Times New Roman" w:eastAsia="黑体" w:cs="宋体"/>
      <w:b/>
      <w:kern w:val="0"/>
      <w:sz w:val="24"/>
    </w:rPr>
  </w:style>
  <w:style w:type="paragraph" w:customStyle="1" w:styleId="61">
    <w:name w:val="001一级标题"/>
    <w:uiPriority w:val="0"/>
    <w:pPr>
      <w:keepNext/>
      <w:keepLines/>
      <w:pageBreakBefore/>
      <w:widowControl w:val="0"/>
      <w:spacing w:before="50" w:beforeLines="50" w:after="50" w:afterLines="50" w:line="360" w:lineRule="auto"/>
      <w:ind w:firstLine="200" w:firstLineChars="200"/>
      <w:jc w:val="both"/>
      <w:outlineLvl w:val="0"/>
    </w:pPr>
    <w:rPr>
      <w:rFonts w:ascii="黑体" w:hAnsi="黑体" w:eastAsia="黑体"/>
      <w:b/>
      <w:bCs/>
      <w:kern w:val="2"/>
      <w:sz w:val="24"/>
      <w:szCs w:val="28"/>
      <w:lang w:val="zh-CN" w:eastAsia="zh-CN" w:bidi="ar-SA"/>
    </w:rPr>
  </w:style>
  <w:style w:type="paragraph" w:customStyle="1" w:styleId="62">
    <w:name w:val="WPSOffice手动目录 1"/>
    <w:uiPriority w:val="0"/>
    <w:rPr>
      <w:lang w:val="en-US" w:eastAsia="zh-CN" w:bidi="ar-SA"/>
    </w:rPr>
  </w:style>
  <w:style w:type="paragraph" w:customStyle="1" w:styleId="63">
    <w:name w:val="p"/>
    <w:basedOn w:val="1"/>
    <w:qFormat/>
    <w:uiPriority w:val="0"/>
    <w:pPr>
      <w:spacing w:line="390" w:lineRule="atLeast"/>
      <w:ind w:firstLine="420"/>
      <w:textAlignment w:val="center"/>
    </w:pPr>
  </w:style>
  <w:style w:type="paragraph" w:customStyle="1" w:styleId="64">
    <w:name w:val="样式 样式 样式 样式 小四 左 首行缩进:  2 字符 + 首行缩进:  2 字符 Char + 右  0 字符1 + 首行缩...3"/>
    <w:basedOn w:val="1"/>
    <w:qFormat/>
    <w:uiPriority w:val="0"/>
    <w:pPr>
      <w:adjustRightInd w:val="0"/>
      <w:ind w:firstLine="480" w:firstLineChars="200"/>
      <w:textAlignment w:val="baseline"/>
    </w:pPr>
    <w:rPr>
      <w:rFonts w:cs="宋体"/>
    </w:rPr>
  </w:style>
  <w:style w:type="paragraph" w:customStyle="1" w:styleId="65">
    <w:name w:val="三级"/>
    <w:qFormat/>
    <w:uiPriority w:val="0"/>
    <w:pPr>
      <w:keepNext/>
      <w:keepLines/>
      <w:widowControl w:val="0"/>
      <w:adjustRightInd w:val="0"/>
      <w:snapToGrid w:val="0"/>
      <w:spacing w:beforeLines="50" w:line="360" w:lineRule="auto"/>
      <w:ind w:firstLine="200" w:firstLineChars="200"/>
      <w:jc w:val="both"/>
      <w:textAlignment w:val="baseline"/>
      <w:outlineLvl w:val="2"/>
    </w:pPr>
    <w:rPr>
      <w:b/>
      <w:kern w:val="2"/>
      <w:sz w:val="24"/>
      <w:szCs w:val="24"/>
      <w:lang w:val="en-US" w:eastAsia="zh-CN" w:bidi="ar-SA"/>
    </w:rPr>
  </w:style>
  <w:style w:type="paragraph" w:customStyle="1" w:styleId="66">
    <w:name w:val="纯文本1"/>
    <w:basedOn w:val="1"/>
    <w:qFormat/>
    <w:uiPriority w:val="0"/>
    <w:rPr>
      <w:rFonts w:ascii="宋体" w:hAnsi="Courier New"/>
    </w:rPr>
  </w:style>
  <w:style w:type="table" w:customStyle="1" w:styleId="67">
    <w:name w:val="网格型3"/>
    <w:basedOn w:val="21"/>
    <w:qFormat/>
    <w:uiPriority w:val="0"/>
    <w:rPr>
      <w:kern w:val="2"/>
      <w:sz w:val="22"/>
      <w:szCs w:val="24"/>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
    <w:name w:val="网格型4"/>
    <w:basedOn w:val="21"/>
    <w:qFormat/>
    <w:uiPriority w:val="0"/>
    <w:rPr>
      <w:kern w:val="2"/>
      <w:sz w:val="22"/>
      <w:szCs w:val="24"/>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9">
    <w:name w:val="网格型5"/>
    <w:basedOn w:val="21"/>
    <w:qFormat/>
    <w:uiPriority w:val="0"/>
    <w:rPr>
      <w:rFonts w:ascii="Times New Roman" w:hAnsi="Times New Roman" w:eastAsia="宋体" w:cs="Times New Roman"/>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0">
    <w:name w:val="正文样式模板1"/>
    <w:basedOn w:val="1"/>
    <w:qFormat/>
    <w:uiPriority w:val="0"/>
    <w:pPr>
      <w:tabs>
        <w:tab w:val="left" w:pos="1671"/>
      </w:tabs>
      <w:spacing w:after="0" w:line="360" w:lineRule="auto"/>
      <w:ind w:firstLine="480" w:firstLineChars="200"/>
    </w:pPr>
    <w:rPr>
      <w:rFonts w:hint="eastAsia" w:ascii="宋体" w:hAnsi="宋体" w:eastAsia="宋体" w:cs="Times New Roman"/>
      <w:bCs/>
      <w:color w:val="000000"/>
      <w:sz w:val="24"/>
    </w:rPr>
  </w:style>
  <w:style w:type="paragraph" w:customStyle="1" w:styleId="71">
    <w:name w:val="3级标题"/>
    <w:basedOn w:val="1"/>
    <w:qFormat/>
    <w:uiPriority w:val="0"/>
    <w:pPr>
      <w:spacing w:beforeLines="50" w:line="360" w:lineRule="auto"/>
      <w:ind w:right="240" w:rightChars="100" w:firstLine="482" w:firstLineChars="200"/>
      <w:jc w:val="both"/>
      <w:outlineLvl w:val="1"/>
    </w:pPr>
    <w:rPr>
      <w:rFonts w:ascii="Times New Roman" w:hAnsi="Times New Roman" w:eastAsia="宋体" w:cs="Times New Roman"/>
      <w:b/>
      <w:sz w:val="24"/>
    </w:rPr>
  </w:style>
  <w:style w:type="table" w:customStyle="1" w:styleId="72">
    <w:name w:val="立信年报表格 [2级]"/>
    <w:basedOn w:val="21"/>
    <w:qFormat/>
    <w:uiPriority w:val="0"/>
    <w:pPr>
      <w:jc w:val="both"/>
    </w:pPr>
    <w:rPr>
      <w:color w:val="000000"/>
      <w:sz w:val="18"/>
      <w:szCs w:val="18"/>
    </w:rPr>
    <w:tblPr>
      <w:tblStyle w:val="21"/>
      <w:tblBorders>
        <w:top w:val="single" w:color="auto" w:sz="12" w:space="0"/>
        <w:bottom w:val="single" w:color="auto" w:sz="12" w:space="0"/>
        <w:insideH w:val="dotted" w:color="auto" w:sz="4" w:space="0"/>
        <w:insideV w:val="dotted" w:color="auto" w:sz="4" w:space="0"/>
      </w:tblBorders>
    </w:tblPr>
  </w:style>
  <w:style w:type="paragraph" w:customStyle="1" w:styleId="73">
    <w:name w:val="222222"/>
    <w:basedOn w:val="1"/>
    <w:qFormat/>
    <w:uiPriority w:val="0"/>
    <w:pPr>
      <w:widowControl/>
      <w:spacing w:before="40" w:beforeLines="40" w:after="40" w:afterLines="40" w:line="0" w:lineRule="atLeast"/>
      <w:jc w:val="center"/>
    </w:pPr>
    <w:rPr>
      <w:rFonts w:ascii="等线" w:hAnsi="等线" w:eastAsia="等线" w:cs="Times New Roman"/>
      <w:szCs w:val="22"/>
    </w:rPr>
  </w:style>
  <w:style w:type="paragraph" w:customStyle="1" w:styleId="74">
    <w:name w:val="WXH正文"/>
    <w:basedOn w:val="1"/>
    <w:qFormat/>
    <w:uiPriority w:val="0"/>
    <w:pPr>
      <w:spacing w:beforeLines="50" w:line="360" w:lineRule="auto"/>
      <w:ind w:firstLine="480" w:firstLineChars="200"/>
    </w:pPr>
  </w:style>
  <w:style w:type="paragraph" w:customStyle="1" w:styleId="75">
    <w:name w:val="Table Text"/>
    <w:basedOn w:val="1"/>
    <w:semiHidden/>
    <w:qFormat/>
    <w:uiPriority w:val="0"/>
    <w:rPr>
      <w:rFonts w:ascii="PingFang SC" w:hAnsi="PingFang SC" w:eastAsia="PingFang SC" w:cs="PingFang SC"/>
      <w:sz w:val="18"/>
      <w:szCs w:val="18"/>
      <w:lang w:eastAsia="en-US"/>
    </w:rPr>
  </w:style>
  <w:style w:type="table" w:customStyle="1" w:styleId="76">
    <w:name w:val="Table Normal"/>
    <w:unhideWhenUsed/>
    <w:qFormat/>
    <w:uiPriority w:val="0"/>
    <w:rPr>
      <w:lang w:val="en-US" w:eastAsia="zh-CN" w:bidi="ar-SA"/>
    </w:rPr>
    <w:tblPr>
      <w:tblStyle w:val="21"/>
      <w:tblCellMar>
        <w:top w:w="0" w:type="dxa"/>
        <w:left w:w="0" w:type="dxa"/>
        <w:bottom w:w="0" w:type="dxa"/>
        <w:right w:w="0" w:type="dxa"/>
      </w:tblCellMar>
    </w:tblPr>
  </w:style>
  <w:style w:type="paragraph" w:customStyle="1" w:styleId="77">
    <w:name w:val="xl22"/>
    <w:basedOn w:val="1"/>
    <w:qFormat/>
    <w:uiPriority w:val="0"/>
    <w:pPr>
      <w:widowControl/>
      <w:pBdr>
        <w:right w:val="single" w:color="auto" w:sz="4" w:space="0"/>
      </w:pBdr>
      <w:spacing w:before="100" w:after="100"/>
      <w:jc w:val="center"/>
      <w:textAlignment w:val="top"/>
    </w:pPr>
    <w:rPr>
      <w:rFonts w:ascii="宋体" w:hAnsi="宋体"/>
      <w:kern w:val="0"/>
      <w:szCs w:val="20"/>
    </w:rPr>
  </w:style>
  <w:style w:type="character" w:customStyle="1" w:styleId="78">
    <w:name w:val="font11"/>
    <w:uiPriority w:val="0"/>
    <w:rPr>
      <w:rFonts w:hint="eastAsia" w:ascii="宋体" w:hAnsi="宋体" w:eastAsia="宋体" w:cs="宋体"/>
      <w:color w:val="000000"/>
      <w:sz w:val="21"/>
      <w:szCs w:val="21"/>
      <w:u w:val="none"/>
    </w:rPr>
  </w:style>
  <w:style w:type="character" w:customStyle="1" w:styleId="79">
    <w:name w:val="font21"/>
    <w:uiPriority w:val="0"/>
    <w:rPr>
      <w:rFonts w:hint="default" w:ascii="Times New Roman" w:hAnsi="Times New Roman" w:cs="Times New Roman"/>
      <w:color w:val="000000"/>
      <w:sz w:val="21"/>
      <w:szCs w:val="21"/>
      <w:u w:val="none"/>
    </w:rPr>
  </w:style>
  <w:style w:type="character" w:customStyle="1" w:styleId="80">
    <w:name w:val="font41"/>
    <w:uiPriority w:val="0"/>
    <w:rPr>
      <w:rFonts w:hint="default" w:ascii="Times New Roman" w:hAnsi="Times New Roman" w:cs="Times New Roman"/>
      <w:b/>
      <w:bCs/>
      <w:color w:val="000000"/>
      <w:sz w:val="21"/>
      <w:szCs w:val="21"/>
      <w:u w:val="none"/>
    </w:rPr>
  </w:style>
  <w:style w:type="table" w:customStyle="1" w:styleId="81">
    <w:name w:val="网格型18"/>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网格型19"/>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
    <w:name w:val="网格型20"/>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4">
    <w:name w:val="003三级标题"/>
    <w:qFormat/>
    <w:uiPriority w:val="0"/>
    <w:pPr>
      <w:keepNext/>
      <w:keepLines/>
      <w:widowControl w:val="0"/>
      <w:spacing w:before="50" w:beforeLines="50" w:after="50" w:afterLines="50" w:line="360" w:lineRule="auto"/>
      <w:ind w:firstLine="200" w:firstLineChars="200"/>
      <w:jc w:val="both"/>
      <w:outlineLvl w:val="2"/>
    </w:pPr>
    <w:rPr>
      <w:b/>
      <w:bCs/>
      <w:kern w:val="2"/>
      <w:sz w:val="24"/>
      <w:szCs w:val="28"/>
      <w:lang w:val="en-US" w:eastAsia="zh-CN" w:bidi="ar-SA"/>
    </w:rPr>
  </w:style>
  <w:style w:type="paragraph" w:customStyle="1" w:styleId="85">
    <w:name w:val="004四级标题"/>
    <w:qFormat/>
    <w:uiPriority w:val="0"/>
    <w:pPr>
      <w:keepNext/>
      <w:keepLines/>
      <w:widowControl w:val="0"/>
      <w:spacing w:before="50" w:beforeLines="50" w:after="50" w:afterLines="50" w:line="360" w:lineRule="auto"/>
      <w:ind w:firstLine="200" w:firstLineChars="200"/>
      <w:jc w:val="both"/>
      <w:outlineLvl w:val="3"/>
    </w:pPr>
    <w:rPr>
      <w:b/>
      <w:bCs/>
      <w:kern w:val="2"/>
      <w:sz w:val="24"/>
      <w:szCs w:val="28"/>
      <w:lang w:val="en-US" w:eastAsia="zh-CN" w:bidi="ar-SA"/>
    </w:rPr>
  </w:style>
  <w:style w:type="paragraph" w:customStyle="1" w:styleId="86">
    <w:name w:val="006备注"/>
    <w:qFormat/>
    <w:uiPriority w:val="0"/>
    <w:pPr>
      <w:widowControl w:val="0"/>
      <w:ind w:firstLine="200" w:firstLineChars="200"/>
      <w:jc w:val="both"/>
    </w:pPr>
    <w:rPr>
      <w:rFonts w:cs="Arial"/>
      <w:bCs/>
      <w:kern w:val="2"/>
      <w:sz w:val="21"/>
      <w:szCs w:val="22"/>
      <w:lang w:val="en-US" w:eastAsia="zh-CN" w:bidi="ar-SA"/>
    </w:rPr>
  </w:style>
  <w:style w:type="paragraph" w:customStyle="1" w:styleId="87">
    <w:name w:val="009单位"/>
    <w:qFormat/>
    <w:uiPriority w:val="0"/>
    <w:pPr>
      <w:keepNext/>
      <w:widowControl w:val="0"/>
      <w:jc w:val="right"/>
    </w:pPr>
    <w:rPr>
      <w:kern w:val="2"/>
      <w:sz w:val="21"/>
      <w:szCs w:val="22"/>
      <w:lang w:val="en-US" w:eastAsia="zh-CN" w:bidi="ar-SA"/>
    </w:rPr>
  </w:style>
  <w:style w:type="table" w:customStyle="1" w:styleId="88">
    <w:name w:val="网格型27"/>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
    <w:name w:val="网格型28"/>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
    <w:name w:val="网格型29"/>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
    <w:name w:val="网格型30"/>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
    <w:name w:val="网格型35"/>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
    <w:name w:val="网格型36"/>
    <w:basedOn w:val="21"/>
    <w:qFormat/>
    <w:uiPriority w:val="39"/>
    <w:rPr>
      <w:rFonts w:ascii="Cambria" w:hAnsi="Cambria"/>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9315</Words>
  <Characters>10716</Characters>
  <Lines>151</Lines>
  <Paragraphs>42</Paragraphs>
  <TotalTime>0</TotalTime>
  <ScaleCrop>false</ScaleCrop>
  <LinksUpToDate>false</LinksUpToDate>
  <CharactersWithSpaces>10742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2025-08-07T11:49:00Z</dcterms:created>
  <dc:creator>Z</dc:creator>
  <cp:lastModifiedBy>HDL</cp:lastModifiedBy>
  <dcterms:modified xsi:type="dcterms:W3CDTF">2026-03-30T11:20:02Z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C812F9079EC240D2AD652CF0651925A7_13</vt:lpwstr>
  </property>
  <property fmtid="{D5CDD505-2E9C-101B-9397-08002B2CF9AE}" pid="4" name="KSOTemplateDocerSaveRecord">
    <vt:lpwstr>eyJoZGlkIjoiMzEwNTM5NzYwMDRjMzkwZTVkZjY2ODkwMGIxNGU0OTUiLCJ1c2VySWQiOiIzNjg4Nzg3ODIifQ==</vt:lpwstr>
  </property>
</Properties>
</file>