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CDACB">
      <w:pPr>
        <w:spacing w:line="360" w:lineRule="auto"/>
        <w:jc w:val="both"/>
        <w:rPr>
          <w:rFonts w:ascii="仿宋" w:hAnsi="仿宋" w:eastAsia="仿宋" w:cs="Times New Roman"/>
          <w:sz w:val="28"/>
          <w:szCs w:val="20"/>
          <w:lang w:eastAsia="zh-CN"/>
        </w:rPr>
      </w:pPr>
      <w:r>
        <w:rPr>
          <w:rFonts w:hint="eastAsia" w:ascii="仿宋" w:hAnsi="仿宋" w:eastAsia="仿宋" w:cs="Times New Roman"/>
          <w:sz w:val="28"/>
          <w:szCs w:val="20"/>
          <w:lang w:eastAsia="zh-CN"/>
        </w:rPr>
        <w:t>证券代码：301178     证券简称：天亿马    公告编号：2026-031</w:t>
      </w:r>
    </w:p>
    <w:p w14:paraId="25EE0326">
      <w:pPr>
        <w:widowControl w:val="0"/>
        <w:kinsoku/>
        <w:snapToGrid/>
        <w:spacing w:line="360" w:lineRule="auto"/>
        <w:jc w:val="center"/>
        <w:textAlignment w:val="auto"/>
        <w:rPr>
          <w:rFonts w:ascii="黑体" w:hAnsi="黑体" w:eastAsia="黑体" w:cs="Times New Roman"/>
          <w:snapToGrid/>
          <w:kern w:val="2"/>
          <w:sz w:val="36"/>
          <w:szCs w:val="36"/>
          <w:lang w:eastAsia="zh-CN"/>
        </w:rPr>
      </w:pPr>
      <w:r>
        <w:rPr>
          <w:rFonts w:hint="eastAsia" w:ascii="黑体" w:hAnsi="黑体" w:eastAsia="黑体" w:cs="Times New Roman"/>
          <w:snapToGrid/>
          <w:kern w:val="2"/>
          <w:sz w:val="36"/>
          <w:szCs w:val="36"/>
          <w:lang w:eastAsia="zh-CN"/>
        </w:rPr>
        <w:t>广东天亿马信息产业股份有限公司</w:t>
      </w:r>
    </w:p>
    <w:p w14:paraId="48DD06F3">
      <w:pPr>
        <w:widowControl w:val="0"/>
        <w:kinsoku/>
        <w:snapToGrid/>
        <w:spacing w:line="360" w:lineRule="auto"/>
        <w:jc w:val="center"/>
        <w:textAlignment w:val="auto"/>
        <w:rPr>
          <w:rFonts w:ascii="宋体" w:hAnsi="宋体" w:eastAsia="宋体" w:cs="宋体"/>
          <w:b/>
          <w:bCs/>
          <w:sz w:val="30"/>
          <w:szCs w:val="30"/>
          <w:lang w:eastAsia="zh-CN"/>
        </w:rPr>
      </w:pPr>
      <w:r>
        <w:rPr>
          <w:rFonts w:hint="eastAsia" w:ascii="黑体" w:hAnsi="黑体" w:eastAsia="黑体" w:cs="Times New Roman"/>
          <w:snapToGrid/>
          <w:kern w:val="2"/>
          <w:sz w:val="36"/>
          <w:szCs w:val="36"/>
          <w:lang w:eastAsia="zh-CN"/>
        </w:rPr>
        <w:t>关于子公司增资扩股并引入外部投资者的公告</w:t>
      </w:r>
    </w:p>
    <w:tbl>
      <w:tblPr>
        <w:tblStyle w:val="14"/>
        <w:tblW w:w="7962" w:type="dxa"/>
        <w:tblInd w:w="29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962"/>
      </w:tblGrid>
      <w:tr w14:paraId="3E8A0A9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76" w:hRule="atLeast"/>
        </w:trPr>
        <w:tc>
          <w:tcPr>
            <w:tcW w:w="7962" w:type="dxa"/>
          </w:tcPr>
          <w:p w14:paraId="4AB097D8">
            <w:pPr>
              <w:kinsoku/>
              <w:autoSpaceDE/>
              <w:autoSpaceDN/>
              <w:adjustRightInd/>
              <w:snapToGrid/>
              <w:spacing w:line="440" w:lineRule="exact"/>
              <w:ind w:firstLine="560" w:firstLineChars="200"/>
              <w:jc w:val="both"/>
              <w:textAlignment w:val="auto"/>
              <w:rPr>
                <w:rFonts w:ascii="楷体" w:hAnsi="楷体" w:eastAsia="楷体" w:cs="宋体"/>
                <w:snapToGrid/>
                <w:sz w:val="28"/>
                <w:szCs w:val="24"/>
                <w:lang w:eastAsia="zh-CN"/>
              </w:rPr>
            </w:pPr>
            <w:r>
              <w:rPr>
                <w:rFonts w:hint="eastAsia" w:ascii="楷体" w:hAnsi="楷体" w:eastAsia="楷体" w:cs="宋体"/>
                <w:snapToGrid/>
                <w:sz w:val="28"/>
                <w:szCs w:val="24"/>
                <w:lang w:eastAsia="zh-CN"/>
              </w:rPr>
              <w:t>本公司及董事会全体成员保证信息披露的内容真实、准确、完整，没有虚假记载、误导性陈述或者重大遗漏。</w:t>
            </w:r>
          </w:p>
        </w:tc>
      </w:tr>
    </w:tbl>
    <w:p w14:paraId="3CF305D0">
      <w:pPr>
        <w:spacing w:line="360" w:lineRule="auto"/>
        <w:jc w:val="both"/>
        <w:rPr>
          <w:rFonts w:ascii="宋体" w:hAnsi="宋体" w:eastAsia="宋体" w:cs="宋体"/>
          <w:b/>
          <w:bCs/>
          <w:sz w:val="24"/>
          <w:szCs w:val="24"/>
          <w:lang w:eastAsia="zh-CN"/>
        </w:rPr>
      </w:pPr>
    </w:p>
    <w:p w14:paraId="78C9D344">
      <w:pPr>
        <w:widowControl w:val="0"/>
        <w:kinsoku/>
        <w:autoSpaceDE/>
        <w:autoSpaceDN/>
        <w:adjustRightInd/>
        <w:snapToGrid/>
        <w:spacing w:line="360" w:lineRule="auto"/>
        <w:ind w:firstLine="562" w:firstLineChars="200"/>
        <w:jc w:val="both"/>
        <w:textAlignment w:val="auto"/>
        <w:outlineLvl w:val="0"/>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特别提示：</w:t>
      </w:r>
    </w:p>
    <w:p w14:paraId="62DC4D74">
      <w:pPr>
        <w:widowControl w:val="0"/>
        <w:tabs>
          <w:tab w:val="left" w:pos="312"/>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广东天亿马信息产业股份有限公司（以下简称“公司”“天亿马”）同意全资子公司广东天亿马数字产业有限公司（以下简称“天亿马数字”“标的公司”）增资扩股，注册资本由1,000万元增加至17,000万元，并引入新股东广东省粤财产业科技股权投资基金合伙企业(有限合伙)（以下简称“粤财产投基金”）；</w:t>
      </w:r>
    </w:p>
    <w:p w14:paraId="3D883667">
      <w:pPr>
        <w:widowControl w:val="0"/>
        <w:tabs>
          <w:tab w:val="left" w:pos="312"/>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2.公司以自有资金向天亿马数字增资8,000万元，增资后股权比例由100%变更为52.94%；交易对手方粤财产投基金以自有资金出资8,000万元，获得增资后股权比例47.06%；</w:t>
      </w:r>
    </w:p>
    <w:p w14:paraId="280BDC34">
      <w:pPr>
        <w:widowControl w:val="0"/>
        <w:tabs>
          <w:tab w:val="left" w:pos="312"/>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3.本次增资不涉及公司合并报表范围的变更；</w:t>
      </w:r>
    </w:p>
    <w:p w14:paraId="2E8B547B">
      <w:pPr>
        <w:widowControl w:val="0"/>
        <w:tabs>
          <w:tab w:val="left" w:pos="312"/>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4.本次增资事项不构成关联交易，不构成《上市公司重大资产重组管理办法》规定的重大资产重组。</w:t>
      </w:r>
    </w:p>
    <w:p w14:paraId="37D87B4C">
      <w:pPr>
        <w:widowControl w:val="0"/>
        <w:kinsoku/>
        <w:autoSpaceDE/>
        <w:autoSpaceDN/>
        <w:adjustRightInd/>
        <w:snapToGrid/>
        <w:spacing w:line="360" w:lineRule="auto"/>
        <w:ind w:firstLine="562" w:firstLineChars="200"/>
        <w:jc w:val="both"/>
        <w:textAlignment w:val="auto"/>
        <w:outlineLvl w:val="0"/>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一、交易概述</w:t>
      </w:r>
    </w:p>
    <w:p w14:paraId="7B032524">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公司于2026年5月21日召开第四届董事会第七次会议，审议通过了《关于子公司拟增资扩股并引入外部投资者的议案》。依据经营规划，公司同意天亿马数字计划增资扩股并引入新股东粤财产投基金。天亿马数字注册资本由1,000万元增加至17,000万元，由公司以自有资金增资8,000万元，新股东粤财产投基金以自有资金出资8,000万元。增资后，公司持股比例由100%变更为52.94%，粤财产投基金持股47.06%。</w:t>
      </w:r>
    </w:p>
    <w:p w14:paraId="71ACF4F2">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根据《深圳证券交易所股票上市规则》等相关规定，本次对子公司增资不构成关联交易，不构成《上市公司重大资产重组管理办法》规定的重大资产重组事项。根据《公司章程》等有关规定，上述增资事项属于公司董事会审议权限，无需提交股东会审议。</w:t>
      </w:r>
    </w:p>
    <w:p w14:paraId="15F3DC35">
      <w:pPr>
        <w:widowControl w:val="0"/>
        <w:numPr>
          <w:ilvl w:val="0"/>
          <w:numId w:val="1"/>
        </w:numPr>
        <w:kinsoku/>
        <w:autoSpaceDE/>
        <w:autoSpaceDN/>
        <w:adjustRightInd/>
        <w:snapToGrid/>
        <w:spacing w:line="360" w:lineRule="auto"/>
        <w:ind w:firstLine="562" w:firstLineChars="200"/>
        <w:jc w:val="both"/>
        <w:textAlignment w:val="auto"/>
        <w:outlineLvl w:val="0"/>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交易对手方基本情况</w:t>
      </w:r>
    </w:p>
    <w:tbl>
      <w:tblPr>
        <w:tblStyle w:val="11"/>
        <w:tblpPr w:leftFromText="180" w:rightFromText="180" w:vertAnchor="text" w:horzAnchor="page" w:tblpX="1758" w:tblpY="546"/>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653"/>
      </w:tblGrid>
      <w:tr w14:paraId="1F37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pct"/>
            <w:tcBorders>
              <w:insideV w:val="nil"/>
            </w:tcBorders>
          </w:tcPr>
          <w:p w14:paraId="502E5B5B">
            <w:pPr>
              <w:spacing w:before="0" w:after="0" w:line="240" w:lineRule="auto"/>
              <w:rPr>
                <w:rFonts w:ascii="仿宋" w:hAnsi="仿宋" w:eastAsia="仿宋" w:cs="仿宋"/>
                <w:b w:val="0"/>
                <w:bCs/>
                <w:color w:val="000000" w:themeColor="text1" w:themeShade="BF"/>
                <w:sz w:val="24"/>
                <w:szCs w:val="24"/>
              </w:rPr>
            </w:pPr>
            <w:r>
              <w:rPr>
                <w:rFonts w:hint="eastAsia" w:ascii="仿宋" w:hAnsi="仿宋" w:eastAsia="仿宋" w:cs="仿宋"/>
                <w:b w:val="0"/>
                <w:bCs/>
                <w:color w:val="000000" w:themeColor="text1" w:themeShade="BF"/>
                <w:sz w:val="24"/>
                <w:szCs w:val="24"/>
              </w:rPr>
              <w:t>名称</w:t>
            </w:r>
          </w:p>
        </w:tc>
        <w:tc>
          <w:tcPr>
            <w:tcW w:w="3865" w:type="pct"/>
            <w:tcBorders>
              <w:insideV w:val="nil"/>
            </w:tcBorders>
          </w:tcPr>
          <w:p w14:paraId="74CC778D">
            <w:pPr>
              <w:spacing w:before="0" w:after="0" w:line="240" w:lineRule="auto"/>
              <w:rPr>
                <w:rFonts w:ascii="仿宋" w:hAnsi="仿宋" w:eastAsia="仿宋" w:cs="仿宋"/>
                <w:b w:val="0"/>
                <w:bCs/>
                <w:color w:val="000000" w:themeColor="text1" w:themeShade="BF"/>
                <w:sz w:val="24"/>
                <w:szCs w:val="24"/>
              </w:rPr>
            </w:pPr>
            <w:r>
              <w:rPr>
                <w:rFonts w:hint="eastAsia" w:ascii="仿宋" w:hAnsi="仿宋" w:eastAsia="仿宋" w:cs="仿宋"/>
                <w:b w:val="0"/>
                <w:bCs/>
                <w:color w:val="000000" w:themeColor="text1" w:themeShade="BF"/>
                <w:sz w:val="24"/>
                <w:szCs w:val="24"/>
              </w:rPr>
              <w:t>广东省粤财产业科技股权投资基金合伙企业（有限合伙）</w:t>
            </w:r>
          </w:p>
        </w:tc>
      </w:tr>
      <w:tr w14:paraId="62BF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pct"/>
            <w:shd w:val="clear" w:color="auto" w:fill="auto"/>
          </w:tcPr>
          <w:p w14:paraId="6FA3822A">
            <w:pPr>
              <w:rPr>
                <w:rFonts w:ascii="仿宋" w:hAnsi="仿宋" w:eastAsia="仿宋" w:cs="仿宋"/>
                <w:b w:val="0"/>
                <w:bCs/>
                <w:color w:val="000000" w:themeColor="text1" w:themeShade="BF"/>
                <w:sz w:val="24"/>
                <w:szCs w:val="24"/>
                <w:lang w:eastAsia="zh-CN"/>
              </w:rPr>
            </w:pPr>
            <w:r>
              <w:rPr>
                <w:rFonts w:hint="eastAsia" w:ascii="仿宋" w:hAnsi="仿宋" w:eastAsia="仿宋" w:cs="仿宋"/>
                <w:b w:val="0"/>
                <w:bCs/>
                <w:color w:val="000000" w:themeColor="text1" w:themeShade="BF"/>
                <w:sz w:val="24"/>
                <w:szCs w:val="24"/>
                <w:lang w:eastAsia="zh-CN"/>
              </w:rPr>
              <w:t>类型</w:t>
            </w:r>
          </w:p>
        </w:tc>
        <w:tc>
          <w:tcPr>
            <w:tcW w:w="3865" w:type="pct"/>
            <w:shd w:val="clear" w:color="auto" w:fill="auto"/>
          </w:tcPr>
          <w:p w14:paraId="30B632A7">
            <w:pPr>
              <w:rPr>
                <w:rFonts w:ascii="仿宋" w:hAnsi="仿宋" w:eastAsia="仿宋" w:cs="仿宋"/>
                <w:color w:val="000000" w:themeColor="text1" w:themeShade="BF"/>
                <w:sz w:val="24"/>
                <w:szCs w:val="24"/>
              </w:rPr>
            </w:pPr>
            <w:r>
              <w:rPr>
                <w:rFonts w:hint="eastAsia" w:ascii="仿宋" w:hAnsi="仿宋" w:eastAsia="仿宋" w:cs="仿宋"/>
                <w:sz w:val="24"/>
                <w:szCs w:val="24"/>
              </w:rPr>
              <w:t>有限合伙企业</w:t>
            </w:r>
          </w:p>
        </w:tc>
      </w:tr>
      <w:tr w14:paraId="6FDA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pct"/>
            <w:shd w:val="clear" w:color="auto" w:fill="auto"/>
          </w:tcPr>
          <w:p w14:paraId="5C3B17A6">
            <w:pPr>
              <w:rPr>
                <w:rFonts w:ascii="仿宋" w:hAnsi="仿宋" w:eastAsia="仿宋" w:cs="仿宋"/>
                <w:b w:val="0"/>
                <w:bCs/>
                <w:color w:val="000000" w:themeColor="text1" w:themeShade="BF"/>
                <w:sz w:val="24"/>
                <w:szCs w:val="24"/>
              </w:rPr>
            </w:pPr>
            <w:r>
              <w:rPr>
                <w:rFonts w:hint="eastAsia" w:ascii="仿宋" w:hAnsi="仿宋" w:eastAsia="仿宋" w:cs="仿宋"/>
                <w:b w:val="0"/>
                <w:bCs/>
                <w:color w:val="000000" w:themeColor="text1" w:themeShade="BF"/>
                <w:sz w:val="24"/>
                <w:szCs w:val="24"/>
              </w:rPr>
              <w:t>成立日期</w:t>
            </w:r>
          </w:p>
        </w:tc>
        <w:tc>
          <w:tcPr>
            <w:tcW w:w="3865" w:type="pct"/>
            <w:shd w:val="clear" w:color="auto" w:fill="auto"/>
          </w:tcPr>
          <w:p w14:paraId="0321825F">
            <w:pPr>
              <w:rPr>
                <w:rFonts w:ascii="仿宋" w:hAnsi="仿宋" w:eastAsia="仿宋" w:cs="仿宋"/>
                <w:color w:val="000000" w:themeColor="text1" w:themeShade="BF"/>
                <w:sz w:val="24"/>
                <w:szCs w:val="24"/>
              </w:rPr>
            </w:pPr>
            <w:r>
              <w:rPr>
                <w:rFonts w:hint="eastAsia" w:ascii="仿宋" w:hAnsi="仿宋" w:eastAsia="仿宋" w:cs="仿宋"/>
                <w:sz w:val="24"/>
                <w:szCs w:val="24"/>
              </w:rPr>
              <w:t>2025年9月18日</w:t>
            </w:r>
          </w:p>
        </w:tc>
      </w:tr>
      <w:tr w14:paraId="0E1E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pct"/>
            <w:shd w:val="clear" w:color="auto" w:fill="auto"/>
          </w:tcPr>
          <w:p w14:paraId="4A191F21">
            <w:pPr>
              <w:rPr>
                <w:rFonts w:ascii="仿宋" w:hAnsi="仿宋" w:eastAsia="仿宋" w:cs="仿宋"/>
                <w:b w:val="0"/>
                <w:bCs/>
                <w:color w:val="000000" w:themeColor="text1" w:themeShade="BF"/>
                <w:sz w:val="24"/>
                <w:szCs w:val="24"/>
              </w:rPr>
            </w:pPr>
            <w:r>
              <w:rPr>
                <w:rFonts w:hint="eastAsia" w:ascii="仿宋" w:hAnsi="仿宋" w:eastAsia="仿宋" w:cs="仿宋"/>
                <w:b w:val="0"/>
                <w:bCs/>
                <w:color w:val="000000" w:themeColor="text1" w:themeShade="BF"/>
                <w:sz w:val="24"/>
                <w:szCs w:val="24"/>
              </w:rPr>
              <w:t>注册地点</w:t>
            </w:r>
          </w:p>
        </w:tc>
        <w:tc>
          <w:tcPr>
            <w:tcW w:w="3865" w:type="pct"/>
            <w:shd w:val="clear" w:color="auto" w:fill="auto"/>
          </w:tcPr>
          <w:p w14:paraId="6EDD2BF9">
            <w:pPr>
              <w:rPr>
                <w:rFonts w:ascii="仿宋" w:hAnsi="仿宋" w:eastAsia="仿宋" w:cs="仿宋"/>
                <w:color w:val="000000" w:themeColor="text1" w:themeShade="BF"/>
                <w:sz w:val="24"/>
                <w:szCs w:val="24"/>
              </w:rPr>
            </w:pPr>
            <w:r>
              <w:rPr>
                <w:rFonts w:hint="eastAsia" w:ascii="仿宋" w:hAnsi="仿宋" w:eastAsia="仿宋" w:cs="仿宋"/>
                <w:sz w:val="24"/>
                <w:szCs w:val="24"/>
              </w:rPr>
              <w:t>广州市南沙区横沥镇明珠一街1号311房-A158</w:t>
            </w:r>
          </w:p>
        </w:tc>
      </w:tr>
      <w:tr w14:paraId="32D1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pct"/>
            <w:shd w:val="clear" w:color="auto" w:fill="auto"/>
          </w:tcPr>
          <w:p w14:paraId="4B035F8E">
            <w:pPr>
              <w:rPr>
                <w:rFonts w:ascii="仿宋" w:hAnsi="仿宋" w:eastAsia="仿宋" w:cs="仿宋"/>
                <w:b w:val="0"/>
                <w:bCs/>
                <w:color w:val="000000" w:themeColor="text1" w:themeShade="BF"/>
                <w:sz w:val="24"/>
                <w:szCs w:val="24"/>
                <w:lang w:eastAsia="zh-CN"/>
              </w:rPr>
            </w:pPr>
            <w:r>
              <w:rPr>
                <w:rFonts w:hint="eastAsia" w:ascii="仿宋" w:hAnsi="仿宋" w:eastAsia="仿宋" w:cs="仿宋"/>
                <w:b w:val="0"/>
                <w:bCs/>
                <w:color w:val="000000" w:themeColor="text1" w:themeShade="BF"/>
                <w:sz w:val="24"/>
                <w:szCs w:val="24"/>
                <w:lang w:eastAsia="zh-CN"/>
              </w:rPr>
              <w:t>执行事务合伙人</w:t>
            </w:r>
          </w:p>
        </w:tc>
        <w:tc>
          <w:tcPr>
            <w:tcW w:w="3865" w:type="pct"/>
            <w:shd w:val="clear" w:color="auto" w:fill="auto"/>
          </w:tcPr>
          <w:p w14:paraId="0B3BC2D2">
            <w:pPr>
              <w:rPr>
                <w:rFonts w:ascii="仿宋" w:hAnsi="仿宋" w:eastAsia="仿宋" w:cs="仿宋"/>
                <w:color w:val="000000" w:themeColor="text1" w:themeShade="BF"/>
                <w:sz w:val="24"/>
                <w:szCs w:val="24"/>
                <w:lang w:eastAsia="zh-CN"/>
              </w:rPr>
            </w:pPr>
            <w:r>
              <w:rPr>
                <w:rFonts w:hint="eastAsia" w:ascii="仿宋" w:hAnsi="仿宋" w:eastAsia="仿宋" w:cs="仿宋"/>
                <w:sz w:val="24"/>
                <w:szCs w:val="24"/>
              </w:rPr>
              <w:t>粤财私募股权投资（广东）有限公司</w:t>
            </w:r>
          </w:p>
        </w:tc>
      </w:tr>
      <w:tr w14:paraId="471A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pct"/>
            <w:shd w:val="clear" w:color="auto" w:fill="auto"/>
          </w:tcPr>
          <w:p w14:paraId="234770AA">
            <w:pPr>
              <w:rPr>
                <w:rFonts w:ascii="仿宋" w:hAnsi="仿宋" w:eastAsia="仿宋" w:cs="仿宋"/>
                <w:b w:val="0"/>
                <w:bCs/>
                <w:color w:val="000000" w:themeColor="text1" w:themeShade="BF"/>
                <w:sz w:val="24"/>
                <w:szCs w:val="24"/>
                <w:lang w:eastAsia="zh-CN"/>
              </w:rPr>
            </w:pPr>
            <w:r>
              <w:rPr>
                <w:rFonts w:hint="eastAsia" w:ascii="仿宋" w:hAnsi="仿宋" w:eastAsia="仿宋" w:cs="仿宋"/>
                <w:b w:val="0"/>
                <w:bCs/>
                <w:color w:val="000000" w:themeColor="text1" w:themeShade="BF"/>
                <w:sz w:val="24"/>
                <w:szCs w:val="24"/>
                <w:lang w:eastAsia="zh-CN"/>
              </w:rPr>
              <w:t>出资额</w:t>
            </w:r>
          </w:p>
        </w:tc>
        <w:tc>
          <w:tcPr>
            <w:tcW w:w="3865" w:type="pct"/>
            <w:shd w:val="clear" w:color="auto" w:fill="auto"/>
          </w:tcPr>
          <w:p w14:paraId="21C559B3">
            <w:pPr>
              <w:rPr>
                <w:rFonts w:ascii="仿宋" w:hAnsi="仿宋" w:eastAsia="仿宋" w:cs="仿宋"/>
                <w:color w:val="000000" w:themeColor="text1" w:themeShade="BF"/>
                <w:sz w:val="24"/>
                <w:szCs w:val="24"/>
              </w:rPr>
            </w:pPr>
            <w:r>
              <w:rPr>
                <w:rFonts w:hint="eastAsia" w:ascii="仿宋" w:hAnsi="仿宋" w:eastAsia="仿宋" w:cs="仿宋"/>
                <w:sz w:val="24"/>
                <w:szCs w:val="24"/>
              </w:rPr>
              <w:t>人民币400,100万元</w:t>
            </w:r>
          </w:p>
        </w:tc>
      </w:tr>
      <w:tr w14:paraId="0B16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pct"/>
            <w:shd w:val="clear" w:color="auto" w:fill="auto"/>
          </w:tcPr>
          <w:p w14:paraId="76E98D10">
            <w:pPr>
              <w:rPr>
                <w:rFonts w:ascii="仿宋" w:hAnsi="仿宋" w:eastAsia="仿宋" w:cs="仿宋"/>
                <w:b w:val="0"/>
                <w:bCs/>
                <w:color w:val="000000" w:themeColor="text1" w:themeShade="BF"/>
                <w:sz w:val="24"/>
                <w:szCs w:val="24"/>
                <w:lang w:eastAsia="zh-CN"/>
              </w:rPr>
            </w:pPr>
            <w:r>
              <w:rPr>
                <w:rFonts w:hint="eastAsia" w:ascii="仿宋" w:hAnsi="仿宋" w:eastAsia="仿宋" w:cs="仿宋"/>
                <w:b w:val="0"/>
                <w:bCs/>
                <w:color w:val="000000" w:themeColor="text1" w:themeShade="BF"/>
                <w:sz w:val="24"/>
                <w:szCs w:val="24"/>
                <w:lang w:eastAsia="zh-CN"/>
              </w:rPr>
              <w:t>经营范围</w:t>
            </w:r>
          </w:p>
        </w:tc>
        <w:tc>
          <w:tcPr>
            <w:tcW w:w="3865" w:type="pct"/>
            <w:shd w:val="clear" w:color="auto" w:fill="auto"/>
          </w:tcPr>
          <w:p w14:paraId="148DEE9A">
            <w:pPr>
              <w:rPr>
                <w:rFonts w:ascii="仿宋" w:hAnsi="仿宋" w:eastAsia="仿宋" w:cs="仿宋"/>
                <w:color w:val="000000" w:themeColor="text1" w:themeShade="BF"/>
                <w:sz w:val="24"/>
                <w:szCs w:val="24"/>
              </w:rPr>
            </w:pPr>
            <w:r>
              <w:rPr>
                <w:rFonts w:hint="eastAsia" w:ascii="仿宋" w:hAnsi="仿宋" w:eastAsia="仿宋" w:cs="仿宋"/>
                <w:sz w:val="24"/>
                <w:szCs w:val="24"/>
              </w:rPr>
              <w:t>以私募基金从事股权投资、投资管理、资产管理等活动（须在中国证券投资基金业协会完成备案登记后方可从事经营活动）</w:t>
            </w:r>
          </w:p>
        </w:tc>
      </w:tr>
    </w:tbl>
    <w:p w14:paraId="7A7443B8">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（一）基本信息</w:t>
      </w:r>
    </w:p>
    <w:p w14:paraId="2D77547F">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（二）产权控制结构</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8"/>
        <w:gridCol w:w="1937"/>
        <w:gridCol w:w="1200"/>
        <w:gridCol w:w="1200"/>
      </w:tblGrid>
      <w:tr w14:paraId="689E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pct"/>
            <w:vAlign w:val="center"/>
          </w:tcPr>
          <w:p w14:paraId="0AE96BF4">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合伙人名称</w:t>
            </w:r>
          </w:p>
        </w:tc>
        <w:tc>
          <w:tcPr>
            <w:tcW w:w="1125" w:type="pct"/>
            <w:vAlign w:val="center"/>
          </w:tcPr>
          <w:p w14:paraId="7A43AB5A">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合伙人性质</w:t>
            </w:r>
          </w:p>
        </w:tc>
        <w:tc>
          <w:tcPr>
            <w:tcW w:w="697" w:type="pct"/>
            <w:vAlign w:val="center"/>
          </w:tcPr>
          <w:p w14:paraId="3C0507EB">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出资额</w:t>
            </w:r>
          </w:p>
          <w:p w14:paraId="32D94908">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（万元）</w:t>
            </w:r>
          </w:p>
        </w:tc>
        <w:tc>
          <w:tcPr>
            <w:tcW w:w="697" w:type="pct"/>
            <w:vAlign w:val="center"/>
          </w:tcPr>
          <w:p w14:paraId="5764C78A">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持股比例</w:t>
            </w:r>
          </w:p>
        </w:tc>
      </w:tr>
      <w:tr w14:paraId="0A18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pct"/>
            <w:vAlign w:val="center"/>
          </w:tcPr>
          <w:p w14:paraId="6E5672A7">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z w:val="24"/>
                <w:szCs w:val="24"/>
              </w:rPr>
              <w:t>粤财私募股权投资（广东）有限公司</w:t>
            </w:r>
          </w:p>
        </w:tc>
        <w:tc>
          <w:tcPr>
            <w:tcW w:w="1125" w:type="pct"/>
            <w:vAlign w:val="center"/>
          </w:tcPr>
          <w:p w14:paraId="327ED471">
            <w:pPr>
              <w:widowControl w:val="0"/>
              <w:kinsoku/>
              <w:autoSpaceDE/>
              <w:autoSpaceDN/>
              <w:adjustRightInd/>
              <w:snapToGrid/>
              <w:jc w:val="center"/>
              <w:textAlignment w:val="auto"/>
              <w:rPr>
                <w:rFonts w:ascii="仿宋" w:hAnsi="仿宋" w:eastAsia="仿宋" w:cs="仿宋"/>
                <w:sz w:val="24"/>
                <w:szCs w:val="24"/>
                <w:lang w:eastAsia="zh-CN"/>
              </w:rPr>
            </w:pPr>
            <w:r>
              <w:rPr>
                <w:rFonts w:hint="eastAsia" w:ascii="仿宋" w:hAnsi="仿宋" w:eastAsia="仿宋" w:cs="仿宋"/>
                <w:sz w:val="24"/>
                <w:szCs w:val="24"/>
                <w:lang w:eastAsia="zh-CN"/>
              </w:rPr>
              <w:t>执行事务合伙人</w:t>
            </w:r>
          </w:p>
        </w:tc>
        <w:tc>
          <w:tcPr>
            <w:tcW w:w="697" w:type="pct"/>
            <w:vAlign w:val="center"/>
          </w:tcPr>
          <w:p w14:paraId="1176C0EA">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z w:val="24"/>
                <w:szCs w:val="24"/>
              </w:rPr>
              <w:t>100</w:t>
            </w:r>
          </w:p>
        </w:tc>
        <w:tc>
          <w:tcPr>
            <w:tcW w:w="697" w:type="pct"/>
            <w:vAlign w:val="center"/>
          </w:tcPr>
          <w:p w14:paraId="3E61D717">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z w:val="24"/>
                <w:szCs w:val="24"/>
              </w:rPr>
              <w:t>0.025%</w:t>
            </w:r>
          </w:p>
        </w:tc>
      </w:tr>
      <w:tr w14:paraId="6D15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9" w:type="pct"/>
            <w:vAlign w:val="center"/>
          </w:tcPr>
          <w:p w14:paraId="289BE3AD">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z w:val="24"/>
                <w:szCs w:val="24"/>
              </w:rPr>
              <w:t>广东</w:t>
            </w:r>
            <w:r>
              <w:rPr>
                <w:rFonts w:hint="eastAsia" w:ascii="仿宋" w:hAnsi="仿宋" w:eastAsia="仿宋" w:cs="仿宋"/>
                <w:sz w:val="24"/>
                <w:szCs w:val="24"/>
                <w:lang w:eastAsia="zh-CN"/>
              </w:rPr>
              <w:t>粤财产投基金</w:t>
            </w:r>
            <w:r>
              <w:rPr>
                <w:rFonts w:hint="eastAsia" w:ascii="仿宋" w:hAnsi="仿宋" w:eastAsia="仿宋" w:cs="仿宋"/>
                <w:sz w:val="24"/>
                <w:szCs w:val="24"/>
              </w:rPr>
              <w:t>控股有限公司</w:t>
            </w:r>
          </w:p>
        </w:tc>
        <w:tc>
          <w:tcPr>
            <w:tcW w:w="1125" w:type="pct"/>
            <w:vAlign w:val="center"/>
          </w:tcPr>
          <w:p w14:paraId="162C8F84">
            <w:pPr>
              <w:widowControl w:val="0"/>
              <w:kinsoku/>
              <w:autoSpaceDE/>
              <w:autoSpaceDN/>
              <w:adjustRightInd/>
              <w:snapToGrid/>
              <w:jc w:val="center"/>
              <w:textAlignment w:val="auto"/>
              <w:rPr>
                <w:rFonts w:ascii="仿宋" w:hAnsi="仿宋" w:eastAsia="仿宋" w:cs="仿宋"/>
                <w:sz w:val="24"/>
                <w:szCs w:val="24"/>
                <w:lang w:eastAsia="zh-CN"/>
              </w:rPr>
            </w:pPr>
            <w:r>
              <w:rPr>
                <w:rFonts w:hint="eastAsia" w:ascii="仿宋" w:hAnsi="仿宋" w:eastAsia="仿宋" w:cs="仿宋"/>
                <w:sz w:val="24"/>
                <w:szCs w:val="24"/>
                <w:lang w:eastAsia="zh-CN"/>
              </w:rPr>
              <w:t>有限合伙人</w:t>
            </w:r>
          </w:p>
        </w:tc>
        <w:tc>
          <w:tcPr>
            <w:tcW w:w="697" w:type="pct"/>
            <w:vAlign w:val="center"/>
          </w:tcPr>
          <w:p w14:paraId="29B53BD3">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z w:val="24"/>
                <w:szCs w:val="24"/>
              </w:rPr>
              <w:t>400,000</w:t>
            </w:r>
          </w:p>
        </w:tc>
        <w:tc>
          <w:tcPr>
            <w:tcW w:w="697" w:type="pct"/>
            <w:vAlign w:val="center"/>
          </w:tcPr>
          <w:p w14:paraId="337AB794">
            <w:pPr>
              <w:widowControl w:val="0"/>
              <w:kinsoku/>
              <w:autoSpaceDE/>
              <w:autoSpaceDN/>
              <w:adjustRightInd/>
              <w:snapToGrid/>
              <w:jc w:val="center"/>
              <w:textAlignment w:val="auto"/>
              <w:rPr>
                <w:rFonts w:ascii="仿宋" w:hAnsi="仿宋" w:eastAsia="仿宋" w:cs="仿宋"/>
                <w:snapToGrid/>
                <w:kern w:val="2"/>
                <w:sz w:val="24"/>
                <w:szCs w:val="24"/>
                <w:lang w:eastAsia="zh-CN"/>
              </w:rPr>
            </w:pPr>
            <w:r>
              <w:rPr>
                <w:rFonts w:hint="eastAsia" w:ascii="仿宋" w:hAnsi="仿宋" w:eastAsia="仿宋" w:cs="仿宋"/>
                <w:sz w:val="24"/>
                <w:szCs w:val="24"/>
              </w:rPr>
              <w:t>99.975%</w:t>
            </w:r>
          </w:p>
        </w:tc>
      </w:tr>
    </w:tbl>
    <w:p w14:paraId="09A4E7C4">
      <w:pPr>
        <w:widowControl w:val="0"/>
        <w:numPr>
          <w:ilvl w:val="0"/>
          <w:numId w:val="2"/>
        </w:numPr>
        <w:kinsoku/>
        <w:autoSpaceDE/>
        <w:autoSpaceDN/>
        <w:adjustRightInd/>
        <w:snapToGrid/>
        <w:spacing w:before="120" w:beforeLines="50"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粤财产投基金已在中国证券投资基金业协会完成登记备案，成立时间不足一年，暂无财务数据。</w:t>
      </w:r>
    </w:p>
    <w:p w14:paraId="7A449691">
      <w:pPr>
        <w:widowControl w:val="0"/>
        <w:numPr>
          <w:ilvl w:val="0"/>
          <w:numId w:val="2"/>
        </w:numPr>
        <w:kinsoku/>
        <w:autoSpaceDE/>
        <w:autoSpaceDN/>
        <w:adjustRightInd/>
        <w:snapToGrid/>
        <w:spacing w:before="120" w:beforeLines="50"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经核查，粤财产投基金与公司及控股股东、实际控制人、登记在册的前十名股东、董事及高级管理人员均不存在关联关系。本次对外投资不构成关联交易。</w:t>
      </w:r>
    </w:p>
    <w:p w14:paraId="752F0623">
      <w:pPr>
        <w:widowControl w:val="0"/>
        <w:numPr>
          <w:ilvl w:val="0"/>
          <w:numId w:val="2"/>
        </w:numPr>
        <w:kinsoku/>
        <w:autoSpaceDE/>
        <w:autoSpaceDN/>
        <w:adjustRightInd/>
        <w:snapToGrid/>
        <w:spacing w:before="120" w:beforeLines="50"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经核查，粤财产投基金不属于失信被执行人，具备履约能力。</w:t>
      </w:r>
    </w:p>
    <w:p w14:paraId="30DB14A9">
      <w:pPr>
        <w:widowControl w:val="0"/>
        <w:numPr>
          <w:ilvl w:val="0"/>
          <w:numId w:val="1"/>
        </w:numPr>
        <w:kinsoku/>
        <w:autoSpaceDE/>
        <w:autoSpaceDN/>
        <w:adjustRightInd/>
        <w:snapToGrid/>
        <w:spacing w:line="360" w:lineRule="auto"/>
        <w:ind w:firstLine="562" w:firstLineChars="200"/>
        <w:jc w:val="both"/>
        <w:textAlignment w:val="auto"/>
        <w:outlineLvl w:val="0"/>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增资标的基本情况</w:t>
      </w:r>
    </w:p>
    <w:p w14:paraId="408B0359">
      <w:pPr>
        <w:widowControl w:val="0"/>
        <w:kinsoku/>
        <w:autoSpaceDE/>
        <w:autoSpaceDN/>
        <w:adjustRightInd/>
        <w:snapToGrid/>
        <w:spacing w:before="120" w:beforeLines="50"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（一）基本情况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14:paraId="1F4A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insideV w:val="nil"/>
            </w:tcBorders>
          </w:tcPr>
          <w:p w14:paraId="7D7522CC">
            <w:pPr>
              <w:spacing w:before="0" w:after="0" w:line="240" w:lineRule="auto"/>
              <w:rPr>
                <w:rFonts w:ascii="仿宋" w:hAnsi="仿宋" w:eastAsia="仿宋" w:cs="仿宋"/>
                <w:b w:val="0"/>
                <w:bCs/>
                <w:color w:val="000000" w:themeColor="text1" w:themeShade="BF"/>
                <w:sz w:val="24"/>
              </w:rPr>
            </w:pPr>
            <w:r>
              <w:rPr>
                <w:rFonts w:hint="eastAsia" w:ascii="仿宋" w:hAnsi="仿宋" w:eastAsia="仿宋" w:cs="仿宋"/>
                <w:b w:val="0"/>
                <w:bCs/>
                <w:color w:val="000000" w:themeColor="text1" w:themeShade="BF"/>
                <w:sz w:val="24"/>
              </w:rPr>
              <w:t>公司名称</w:t>
            </w:r>
          </w:p>
        </w:tc>
        <w:tc>
          <w:tcPr>
            <w:tcW w:w="6854" w:type="dxa"/>
            <w:tcBorders>
              <w:insideV w:val="nil"/>
            </w:tcBorders>
          </w:tcPr>
          <w:p w14:paraId="680281BA">
            <w:pPr>
              <w:spacing w:before="0" w:after="0" w:line="240" w:lineRule="auto"/>
              <w:rPr>
                <w:rFonts w:ascii="仿宋" w:hAnsi="仿宋" w:eastAsia="仿宋" w:cs="仿宋"/>
                <w:b w:val="0"/>
                <w:bCs/>
                <w:color w:val="000000" w:themeColor="text1" w:themeShade="BF"/>
                <w:sz w:val="24"/>
              </w:rPr>
            </w:pPr>
            <w:r>
              <w:rPr>
                <w:rFonts w:hint="eastAsia" w:ascii="仿宋" w:hAnsi="仿宋" w:eastAsia="仿宋" w:cs="仿宋"/>
                <w:b w:val="0"/>
                <w:bCs/>
                <w:color w:val="000000" w:themeColor="text1" w:themeShade="BF"/>
                <w:sz w:val="24"/>
              </w:rPr>
              <w:t>广东天亿马数字产业有限公司</w:t>
            </w:r>
          </w:p>
        </w:tc>
      </w:tr>
      <w:tr w14:paraId="0991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6576788F">
            <w:pPr>
              <w:rPr>
                <w:rFonts w:ascii="仿宋" w:hAnsi="仿宋" w:eastAsia="仿宋"/>
                <w:b w:val="0"/>
                <w:bCs/>
                <w:color w:val="000000" w:themeColor="text1" w:themeShade="BF"/>
                <w:sz w:val="24"/>
                <w:lang w:eastAsia="zh-CN"/>
              </w:rPr>
            </w:pPr>
            <w:r>
              <w:rPr>
                <w:rFonts w:hint="eastAsia" w:ascii="仿宋" w:hAnsi="仿宋" w:eastAsia="仿宋"/>
                <w:b w:val="0"/>
                <w:bCs/>
                <w:color w:val="000000" w:themeColor="text1" w:themeShade="BF"/>
                <w:sz w:val="24"/>
                <w:lang w:eastAsia="zh-CN"/>
              </w:rPr>
              <w:t>公司类型</w:t>
            </w:r>
          </w:p>
        </w:tc>
        <w:tc>
          <w:tcPr>
            <w:tcW w:w="6854" w:type="dxa"/>
            <w:shd w:val="clear" w:color="auto" w:fill="auto"/>
          </w:tcPr>
          <w:p w14:paraId="52BE1037">
            <w:pPr>
              <w:rPr>
                <w:rFonts w:ascii="仿宋" w:hAnsi="仿宋" w:eastAsia="仿宋"/>
                <w:color w:val="000000" w:themeColor="text1" w:themeShade="BF"/>
                <w:sz w:val="24"/>
              </w:rPr>
            </w:pPr>
            <w:r>
              <w:rPr>
                <w:rFonts w:hint="eastAsia" w:ascii="仿宋" w:hAnsi="仿宋" w:eastAsia="仿宋"/>
                <w:color w:val="000000" w:themeColor="text1" w:themeShade="BF"/>
                <w:sz w:val="24"/>
              </w:rPr>
              <w:t>有限责任公司（自然人投资或控股的法人独资）</w:t>
            </w:r>
          </w:p>
        </w:tc>
      </w:tr>
      <w:tr w14:paraId="474A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21006C6A">
            <w:pPr>
              <w:rPr>
                <w:rFonts w:ascii="仿宋" w:hAnsi="仿宋" w:eastAsia="仿宋"/>
                <w:b w:val="0"/>
                <w:bCs/>
                <w:color w:val="000000" w:themeColor="text1" w:themeShade="BF"/>
                <w:sz w:val="24"/>
                <w:lang w:eastAsia="zh-CN"/>
              </w:rPr>
            </w:pPr>
            <w:r>
              <w:rPr>
                <w:rFonts w:hint="eastAsia" w:ascii="仿宋" w:hAnsi="仿宋" w:eastAsia="仿宋"/>
                <w:b w:val="0"/>
                <w:bCs/>
                <w:color w:val="000000" w:themeColor="text1" w:themeShade="BF"/>
                <w:sz w:val="24"/>
                <w:lang w:eastAsia="zh-CN"/>
              </w:rPr>
              <w:t>成立日期</w:t>
            </w:r>
          </w:p>
        </w:tc>
        <w:tc>
          <w:tcPr>
            <w:tcW w:w="6854" w:type="dxa"/>
            <w:shd w:val="clear" w:color="auto" w:fill="auto"/>
          </w:tcPr>
          <w:p w14:paraId="58B7C793">
            <w:pPr>
              <w:rPr>
                <w:rFonts w:ascii="仿宋" w:hAnsi="仿宋" w:eastAsia="仿宋"/>
                <w:color w:val="000000" w:themeColor="text1" w:themeShade="BF"/>
                <w:sz w:val="24"/>
              </w:rPr>
            </w:pPr>
            <w:r>
              <w:rPr>
                <w:rFonts w:hint="eastAsia" w:ascii="仿宋" w:hAnsi="仿宋" w:eastAsia="仿宋"/>
                <w:color w:val="000000" w:themeColor="text1" w:themeShade="BF"/>
                <w:sz w:val="24"/>
              </w:rPr>
              <w:t>2023-02-27</w:t>
            </w:r>
          </w:p>
        </w:tc>
      </w:tr>
      <w:tr w14:paraId="6B0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3ED6E723">
            <w:pPr>
              <w:rPr>
                <w:rFonts w:ascii="仿宋" w:hAnsi="仿宋" w:eastAsia="仿宋"/>
                <w:b w:val="0"/>
                <w:bCs/>
                <w:color w:val="000000" w:themeColor="text1" w:themeShade="BF"/>
                <w:sz w:val="24"/>
              </w:rPr>
            </w:pPr>
            <w:r>
              <w:rPr>
                <w:rFonts w:hint="eastAsia" w:ascii="仿宋" w:hAnsi="仿宋" w:eastAsia="仿宋"/>
                <w:b w:val="0"/>
                <w:bCs/>
                <w:color w:val="000000" w:themeColor="text1" w:themeShade="BF"/>
                <w:sz w:val="24"/>
              </w:rPr>
              <w:t>注册资本</w:t>
            </w:r>
          </w:p>
        </w:tc>
        <w:tc>
          <w:tcPr>
            <w:tcW w:w="6854" w:type="dxa"/>
            <w:shd w:val="clear" w:color="auto" w:fill="auto"/>
          </w:tcPr>
          <w:p w14:paraId="13612039">
            <w:pPr>
              <w:rPr>
                <w:rFonts w:ascii="仿宋" w:hAnsi="仿宋" w:eastAsia="仿宋"/>
                <w:color w:val="000000" w:themeColor="text1" w:themeShade="BF"/>
                <w:sz w:val="24"/>
                <w:lang w:eastAsia="zh-CN"/>
              </w:rPr>
            </w:pPr>
            <w:r>
              <w:rPr>
                <w:rFonts w:hint="eastAsia" w:ascii="仿宋" w:hAnsi="仿宋" w:eastAsia="仿宋"/>
                <w:color w:val="000000" w:themeColor="text1" w:themeShade="BF"/>
                <w:sz w:val="24"/>
                <w:lang w:eastAsia="zh-CN"/>
              </w:rPr>
              <w:t>1000万元</w:t>
            </w:r>
          </w:p>
        </w:tc>
      </w:tr>
      <w:tr w14:paraId="6CB0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75A080A5">
            <w:pPr>
              <w:rPr>
                <w:rFonts w:ascii="仿宋" w:hAnsi="仿宋" w:eastAsia="仿宋"/>
                <w:b w:val="0"/>
                <w:bCs/>
                <w:color w:val="000000" w:themeColor="text1" w:themeShade="BF"/>
                <w:sz w:val="24"/>
                <w:lang w:eastAsia="zh-CN"/>
              </w:rPr>
            </w:pPr>
            <w:r>
              <w:rPr>
                <w:rFonts w:hint="eastAsia" w:ascii="仿宋" w:hAnsi="仿宋" w:eastAsia="仿宋"/>
                <w:b w:val="0"/>
                <w:bCs/>
                <w:color w:val="000000" w:themeColor="text1" w:themeShade="BF"/>
                <w:sz w:val="24"/>
                <w:lang w:eastAsia="zh-CN"/>
              </w:rPr>
              <w:t>注册地址</w:t>
            </w:r>
          </w:p>
        </w:tc>
        <w:tc>
          <w:tcPr>
            <w:tcW w:w="6854" w:type="dxa"/>
            <w:shd w:val="clear" w:color="auto" w:fill="auto"/>
          </w:tcPr>
          <w:p w14:paraId="4BEED485">
            <w:pPr>
              <w:rPr>
                <w:rFonts w:ascii="仿宋" w:hAnsi="仿宋" w:eastAsia="仿宋"/>
                <w:color w:val="000000" w:themeColor="text1" w:themeShade="BF"/>
                <w:sz w:val="24"/>
                <w:lang w:eastAsia="zh-CN"/>
              </w:rPr>
            </w:pPr>
            <w:r>
              <w:rPr>
                <w:rFonts w:hint="eastAsia" w:ascii="仿宋" w:hAnsi="仿宋" w:eastAsia="仿宋"/>
                <w:color w:val="000000" w:themeColor="text1" w:themeShade="BF"/>
                <w:sz w:val="24"/>
                <w:lang w:eastAsia="zh-CN"/>
              </w:rPr>
              <w:t>汕头市金平区海滨路55号海逸汇景豪庭1幢4层</w:t>
            </w:r>
          </w:p>
        </w:tc>
      </w:tr>
      <w:tr w14:paraId="550E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33A026D6">
            <w:pPr>
              <w:rPr>
                <w:rFonts w:ascii="仿宋" w:hAnsi="仿宋" w:eastAsia="仿宋"/>
                <w:b w:val="0"/>
                <w:bCs/>
                <w:color w:val="000000" w:themeColor="text1" w:themeShade="BF"/>
                <w:sz w:val="24"/>
                <w:lang w:eastAsia="zh-CN"/>
              </w:rPr>
            </w:pPr>
            <w:r>
              <w:rPr>
                <w:rFonts w:hint="eastAsia" w:ascii="仿宋" w:hAnsi="仿宋" w:eastAsia="仿宋"/>
                <w:b w:val="0"/>
                <w:bCs/>
                <w:color w:val="000000" w:themeColor="text1" w:themeShade="BF"/>
                <w:sz w:val="24"/>
                <w:lang w:eastAsia="zh-CN"/>
              </w:rPr>
              <w:t>经营范围</w:t>
            </w:r>
          </w:p>
        </w:tc>
        <w:tc>
          <w:tcPr>
            <w:tcW w:w="6854" w:type="dxa"/>
            <w:shd w:val="clear" w:color="auto" w:fill="auto"/>
          </w:tcPr>
          <w:p w14:paraId="04C1F453">
            <w:pPr>
              <w:widowControl w:val="0"/>
              <w:kinsoku/>
              <w:autoSpaceDE/>
              <w:autoSpaceDN/>
              <w:adjustRightInd/>
              <w:snapToGrid/>
              <w:ind w:firstLine="480" w:firstLineChars="200"/>
              <w:jc w:val="both"/>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数字技术服务；信息系统集成服务；软件开发；地理遥感信息服务；信息技术咨询服务；电气安装服务；工业机器人安装、维修；技术服务、技术开发、技术咨询、技术交流、技术转让、技术推广；计算机系统服务；数据处理和存储支持服务；安全技术防范系统设计施工服务；建筑智能化工程施工；建设工程施工；普通机械设备安装服务；输电、供电、受电电力设施的安装、维修和试验；施工专业作业；轨道交通通信信号系统开发；集成电路设计；计算机及办公设备维修；信息系统运行维护服务；承接档案服务外包；计算机软硬件及辅助设备批发；软件销售；通信设备销售；办公设备销售；电子办公设备销售；复印和胶印设备销售。（依法须经批准的项目，经相关部门批准后方可开展经营活动）</w:t>
            </w:r>
          </w:p>
        </w:tc>
      </w:tr>
      <w:tr w14:paraId="195B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shd w:val="clear" w:color="auto" w:fill="auto"/>
          </w:tcPr>
          <w:p w14:paraId="273CD9EA">
            <w:pPr>
              <w:rPr>
                <w:rFonts w:ascii="仿宋" w:hAnsi="仿宋" w:eastAsia="仿宋"/>
                <w:b w:val="0"/>
                <w:bCs/>
                <w:color w:val="000000" w:themeColor="text1" w:themeShade="BF"/>
                <w:sz w:val="24"/>
                <w:lang w:eastAsia="zh-CN"/>
              </w:rPr>
            </w:pPr>
            <w:r>
              <w:rPr>
                <w:rFonts w:hint="eastAsia" w:ascii="仿宋" w:hAnsi="仿宋" w:eastAsia="仿宋"/>
                <w:b w:val="0"/>
                <w:bCs/>
                <w:color w:val="000000" w:themeColor="text1" w:themeShade="BF"/>
                <w:sz w:val="24"/>
                <w:lang w:eastAsia="zh-CN"/>
              </w:rPr>
              <w:t>经营期限</w:t>
            </w:r>
          </w:p>
        </w:tc>
        <w:tc>
          <w:tcPr>
            <w:tcW w:w="6854" w:type="dxa"/>
            <w:shd w:val="clear" w:color="auto" w:fill="auto"/>
          </w:tcPr>
          <w:p w14:paraId="244579DA">
            <w:pPr>
              <w:widowControl w:val="0"/>
              <w:kinsoku/>
              <w:autoSpaceDE/>
              <w:autoSpaceDN/>
              <w:adjustRightInd/>
              <w:snapToGrid/>
              <w:ind w:firstLine="480" w:firstLineChars="200"/>
              <w:jc w:val="both"/>
              <w:textAlignment w:val="auto"/>
              <w:rPr>
                <w:rFonts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2023-02-27至长期</w:t>
            </w:r>
          </w:p>
        </w:tc>
      </w:tr>
    </w:tbl>
    <w:p w14:paraId="4E092B97">
      <w:pPr>
        <w:widowControl w:val="0"/>
        <w:kinsoku/>
        <w:autoSpaceDE/>
        <w:autoSpaceDN/>
        <w:adjustRightInd/>
        <w:snapToGrid/>
        <w:spacing w:before="120" w:beforeLines="50"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（二）标的公司增资前后股权结构</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8"/>
        <w:gridCol w:w="1533"/>
        <w:gridCol w:w="1326"/>
        <w:gridCol w:w="1458"/>
        <w:gridCol w:w="1373"/>
      </w:tblGrid>
      <w:tr w14:paraId="29C1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8" w:type="dxa"/>
            <w:vMerge w:val="restart"/>
            <w:vAlign w:val="center"/>
          </w:tcPr>
          <w:p w14:paraId="74929B1B">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出资方</w:t>
            </w:r>
          </w:p>
        </w:tc>
        <w:tc>
          <w:tcPr>
            <w:tcW w:w="2859" w:type="dxa"/>
            <w:gridSpan w:val="2"/>
            <w:vAlign w:val="center"/>
          </w:tcPr>
          <w:p w14:paraId="2A9026D0">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增资前</w:t>
            </w:r>
          </w:p>
        </w:tc>
        <w:tc>
          <w:tcPr>
            <w:tcW w:w="2831" w:type="dxa"/>
            <w:gridSpan w:val="2"/>
            <w:vAlign w:val="center"/>
          </w:tcPr>
          <w:p w14:paraId="327340C3">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增资后</w:t>
            </w:r>
          </w:p>
        </w:tc>
      </w:tr>
      <w:tr w14:paraId="65ED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8" w:type="dxa"/>
            <w:vMerge w:val="continue"/>
            <w:vAlign w:val="center"/>
          </w:tcPr>
          <w:p w14:paraId="046AEF1D">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p>
        </w:tc>
        <w:tc>
          <w:tcPr>
            <w:tcW w:w="1533" w:type="dxa"/>
            <w:vAlign w:val="center"/>
          </w:tcPr>
          <w:p w14:paraId="3257ED25">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认缴出资额</w:t>
            </w:r>
          </w:p>
          <w:p w14:paraId="6E362E53">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（万元）</w:t>
            </w:r>
          </w:p>
        </w:tc>
        <w:tc>
          <w:tcPr>
            <w:tcW w:w="1326" w:type="dxa"/>
            <w:vAlign w:val="center"/>
          </w:tcPr>
          <w:p w14:paraId="5638BB78">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持股比例</w:t>
            </w:r>
          </w:p>
        </w:tc>
        <w:tc>
          <w:tcPr>
            <w:tcW w:w="1458" w:type="dxa"/>
            <w:vAlign w:val="center"/>
          </w:tcPr>
          <w:p w14:paraId="5E0FD8AA">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认缴出资额</w:t>
            </w:r>
          </w:p>
          <w:p w14:paraId="47C00596">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（万元）</w:t>
            </w:r>
          </w:p>
        </w:tc>
        <w:tc>
          <w:tcPr>
            <w:tcW w:w="1373" w:type="dxa"/>
            <w:vAlign w:val="center"/>
          </w:tcPr>
          <w:p w14:paraId="7A75054C">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持股比例</w:t>
            </w:r>
          </w:p>
        </w:tc>
      </w:tr>
      <w:tr w14:paraId="7CD8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8" w:type="dxa"/>
            <w:vAlign w:val="center"/>
          </w:tcPr>
          <w:p w14:paraId="25FA49D6">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广东天亿马信息产业股份有限公司</w:t>
            </w:r>
          </w:p>
        </w:tc>
        <w:tc>
          <w:tcPr>
            <w:tcW w:w="1533" w:type="dxa"/>
            <w:vAlign w:val="center"/>
          </w:tcPr>
          <w:p w14:paraId="4316DCBB">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1,000</w:t>
            </w:r>
          </w:p>
        </w:tc>
        <w:tc>
          <w:tcPr>
            <w:tcW w:w="1326" w:type="dxa"/>
            <w:vAlign w:val="center"/>
          </w:tcPr>
          <w:p w14:paraId="2C01C516">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100%</w:t>
            </w:r>
          </w:p>
        </w:tc>
        <w:tc>
          <w:tcPr>
            <w:tcW w:w="1458" w:type="dxa"/>
            <w:vAlign w:val="center"/>
          </w:tcPr>
          <w:p w14:paraId="5B468858">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9,000</w:t>
            </w:r>
          </w:p>
        </w:tc>
        <w:tc>
          <w:tcPr>
            <w:tcW w:w="1373" w:type="dxa"/>
            <w:vAlign w:val="center"/>
          </w:tcPr>
          <w:p w14:paraId="31715709">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kern w:val="23"/>
                <w:sz w:val="24"/>
                <w:szCs w:val="24"/>
                <w:lang w:eastAsia="zh-CN" w:bidi="ar"/>
              </w:rPr>
              <w:t>52.94%</w:t>
            </w:r>
          </w:p>
        </w:tc>
      </w:tr>
      <w:tr w14:paraId="6D5D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918" w:type="dxa"/>
            <w:vAlign w:val="center"/>
          </w:tcPr>
          <w:p w14:paraId="0FA70FB0">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z w:val="24"/>
                <w:szCs w:val="24"/>
              </w:rPr>
              <w:t>广东省粤财产业科技股权投资基金合伙企业（有限合伙）</w:t>
            </w:r>
          </w:p>
        </w:tc>
        <w:tc>
          <w:tcPr>
            <w:tcW w:w="1533" w:type="dxa"/>
            <w:vAlign w:val="center"/>
          </w:tcPr>
          <w:p w14:paraId="110F0578">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w:t>
            </w:r>
          </w:p>
        </w:tc>
        <w:tc>
          <w:tcPr>
            <w:tcW w:w="1326" w:type="dxa"/>
            <w:vAlign w:val="center"/>
          </w:tcPr>
          <w:p w14:paraId="7D658255">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w:t>
            </w:r>
          </w:p>
        </w:tc>
        <w:tc>
          <w:tcPr>
            <w:tcW w:w="1458" w:type="dxa"/>
            <w:vAlign w:val="center"/>
          </w:tcPr>
          <w:p w14:paraId="290AA0E0">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kern w:val="23"/>
                <w:sz w:val="24"/>
                <w:szCs w:val="24"/>
                <w:lang w:eastAsia="zh-CN" w:bidi="ar"/>
              </w:rPr>
              <w:t>8,000</w:t>
            </w:r>
          </w:p>
        </w:tc>
        <w:tc>
          <w:tcPr>
            <w:tcW w:w="1373" w:type="dxa"/>
            <w:vAlign w:val="center"/>
          </w:tcPr>
          <w:p w14:paraId="1EF4664D">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kern w:val="23"/>
                <w:sz w:val="24"/>
                <w:szCs w:val="24"/>
                <w:lang w:eastAsia="zh-CN" w:bidi="ar"/>
              </w:rPr>
              <w:t>47.06%</w:t>
            </w:r>
          </w:p>
        </w:tc>
      </w:tr>
      <w:tr w14:paraId="2B07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8" w:type="dxa"/>
            <w:vAlign w:val="center"/>
          </w:tcPr>
          <w:p w14:paraId="4F62E696">
            <w:pPr>
              <w:widowControl w:val="0"/>
              <w:kinsoku/>
              <w:autoSpaceDE/>
              <w:autoSpaceDN/>
              <w:adjustRightInd/>
              <w:snapToGrid/>
              <w:jc w:val="center"/>
              <w:textAlignment w:val="auto"/>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合计</w:t>
            </w:r>
          </w:p>
        </w:tc>
        <w:tc>
          <w:tcPr>
            <w:tcW w:w="1533" w:type="dxa"/>
            <w:shd w:val="clear" w:color="auto" w:fill="auto"/>
            <w:vAlign w:val="center"/>
          </w:tcPr>
          <w:p w14:paraId="5F6779A0">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1,000</w:t>
            </w:r>
          </w:p>
        </w:tc>
        <w:tc>
          <w:tcPr>
            <w:tcW w:w="1326" w:type="dxa"/>
            <w:shd w:val="clear" w:color="auto" w:fill="auto"/>
            <w:vAlign w:val="center"/>
          </w:tcPr>
          <w:p w14:paraId="708F11A8">
            <w:pPr>
              <w:widowControl w:val="0"/>
              <w:kinsoku/>
              <w:autoSpaceDE/>
              <w:autoSpaceDN/>
              <w:adjustRightInd/>
              <w:snapToGrid/>
              <w:jc w:val="center"/>
              <w:textAlignment w:val="auto"/>
              <w:rPr>
                <w:rFonts w:ascii="Times New Roman" w:hAnsi="Times New Roman" w:eastAsia="仿宋" w:cs="Times New Roman"/>
                <w:snapToGrid/>
                <w:kern w:val="2"/>
                <w:sz w:val="24"/>
                <w:szCs w:val="24"/>
                <w:lang w:eastAsia="zh-CN"/>
              </w:rPr>
            </w:pPr>
            <w:r>
              <w:rPr>
                <w:rFonts w:ascii="Times New Roman" w:hAnsi="Times New Roman" w:eastAsia="仿宋" w:cs="Times New Roman"/>
                <w:snapToGrid/>
                <w:kern w:val="2"/>
                <w:sz w:val="24"/>
                <w:szCs w:val="24"/>
                <w:lang w:eastAsia="zh-CN"/>
              </w:rPr>
              <w:t>100%</w:t>
            </w:r>
          </w:p>
        </w:tc>
        <w:tc>
          <w:tcPr>
            <w:tcW w:w="1458" w:type="dxa"/>
            <w:vAlign w:val="center"/>
          </w:tcPr>
          <w:p w14:paraId="1CDC61C1">
            <w:pPr>
              <w:widowControl w:val="0"/>
              <w:kinsoku/>
              <w:autoSpaceDE/>
              <w:autoSpaceDN/>
              <w:adjustRightInd/>
              <w:snapToGrid/>
              <w:jc w:val="center"/>
              <w:textAlignment w:val="auto"/>
              <w:rPr>
                <w:rFonts w:ascii="Times New Roman" w:hAnsi="Times New Roman" w:eastAsia="仿宋" w:cs="Times New Roman"/>
                <w:kern w:val="23"/>
                <w:sz w:val="24"/>
                <w:szCs w:val="24"/>
                <w:lang w:eastAsia="zh-CN" w:bidi="ar"/>
              </w:rPr>
            </w:pPr>
            <w:r>
              <w:rPr>
                <w:rFonts w:ascii="Times New Roman" w:hAnsi="Times New Roman" w:eastAsia="仿宋" w:cs="Times New Roman"/>
                <w:sz w:val="24"/>
                <w:szCs w:val="24"/>
                <w:lang w:eastAsia="zh-CN" w:bidi="ar"/>
              </w:rPr>
              <w:t>17,000</w:t>
            </w:r>
          </w:p>
        </w:tc>
        <w:tc>
          <w:tcPr>
            <w:tcW w:w="1373" w:type="dxa"/>
            <w:vAlign w:val="center"/>
          </w:tcPr>
          <w:p w14:paraId="462D1F94">
            <w:pPr>
              <w:widowControl w:val="0"/>
              <w:kinsoku/>
              <w:autoSpaceDE/>
              <w:autoSpaceDN/>
              <w:adjustRightInd/>
              <w:snapToGrid/>
              <w:jc w:val="center"/>
              <w:textAlignment w:val="auto"/>
              <w:rPr>
                <w:rFonts w:ascii="Times New Roman" w:hAnsi="Times New Roman" w:eastAsia="仿宋" w:cs="Times New Roman"/>
                <w:kern w:val="23"/>
                <w:sz w:val="24"/>
                <w:szCs w:val="24"/>
                <w:lang w:eastAsia="zh-CN" w:bidi="ar"/>
              </w:rPr>
            </w:pPr>
            <w:r>
              <w:rPr>
                <w:rFonts w:ascii="Times New Roman" w:hAnsi="Times New Roman" w:eastAsia="仿宋" w:cs="Times New Roman"/>
                <w:sz w:val="24"/>
                <w:szCs w:val="24"/>
                <w:lang w:eastAsia="zh-CN" w:bidi="ar"/>
              </w:rPr>
              <w:t>100%</w:t>
            </w:r>
          </w:p>
        </w:tc>
      </w:tr>
    </w:tbl>
    <w:p w14:paraId="71CA7707">
      <w:pPr>
        <w:widowControl w:val="0"/>
        <w:kinsoku/>
        <w:autoSpaceDE/>
        <w:autoSpaceDN/>
        <w:adjustRightInd/>
        <w:snapToGrid/>
        <w:spacing w:before="120" w:beforeLines="50"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（三）标的公司一年又一期财务数据</w:t>
      </w:r>
    </w:p>
    <w:p w14:paraId="0529D88D">
      <w:pPr>
        <w:widowControl w:val="0"/>
        <w:kinsoku/>
        <w:autoSpaceDE/>
        <w:autoSpaceDN/>
        <w:adjustRightInd/>
        <w:snapToGrid/>
        <w:spacing w:before="120" w:beforeLines="50" w:line="360" w:lineRule="auto"/>
        <w:ind w:firstLine="440" w:firstLineChars="200"/>
        <w:jc w:val="right"/>
        <w:textAlignment w:val="auto"/>
        <w:rPr>
          <w:rFonts w:ascii="仿宋" w:hAnsi="仿宋" w:eastAsia="仿宋" w:cs="仿宋"/>
          <w:snapToGrid/>
          <w:kern w:val="2"/>
          <w:sz w:val="22"/>
          <w:szCs w:val="22"/>
          <w:lang w:eastAsia="zh-CN"/>
        </w:rPr>
      </w:pPr>
      <w:r>
        <w:rPr>
          <w:rFonts w:hint="eastAsia" w:ascii="仿宋" w:hAnsi="仿宋" w:eastAsia="仿宋" w:cs="仿宋"/>
          <w:snapToGrid/>
          <w:kern w:val="2"/>
          <w:sz w:val="22"/>
          <w:szCs w:val="22"/>
          <w:lang w:eastAsia="zh-CN"/>
        </w:rPr>
        <w:t>单位：万元</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6"/>
        <w:gridCol w:w="2965"/>
        <w:gridCol w:w="2965"/>
      </w:tblGrid>
      <w:tr w14:paraId="0CDD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5" w:type="pct"/>
            <w:tcBorders>
              <w:insideV w:val="nil"/>
            </w:tcBorders>
            <w:shd w:val="clear" w:color="auto" w:fill="auto"/>
          </w:tcPr>
          <w:p w14:paraId="1FCD81C7">
            <w:pPr>
              <w:spacing w:before="0" w:after="0" w:line="240" w:lineRule="auto"/>
              <w:jc w:val="center"/>
              <w:rPr>
                <w:rFonts w:ascii="Times New Roman" w:hAnsi="Times New Roman" w:eastAsia="仿宋" w:cs="Times New Roman"/>
                <w:b/>
                <w:bCs/>
                <w:color w:val="000000" w:themeColor="text1" w:themeShade="BF"/>
                <w:sz w:val="24"/>
                <w:szCs w:val="24"/>
              </w:rPr>
            </w:pPr>
            <w:bookmarkStart w:id="0" w:name="_GoBack"/>
            <w:r>
              <w:rPr>
                <w:rFonts w:ascii="Times New Roman" w:hAnsi="Times New Roman" w:eastAsia="仿宋" w:cs="Times New Roman"/>
                <w:b w:val="0"/>
                <w:bCs w:val="0"/>
                <w:color w:val="000000" w:themeColor="text1" w:themeShade="BF"/>
                <w:sz w:val="24"/>
                <w:szCs w:val="24"/>
              </w:rPr>
              <w:t>项目</w:t>
            </w:r>
          </w:p>
        </w:tc>
        <w:tc>
          <w:tcPr>
            <w:tcW w:w="1722" w:type="pct"/>
            <w:tcBorders>
              <w:insideV w:val="nil"/>
            </w:tcBorders>
            <w:shd w:val="clear" w:color="auto" w:fill="auto"/>
          </w:tcPr>
          <w:p w14:paraId="29F8714E">
            <w:pPr>
              <w:spacing w:before="0" w:after="0" w:line="240" w:lineRule="auto"/>
              <w:jc w:val="center"/>
              <w:rPr>
                <w:rFonts w:ascii="Times New Roman" w:hAnsi="Times New Roman" w:eastAsia="仿宋" w:cs="Times New Roman"/>
                <w:b/>
                <w:bCs/>
                <w:color w:val="000000" w:themeColor="text1" w:themeShade="BF"/>
                <w:sz w:val="24"/>
                <w:szCs w:val="24"/>
                <w:lang w:eastAsia="zh-CN"/>
              </w:rPr>
            </w:pPr>
            <w:r>
              <w:rPr>
                <w:rFonts w:ascii="Times New Roman" w:hAnsi="Times New Roman" w:eastAsia="仿宋" w:cs="Times New Roman"/>
                <w:b w:val="0"/>
                <w:bCs w:val="0"/>
                <w:color w:val="000000" w:themeColor="text1" w:themeShade="BF"/>
                <w:sz w:val="24"/>
                <w:szCs w:val="24"/>
              </w:rPr>
              <w:t>202</w:t>
            </w:r>
            <w:r>
              <w:rPr>
                <w:rFonts w:ascii="Times New Roman" w:hAnsi="Times New Roman" w:eastAsia="仿宋" w:cs="Times New Roman"/>
                <w:b w:val="0"/>
                <w:bCs w:val="0"/>
                <w:color w:val="000000" w:themeColor="text1" w:themeShade="BF"/>
                <w:sz w:val="24"/>
                <w:szCs w:val="24"/>
                <w:lang w:eastAsia="zh-CN"/>
              </w:rPr>
              <w:t>6年一季度末</w:t>
            </w:r>
            <w:r>
              <w:rPr>
                <w:rFonts w:ascii="Times New Roman" w:hAnsi="Times New Roman" w:eastAsia="仿宋" w:cs="Times New Roman"/>
                <w:b w:val="0"/>
                <w:bCs w:val="0"/>
                <w:color w:val="000000" w:themeColor="text1" w:themeShade="BF"/>
                <w:sz w:val="24"/>
                <w:szCs w:val="24"/>
              </w:rPr>
              <w:t>/202</w:t>
            </w:r>
            <w:r>
              <w:rPr>
                <w:rFonts w:ascii="Times New Roman" w:hAnsi="Times New Roman" w:eastAsia="仿宋" w:cs="Times New Roman"/>
                <w:b w:val="0"/>
                <w:bCs w:val="0"/>
                <w:color w:val="000000" w:themeColor="text1" w:themeShade="BF"/>
                <w:sz w:val="24"/>
                <w:szCs w:val="24"/>
                <w:lang w:eastAsia="zh-CN"/>
              </w:rPr>
              <w:t>6年一季度</w:t>
            </w:r>
          </w:p>
          <w:p w14:paraId="3B1F9826">
            <w:pPr>
              <w:spacing w:before="0" w:after="0" w:line="240" w:lineRule="auto"/>
              <w:jc w:val="center"/>
              <w:rPr>
                <w:rFonts w:ascii="Times New Roman" w:hAnsi="Times New Roman" w:eastAsia="仿宋" w:cs="Times New Roman"/>
                <w:b/>
                <w:bCs/>
                <w:color w:val="000000" w:themeColor="text1" w:themeShade="BF"/>
                <w:sz w:val="24"/>
                <w:szCs w:val="24"/>
              </w:rPr>
            </w:pPr>
            <w:r>
              <w:rPr>
                <w:rFonts w:ascii="Times New Roman" w:hAnsi="Times New Roman" w:eastAsia="仿宋" w:cs="Times New Roman"/>
                <w:b w:val="0"/>
                <w:bCs w:val="0"/>
                <w:color w:val="000000" w:themeColor="text1" w:themeShade="BF"/>
                <w:sz w:val="24"/>
                <w:szCs w:val="24"/>
              </w:rPr>
              <w:t>（</w:t>
            </w:r>
            <w:r>
              <w:rPr>
                <w:rFonts w:ascii="Times New Roman" w:hAnsi="Times New Roman" w:eastAsia="仿宋" w:cs="Times New Roman"/>
                <w:b w:val="0"/>
                <w:bCs w:val="0"/>
                <w:color w:val="000000" w:themeColor="text1" w:themeShade="BF"/>
                <w:sz w:val="24"/>
                <w:szCs w:val="24"/>
                <w:lang w:eastAsia="zh-CN"/>
              </w:rPr>
              <w:t>未</w:t>
            </w:r>
            <w:r>
              <w:rPr>
                <w:rFonts w:ascii="Times New Roman" w:hAnsi="Times New Roman" w:eastAsia="仿宋" w:cs="Times New Roman"/>
                <w:b w:val="0"/>
                <w:bCs w:val="0"/>
                <w:color w:val="000000" w:themeColor="text1" w:themeShade="BF"/>
                <w:sz w:val="24"/>
                <w:szCs w:val="24"/>
              </w:rPr>
              <w:t>经审计）</w:t>
            </w:r>
          </w:p>
        </w:tc>
        <w:tc>
          <w:tcPr>
            <w:tcW w:w="1722" w:type="pct"/>
            <w:tcBorders>
              <w:insideV w:val="nil"/>
            </w:tcBorders>
            <w:shd w:val="clear" w:color="auto" w:fill="auto"/>
          </w:tcPr>
          <w:p w14:paraId="5DF155BC">
            <w:pPr>
              <w:spacing w:before="0" w:after="0" w:line="240" w:lineRule="auto"/>
              <w:jc w:val="center"/>
              <w:rPr>
                <w:rFonts w:ascii="Times New Roman" w:hAnsi="Times New Roman" w:eastAsia="仿宋" w:cs="Times New Roman"/>
                <w:b/>
                <w:bCs/>
                <w:color w:val="000000" w:themeColor="text1" w:themeShade="BF"/>
                <w:sz w:val="24"/>
                <w:szCs w:val="24"/>
              </w:rPr>
            </w:pPr>
            <w:r>
              <w:rPr>
                <w:rFonts w:ascii="Times New Roman" w:hAnsi="Times New Roman" w:eastAsia="仿宋" w:cs="Times New Roman"/>
                <w:b w:val="0"/>
                <w:bCs w:val="0"/>
                <w:color w:val="000000" w:themeColor="text1" w:themeShade="BF"/>
                <w:sz w:val="24"/>
                <w:szCs w:val="24"/>
              </w:rPr>
              <w:t>2025年末/2025年</w:t>
            </w:r>
          </w:p>
          <w:p w14:paraId="71EC1378">
            <w:pPr>
              <w:spacing w:before="0" w:after="0" w:line="240" w:lineRule="auto"/>
              <w:jc w:val="center"/>
              <w:rPr>
                <w:rFonts w:ascii="Times New Roman" w:hAnsi="Times New Roman" w:eastAsia="仿宋" w:cs="Times New Roman"/>
                <w:b/>
                <w:bCs/>
                <w:color w:val="000000" w:themeColor="text1" w:themeShade="BF"/>
                <w:sz w:val="24"/>
                <w:szCs w:val="24"/>
              </w:rPr>
            </w:pPr>
            <w:r>
              <w:rPr>
                <w:rFonts w:ascii="Times New Roman" w:hAnsi="Times New Roman" w:eastAsia="仿宋" w:cs="Times New Roman"/>
                <w:b w:val="0"/>
                <w:bCs w:val="0"/>
                <w:color w:val="000000" w:themeColor="text1" w:themeShade="BF"/>
                <w:sz w:val="24"/>
                <w:szCs w:val="24"/>
              </w:rPr>
              <w:t>（经审计）</w:t>
            </w:r>
          </w:p>
        </w:tc>
      </w:tr>
      <w:tr w14:paraId="0E7A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55" w:type="pct"/>
            <w:shd w:val="clear" w:color="auto" w:fill="auto"/>
          </w:tcPr>
          <w:p w14:paraId="253CC53C">
            <w:pPr>
              <w:jc w:val="center"/>
              <w:rPr>
                <w:rFonts w:ascii="Times New Roman" w:hAnsi="Times New Roman" w:eastAsia="仿宋" w:cs="Times New Roman"/>
                <w:b w:val="0"/>
                <w:bCs/>
                <w:color w:val="000000" w:themeColor="text1" w:themeShade="BF"/>
                <w:sz w:val="24"/>
                <w:szCs w:val="24"/>
              </w:rPr>
            </w:pPr>
            <w:r>
              <w:rPr>
                <w:rFonts w:ascii="Times New Roman" w:hAnsi="Times New Roman" w:eastAsia="仿宋" w:cs="Times New Roman"/>
                <w:b w:val="0"/>
                <w:bCs/>
                <w:color w:val="000000" w:themeColor="text1" w:themeShade="BF"/>
                <w:sz w:val="24"/>
                <w:szCs w:val="24"/>
              </w:rPr>
              <w:t>资产总额</w:t>
            </w:r>
          </w:p>
        </w:tc>
        <w:tc>
          <w:tcPr>
            <w:tcW w:w="1722" w:type="pct"/>
            <w:shd w:val="clear" w:color="auto" w:fill="auto"/>
            <w:vAlign w:val="center"/>
          </w:tcPr>
          <w:p w14:paraId="27675B73">
            <w:pPr>
              <w:jc w:val="right"/>
              <w:textAlignment w:val="center"/>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973.46</w:t>
            </w:r>
          </w:p>
        </w:tc>
        <w:tc>
          <w:tcPr>
            <w:tcW w:w="1722" w:type="pct"/>
            <w:shd w:val="clear" w:color="auto" w:fill="auto"/>
            <w:vAlign w:val="center"/>
          </w:tcPr>
          <w:p w14:paraId="55BCFB99">
            <w:pPr>
              <w:jc w:val="right"/>
              <w:textAlignment w:val="center"/>
              <w:rPr>
                <w:rFonts w:ascii="Times New Roman" w:hAnsi="Times New Roman" w:eastAsia="仿宋" w:cs="Times New Roman"/>
                <w:sz w:val="24"/>
                <w:szCs w:val="24"/>
              </w:rPr>
            </w:pPr>
            <w:r>
              <w:rPr>
                <w:rFonts w:ascii="Times New Roman" w:hAnsi="Times New Roman" w:eastAsia="仿宋" w:cs="Times New Roman"/>
                <w:sz w:val="24"/>
                <w:szCs w:val="24"/>
                <w:lang w:eastAsia="zh-CN"/>
              </w:rPr>
              <w:t>974.85</w:t>
            </w:r>
          </w:p>
        </w:tc>
      </w:tr>
      <w:tr w14:paraId="2C5B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55" w:type="pct"/>
            <w:shd w:val="clear" w:color="auto" w:fill="auto"/>
          </w:tcPr>
          <w:p w14:paraId="02D37B1A">
            <w:pPr>
              <w:jc w:val="center"/>
              <w:rPr>
                <w:rFonts w:ascii="Times New Roman" w:hAnsi="Times New Roman" w:eastAsia="仿宋" w:cs="Times New Roman"/>
                <w:b w:val="0"/>
                <w:bCs/>
                <w:color w:val="000000" w:themeColor="text1" w:themeShade="BF"/>
                <w:sz w:val="24"/>
                <w:szCs w:val="24"/>
              </w:rPr>
            </w:pPr>
            <w:r>
              <w:rPr>
                <w:rFonts w:ascii="Times New Roman" w:hAnsi="Times New Roman" w:eastAsia="仿宋" w:cs="Times New Roman"/>
                <w:b w:val="0"/>
                <w:bCs/>
                <w:color w:val="000000" w:themeColor="text1" w:themeShade="BF"/>
                <w:sz w:val="24"/>
                <w:szCs w:val="24"/>
              </w:rPr>
              <w:t>负债总额</w:t>
            </w:r>
          </w:p>
        </w:tc>
        <w:tc>
          <w:tcPr>
            <w:tcW w:w="1722" w:type="pct"/>
            <w:shd w:val="clear" w:color="auto" w:fill="auto"/>
          </w:tcPr>
          <w:p w14:paraId="06263FD5">
            <w:pPr>
              <w:jc w:val="right"/>
              <w:textAlignment w:val="top"/>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0.35</w:t>
            </w:r>
          </w:p>
        </w:tc>
        <w:tc>
          <w:tcPr>
            <w:tcW w:w="1722" w:type="pct"/>
            <w:shd w:val="clear" w:color="auto" w:fill="auto"/>
          </w:tcPr>
          <w:p w14:paraId="1F43BE62">
            <w:pPr>
              <w:jc w:val="right"/>
              <w:textAlignment w:val="top"/>
              <w:rPr>
                <w:rFonts w:ascii="Times New Roman" w:hAnsi="Times New Roman" w:eastAsia="仿宋" w:cs="Times New Roman"/>
                <w:sz w:val="24"/>
                <w:szCs w:val="24"/>
              </w:rPr>
            </w:pPr>
            <w:r>
              <w:rPr>
                <w:rFonts w:ascii="Times New Roman" w:hAnsi="Times New Roman" w:eastAsia="仿宋" w:cs="Times New Roman"/>
                <w:sz w:val="24"/>
                <w:szCs w:val="24"/>
                <w:lang w:eastAsia="zh-CN"/>
              </w:rPr>
              <w:t>0.62</w:t>
            </w:r>
          </w:p>
        </w:tc>
      </w:tr>
      <w:tr w14:paraId="00B1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55" w:type="pct"/>
            <w:shd w:val="clear" w:color="auto" w:fill="auto"/>
          </w:tcPr>
          <w:p w14:paraId="53E1499F">
            <w:pPr>
              <w:jc w:val="right"/>
              <w:rPr>
                <w:rFonts w:ascii="Times New Roman" w:hAnsi="Times New Roman" w:eastAsia="仿宋" w:cs="Times New Roman"/>
                <w:b w:val="0"/>
                <w:bCs/>
                <w:color w:val="000000" w:themeColor="text1" w:themeShade="BF"/>
                <w:sz w:val="24"/>
                <w:szCs w:val="24"/>
              </w:rPr>
            </w:pPr>
            <w:r>
              <w:rPr>
                <w:rFonts w:ascii="Times New Roman" w:hAnsi="Times New Roman" w:eastAsia="仿宋" w:cs="Times New Roman"/>
                <w:b w:val="0"/>
                <w:bCs/>
                <w:color w:val="000000" w:themeColor="text1" w:themeShade="BF"/>
                <w:sz w:val="24"/>
                <w:szCs w:val="24"/>
              </w:rPr>
              <w:t>其中：银行贷款</w:t>
            </w:r>
          </w:p>
        </w:tc>
        <w:tc>
          <w:tcPr>
            <w:tcW w:w="1722" w:type="pct"/>
            <w:shd w:val="clear" w:color="auto" w:fill="auto"/>
          </w:tcPr>
          <w:p w14:paraId="04D24DBB">
            <w:pPr>
              <w:jc w:val="right"/>
              <w:textAlignment w:val="top"/>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0</w:t>
            </w:r>
          </w:p>
        </w:tc>
        <w:tc>
          <w:tcPr>
            <w:tcW w:w="1722" w:type="pct"/>
            <w:shd w:val="clear" w:color="auto" w:fill="auto"/>
          </w:tcPr>
          <w:p w14:paraId="153C7643">
            <w:pPr>
              <w:jc w:val="right"/>
              <w:textAlignment w:val="top"/>
              <w:rPr>
                <w:rFonts w:ascii="Times New Roman" w:hAnsi="Times New Roman" w:eastAsia="仿宋" w:cs="Times New Roman"/>
                <w:sz w:val="24"/>
                <w:szCs w:val="24"/>
              </w:rPr>
            </w:pPr>
            <w:r>
              <w:rPr>
                <w:rFonts w:ascii="Times New Roman" w:hAnsi="Times New Roman" w:eastAsia="仿宋" w:cs="Times New Roman"/>
                <w:sz w:val="24"/>
                <w:szCs w:val="24"/>
                <w:lang w:eastAsia="zh-CN"/>
              </w:rPr>
              <w:t>0</w:t>
            </w:r>
          </w:p>
        </w:tc>
      </w:tr>
      <w:tr w14:paraId="7C88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55" w:type="pct"/>
            <w:shd w:val="clear" w:color="auto" w:fill="auto"/>
          </w:tcPr>
          <w:p w14:paraId="3CA7F203">
            <w:pPr>
              <w:jc w:val="right"/>
              <w:rPr>
                <w:rFonts w:ascii="Times New Roman" w:hAnsi="Times New Roman" w:eastAsia="仿宋" w:cs="Times New Roman"/>
                <w:b w:val="0"/>
                <w:bCs/>
                <w:color w:val="000000" w:themeColor="text1" w:themeShade="BF"/>
                <w:sz w:val="24"/>
                <w:szCs w:val="24"/>
              </w:rPr>
            </w:pPr>
            <w:r>
              <w:rPr>
                <w:rFonts w:ascii="Times New Roman" w:hAnsi="Times New Roman" w:eastAsia="仿宋" w:cs="Times New Roman"/>
                <w:b w:val="0"/>
                <w:bCs/>
                <w:color w:val="000000" w:themeColor="text1" w:themeShade="BF"/>
                <w:sz w:val="24"/>
                <w:szCs w:val="24"/>
              </w:rPr>
              <w:t>流动负债总额</w:t>
            </w:r>
          </w:p>
        </w:tc>
        <w:tc>
          <w:tcPr>
            <w:tcW w:w="1722" w:type="pct"/>
            <w:shd w:val="clear" w:color="auto" w:fill="auto"/>
          </w:tcPr>
          <w:p w14:paraId="11FC2001">
            <w:pPr>
              <w:jc w:val="right"/>
              <w:textAlignment w:val="top"/>
              <w:rPr>
                <w:rFonts w:ascii="Times New Roman" w:hAnsi="Times New Roman" w:eastAsia="仿宋" w:cs="Times New Roman"/>
                <w:sz w:val="24"/>
                <w:szCs w:val="24"/>
              </w:rPr>
            </w:pPr>
            <w:r>
              <w:rPr>
                <w:rFonts w:ascii="Times New Roman" w:hAnsi="Times New Roman" w:eastAsia="仿宋" w:cs="Times New Roman"/>
                <w:sz w:val="24"/>
                <w:szCs w:val="24"/>
                <w:lang w:eastAsia="zh-CN"/>
              </w:rPr>
              <w:t>0.35</w:t>
            </w:r>
          </w:p>
        </w:tc>
        <w:tc>
          <w:tcPr>
            <w:tcW w:w="1722" w:type="pct"/>
            <w:shd w:val="clear" w:color="auto" w:fill="auto"/>
          </w:tcPr>
          <w:p w14:paraId="714027AE">
            <w:pPr>
              <w:jc w:val="right"/>
              <w:textAlignment w:val="top"/>
              <w:rPr>
                <w:rFonts w:ascii="Times New Roman" w:hAnsi="Times New Roman" w:eastAsia="仿宋" w:cs="Times New Roman"/>
                <w:sz w:val="24"/>
                <w:szCs w:val="24"/>
              </w:rPr>
            </w:pPr>
            <w:r>
              <w:rPr>
                <w:rFonts w:ascii="Times New Roman" w:hAnsi="Times New Roman" w:eastAsia="仿宋" w:cs="Times New Roman"/>
                <w:sz w:val="24"/>
                <w:szCs w:val="24"/>
                <w:lang w:eastAsia="zh-CN"/>
              </w:rPr>
              <w:t>0.62</w:t>
            </w:r>
          </w:p>
        </w:tc>
      </w:tr>
      <w:tr w14:paraId="2052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55" w:type="pct"/>
            <w:shd w:val="clear" w:color="auto" w:fill="auto"/>
          </w:tcPr>
          <w:p w14:paraId="200BA97A">
            <w:pPr>
              <w:jc w:val="center"/>
              <w:rPr>
                <w:rFonts w:ascii="Times New Roman" w:hAnsi="Times New Roman" w:eastAsia="仿宋" w:cs="Times New Roman"/>
                <w:b w:val="0"/>
                <w:bCs/>
                <w:color w:val="000000" w:themeColor="text1" w:themeShade="BF"/>
                <w:sz w:val="24"/>
                <w:szCs w:val="24"/>
              </w:rPr>
            </w:pPr>
            <w:r>
              <w:rPr>
                <w:rFonts w:ascii="Times New Roman" w:hAnsi="Times New Roman" w:eastAsia="仿宋" w:cs="Times New Roman"/>
                <w:b w:val="0"/>
                <w:bCs/>
                <w:color w:val="000000" w:themeColor="text1" w:themeShade="BF"/>
                <w:sz w:val="24"/>
                <w:szCs w:val="24"/>
              </w:rPr>
              <w:t>净资产</w:t>
            </w:r>
          </w:p>
        </w:tc>
        <w:tc>
          <w:tcPr>
            <w:tcW w:w="1722" w:type="pct"/>
            <w:shd w:val="clear" w:color="auto" w:fill="auto"/>
          </w:tcPr>
          <w:p w14:paraId="7A71692F">
            <w:pPr>
              <w:jc w:val="right"/>
              <w:textAlignment w:val="top"/>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973.11</w:t>
            </w:r>
          </w:p>
        </w:tc>
        <w:tc>
          <w:tcPr>
            <w:tcW w:w="1722" w:type="pct"/>
            <w:shd w:val="clear" w:color="auto" w:fill="auto"/>
          </w:tcPr>
          <w:p w14:paraId="5508EBEB">
            <w:pPr>
              <w:jc w:val="right"/>
              <w:textAlignment w:val="top"/>
              <w:rPr>
                <w:rFonts w:ascii="Times New Roman" w:hAnsi="Times New Roman" w:eastAsia="仿宋" w:cs="Times New Roman"/>
                <w:sz w:val="24"/>
                <w:szCs w:val="24"/>
              </w:rPr>
            </w:pPr>
            <w:r>
              <w:rPr>
                <w:rFonts w:ascii="Times New Roman" w:hAnsi="Times New Roman" w:eastAsia="仿宋" w:cs="Times New Roman"/>
                <w:sz w:val="24"/>
                <w:szCs w:val="24"/>
                <w:lang w:eastAsia="zh-CN"/>
              </w:rPr>
              <w:t>974.23</w:t>
            </w:r>
          </w:p>
        </w:tc>
      </w:tr>
      <w:tr w14:paraId="0329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55" w:type="pct"/>
            <w:shd w:val="clear" w:color="auto" w:fill="auto"/>
          </w:tcPr>
          <w:p w14:paraId="1790561D">
            <w:pPr>
              <w:jc w:val="center"/>
              <w:rPr>
                <w:rFonts w:ascii="Times New Roman" w:hAnsi="Times New Roman" w:eastAsia="仿宋" w:cs="Times New Roman"/>
                <w:b w:val="0"/>
                <w:bCs/>
                <w:color w:val="000000" w:themeColor="text1" w:themeShade="BF"/>
                <w:sz w:val="24"/>
                <w:szCs w:val="24"/>
              </w:rPr>
            </w:pPr>
            <w:r>
              <w:rPr>
                <w:rFonts w:ascii="Times New Roman" w:hAnsi="Times New Roman" w:eastAsia="仿宋" w:cs="Times New Roman"/>
                <w:b w:val="0"/>
                <w:bCs/>
                <w:color w:val="000000" w:themeColor="text1" w:themeShade="BF"/>
                <w:sz w:val="24"/>
                <w:szCs w:val="24"/>
              </w:rPr>
              <w:t>营业收入</w:t>
            </w:r>
          </w:p>
        </w:tc>
        <w:tc>
          <w:tcPr>
            <w:tcW w:w="1722" w:type="pct"/>
            <w:shd w:val="clear" w:color="auto" w:fill="auto"/>
          </w:tcPr>
          <w:p w14:paraId="1744563A">
            <w:pPr>
              <w:jc w:val="right"/>
              <w:textAlignment w:val="top"/>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0</w:t>
            </w:r>
          </w:p>
        </w:tc>
        <w:tc>
          <w:tcPr>
            <w:tcW w:w="1722" w:type="pct"/>
            <w:shd w:val="clear" w:color="auto" w:fill="auto"/>
          </w:tcPr>
          <w:p w14:paraId="7BF3C3C5">
            <w:pPr>
              <w:jc w:val="right"/>
              <w:textAlignment w:val="top"/>
              <w:rPr>
                <w:rFonts w:ascii="Times New Roman" w:hAnsi="Times New Roman" w:eastAsia="仿宋" w:cs="Times New Roman"/>
                <w:sz w:val="24"/>
                <w:szCs w:val="24"/>
              </w:rPr>
            </w:pPr>
            <w:r>
              <w:rPr>
                <w:rFonts w:ascii="Times New Roman" w:hAnsi="Times New Roman" w:eastAsia="仿宋" w:cs="Times New Roman"/>
                <w:sz w:val="24"/>
                <w:szCs w:val="24"/>
                <w:lang w:eastAsia="zh-CN"/>
              </w:rPr>
              <w:t>0</w:t>
            </w:r>
          </w:p>
        </w:tc>
      </w:tr>
      <w:tr w14:paraId="26D8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55" w:type="pct"/>
            <w:shd w:val="clear" w:color="auto" w:fill="auto"/>
          </w:tcPr>
          <w:p w14:paraId="626516B5">
            <w:pPr>
              <w:jc w:val="center"/>
              <w:rPr>
                <w:rFonts w:ascii="Times New Roman" w:hAnsi="Times New Roman" w:eastAsia="仿宋" w:cs="Times New Roman"/>
                <w:b w:val="0"/>
                <w:bCs/>
                <w:color w:val="000000" w:themeColor="text1" w:themeShade="BF"/>
                <w:sz w:val="24"/>
                <w:szCs w:val="24"/>
              </w:rPr>
            </w:pPr>
            <w:r>
              <w:rPr>
                <w:rFonts w:ascii="Times New Roman" w:hAnsi="Times New Roman" w:eastAsia="仿宋" w:cs="Times New Roman"/>
                <w:b w:val="0"/>
                <w:bCs/>
                <w:color w:val="000000" w:themeColor="text1" w:themeShade="BF"/>
                <w:sz w:val="24"/>
                <w:szCs w:val="24"/>
              </w:rPr>
              <w:t>利润总额</w:t>
            </w:r>
          </w:p>
        </w:tc>
        <w:tc>
          <w:tcPr>
            <w:tcW w:w="1722" w:type="pct"/>
            <w:shd w:val="clear" w:color="auto" w:fill="auto"/>
          </w:tcPr>
          <w:p w14:paraId="5B25114B">
            <w:pPr>
              <w:jc w:val="right"/>
              <w:textAlignment w:val="top"/>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-1.41</w:t>
            </w:r>
          </w:p>
        </w:tc>
        <w:tc>
          <w:tcPr>
            <w:tcW w:w="1722" w:type="pct"/>
            <w:shd w:val="clear" w:color="auto" w:fill="auto"/>
          </w:tcPr>
          <w:p w14:paraId="270DAEAD">
            <w:pPr>
              <w:jc w:val="right"/>
              <w:textAlignment w:val="top"/>
              <w:rPr>
                <w:rFonts w:ascii="Times New Roman" w:hAnsi="Times New Roman" w:eastAsia="仿宋" w:cs="Times New Roman"/>
                <w:sz w:val="24"/>
                <w:szCs w:val="24"/>
              </w:rPr>
            </w:pPr>
            <w:r>
              <w:rPr>
                <w:rFonts w:ascii="Times New Roman" w:hAnsi="Times New Roman" w:eastAsia="仿宋" w:cs="Times New Roman"/>
                <w:sz w:val="24"/>
                <w:szCs w:val="24"/>
                <w:lang w:eastAsia="zh-CN"/>
              </w:rPr>
              <w:t>-6.18</w:t>
            </w:r>
          </w:p>
        </w:tc>
      </w:tr>
      <w:tr w14:paraId="1902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55" w:type="pct"/>
            <w:shd w:val="clear" w:color="auto" w:fill="auto"/>
          </w:tcPr>
          <w:p w14:paraId="5B4D438D">
            <w:pPr>
              <w:jc w:val="center"/>
              <w:rPr>
                <w:rFonts w:ascii="Times New Roman" w:hAnsi="Times New Roman" w:eastAsia="仿宋" w:cs="Times New Roman"/>
                <w:b w:val="0"/>
                <w:bCs/>
                <w:color w:val="000000" w:themeColor="text1" w:themeShade="BF"/>
                <w:sz w:val="24"/>
                <w:szCs w:val="24"/>
              </w:rPr>
            </w:pPr>
            <w:r>
              <w:rPr>
                <w:rFonts w:ascii="Times New Roman" w:hAnsi="Times New Roman" w:eastAsia="仿宋" w:cs="Times New Roman"/>
                <w:b w:val="0"/>
                <w:bCs/>
                <w:color w:val="000000" w:themeColor="text1" w:themeShade="BF"/>
                <w:sz w:val="24"/>
                <w:szCs w:val="24"/>
              </w:rPr>
              <w:t>净利润</w:t>
            </w:r>
          </w:p>
        </w:tc>
        <w:tc>
          <w:tcPr>
            <w:tcW w:w="1722" w:type="pct"/>
            <w:shd w:val="clear" w:color="auto" w:fill="auto"/>
          </w:tcPr>
          <w:p w14:paraId="3E25579B">
            <w:pPr>
              <w:jc w:val="right"/>
              <w:textAlignment w:val="top"/>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-1.12</w:t>
            </w:r>
          </w:p>
        </w:tc>
        <w:tc>
          <w:tcPr>
            <w:tcW w:w="1722" w:type="pct"/>
            <w:shd w:val="clear" w:color="auto" w:fill="auto"/>
          </w:tcPr>
          <w:p w14:paraId="6FA5D82E">
            <w:pPr>
              <w:jc w:val="right"/>
              <w:textAlignment w:val="top"/>
              <w:rPr>
                <w:rFonts w:ascii="Times New Roman" w:hAnsi="Times New Roman" w:eastAsia="仿宋" w:cs="Times New Roman"/>
                <w:sz w:val="24"/>
                <w:szCs w:val="24"/>
              </w:rPr>
            </w:pPr>
            <w:r>
              <w:rPr>
                <w:rFonts w:ascii="Times New Roman" w:hAnsi="Times New Roman" w:eastAsia="仿宋" w:cs="Times New Roman"/>
                <w:sz w:val="24"/>
                <w:szCs w:val="24"/>
                <w:lang w:eastAsia="zh-CN"/>
              </w:rPr>
              <w:t>-4.94</w:t>
            </w:r>
          </w:p>
        </w:tc>
      </w:tr>
      <w:bookmarkEnd w:id="0"/>
    </w:tbl>
    <w:p w14:paraId="1963F216">
      <w:pPr>
        <w:widowControl w:val="0"/>
        <w:tabs>
          <w:tab w:val="left" w:pos="365"/>
        </w:tabs>
        <w:kinsoku/>
        <w:autoSpaceDE/>
        <w:autoSpaceDN/>
        <w:adjustRightInd/>
        <w:snapToGrid/>
        <w:spacing w:before="120" w:beforeLines="50" w:line="360" w:lineRule="auto"/>
        <w:ind w:firstLine="562" w:firstLineChars="200"/>
        <w:jc w:val="both"/>
        <w:textAlignment w:val="auto"/>
        <w:outlineLvl w:val="0"/>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四、增资协议的主要内容</w:t>
      </w:r>
    </w:p>
    <w:p w14:paraId="71D59A43">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标的公司：广东天亿马数字产业有限公司</w:t>
      </w:r>
    </w:p>
    <w:p w14:paraId="7F5CBBF2">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投资人：广东省粤财产业科技股权投资基金合伙企业(有限合伙)</w:t>
      </w:r>
    </w:p>
    <w:p w14:paraId="1EB07009">
      <w:pPr>
        <w:widowControl w:val="0"/>
        <w:numPr>
          <w:ilvl w:val="0"/>
          <w:numId w:val="3"/>
        </w:numPr>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增资安排</w:t>
      </w:r>
    </w:p>
    <w:p w14:paraId="32A91CDF">
      <w:pPr>
        <w:widowControl w:val="0"/>
        <w:tabs>
          <w:tab w:val="left" w:pos="312"/>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1.本协议各方同意，投资人按照人民币1.7亿元作为投后估值，以人民币8,000万元（以下简称“增资款”）认购标的公司新增注册资本人民币8,000万元。增资完成后投资人投后股权占比47.06%。</w:t>
      </w:r>
    </w:p>
    <w:p w14:paraId="27AB1343">
      <w:pPr>
        <w:widowControl w:val="0"/>
        <w:tabs>
          <w:tab w:val="left" w:pos="312"/>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2.天亿马</w:t>
      </w:r>
      <w:r>
        <w:rPr>
          <w:rFonts w:ascii="仿宋" w:hAnsi="仿宋" w:eastAsia="仿宋" w:cs="仿宋"/>
          <w:snapToGrid/>
          <w:kern w:val="2"/>
          <w:sz w:val="28"/>
          <w:szCs w:val="28"/>
          <w:lang w:eastAsia="zh-CN"/>
        </w:rPr>
        <w:t>同步对标的公司进行投资，认购标的公司新增的注册资本人民币8,000万元。</w:t>
      </w:r>
    </w:p>
    <w:p w14:paraId="7A97B903">
      <w:pPr>
        <w:widowControl w:val="0"/>
        <w:tabs>
          <w:tab w:val="left" w:pos="312"/>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3.增资完成后，标的公司注册资本变更为人民币17,000万元。</w:t>
      </w:r>
    </w:p>
    <w:p w14:paraId="76907855">
      <w:pPr>
        <w:widowControl w:val="0"/>
        <w:numPr>
          <w:ilvl w:val="0"/>
          <w:numId w:val="3"/>
        </w:numPr>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增资款的缴付</w:t>
      </w:r>
    </w:p>
    <w:p w14:paraId="26ABFC69">
      <w:pPr>
        <w:widowControl w:val="0"/>
        <w:tabs>
          <w:tab w:val="left" w:pos="312"/>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天亿马同意依据本协议的内容就本次增资修订和签署天亿马数字之《公司章程》，并在标的公司收到全部增资款后二十个工作日内将记载本次增资的《公司章程》及相关文件提交政府部门办理本次增资的工商登记手续。</w:t>
      </w:r>
    </w:p>
    <w:p w14:paraId="426D7C3E">
      <w:pPr>
        <w:widowControl w:val="0"/>
        <w:tabs>
          <w:tab w:val="left" w:pos="312"/>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以投资人向标的公司确认本次增资的先决条件全部满足或被豁免后，并收到天亿马数字向投资人发出的《付款通知书》之日起15个工作日为限，投资人的增资款8,000万元可在约定期限内分多次划入标的公司指定的银行账户。</w:t>
      </w:r>
    </w:p>
    <w:p w14:paraId="4D02DD07">
      <w:pPr>
        <w:widowControl w:val="0"/>
        <w:tabs>
          <w:tab w:val="left" w:pos="312"/>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3.自交割日起，投资人即享有全部股东权利并承担相应股东义务。标的公司的资本公积金、盈余公积金和累积未分配利润由投资人与公司原股东按本次增资完成后的股权比例共享。</w:t>
      </w:r>
    </w:p>
    <w:p w14:paraId="7B3FB0A2">
      <w:pPr>
        <w:widowControl w:val="0"/>
        <w:numPr>
          <w:ilvl w:val="0"/>
          <w:numId w:val="3"/>
        </w:numPr>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利润分红及回购</w:t>
      </w:r>
    </w:p>
    <w:p w14:paraId="1FE13624">
      <w:pPr>
        <w:widowControl w:val="0"/>
        <w:tabs>
          <w:tab w:val="left" w:pos="312"/>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利润分红及回购。投资期内，标的公司根据实际经营情况，在有可分配利润的前提下，每年向投资人分红。发生下列任一情形的，投资人在知晓或应当知晓任一情形发生后36个月内有权要求天亿马股份回购投资人通过本次增资所取得的标的公司部分或全部股权。</w:t>
      </w:r>
    </w:p>
    <w:p w14:paraId="4FEB3D59">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标的公司2030年底前未完成合格的新一轮增资（引入外部专业战略股东或专业投资机构所管的股权投资基金），即：新一轮增资的投前估值低于本轮增资投后估值的130%，和/或新进入股东（不包括天亿马股份的关联方）的实缴金额低于1亿元人民币；</w:t>
      </w:r>
    </w:p>
    <w:p w14:paraId="6371EEA3">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（2）标的公司2031年起任意一年经审计的净利润低于2,000万元；</w:t>
      </w:r>
    </w:p>
    <w:p w14:paraId="110FBF44">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（3）标的公司出现条款约定的重大不利变化。</w:t>
      </w:r>
    </w:p>
    <w:p w14:paraId="0E6FE679">
      <w:pPr>
        <w:widowControl w:val="0"/>
        <w:tabs>
          <w:tab w:val="left" w:pos="312"/>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各方一致同意，本协议约定的回购条款触发后，自投资人首次发出主张回购的书面通知（下称“首次回购通知”）日起，回购款最多可分三笔支付，并应满足第一笔回购款不低于投资本金的30%且支付时间不应晚于首次回购通知发出之日起30日内，第二笔回购款不低于投资本金的30%且支付时间不应晚于首次回购通知发出之日起1年内；最后一笔回购款支付时间不应晚于首次回购通知发出之日起2年内。</w:t>
      </w:r>
    </w:p>
    <w:p w14:paraId="04076494">
      <w:pPr>
        <w:widowControl w:val="0"/>
        <w:tabs>
          <w:tab w:val="left" w:pos="312"/>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天亿马应在本协议规定的期限内履行回购义务并全额支付当期回购价款，否则，要求回购的投资方有权要求天亿马就应付未付款项按照每日万分之五支付违约金，并赔偿给投资方造成的其他损失。为本协议之目的，天亿马单次应支付的回购款（“单次回购金额”）为根据以下公式计算出的结果。</w:t>
      </w:r>
    </w:p>
    <w:p w14:paraId="59D27274">
      <w:pPr>
        <w:widowControl w:val="0"/>
        <w:kinsoku/>
        <w:autoSpaceDE/>
        <w:autoSpaceDN/>
        <w:adjustRightInd/>
        <w:snapToGrid/>
        <w:spacing w:line="360" w:lineRule="auto"/>
        <w:ind w:left="420" w:left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单次回购的金额=X×（1＋3.5%×N÷365）－M，其中：</w:t>
      </w:r>
    </w:p>
    <w:p w14:paraId="7AD947E1">
      <w:pPr>
        <w:widowControl w:val="0"/>
        <w:kinsoku/>
        <w:autoSpaceDE/>
        <w:autoSpaceDN/>
        <w:adjustRightInd/>
        <w:snapToGrid/>
        <w:spacing w:line="360" w:lineRule="auto"/>
        <w:ind w:left="420" w:left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X为投资人该次要求股权回购对应的投资本金；</w:t>
      </w:r>
    </w:p>
    <w:p w14:paraId="48843021">
      <w:pPr>
        <w:widowControl w:val="0"/>
        <w:kinsoku/>
        <w:autoSpaceDE/>
        <w:autoSpaceDN/>
        <w:adjustRightInd/>
        <w:snapToGrid/>
        <w:spacing w:line="360" w:lineRule="auto"/>
        <w:ind w:left="420" w:left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N为投资人缴付增资款之日至实际收到该次回购价款之日的天数；</w:t>
      </w:r>
    </w:p>
    <w:p w14:paraId="6DE346F4">
      <w:pPr>
        <w:widowControl w:val="0"/>
        <w:kinsoku/>
        <w:autoSpaceDE/>
        <w:autoSpaceDN/>
        <w:adjustRightInd/>
        <w:snapToGrid/>
        <w:spacing w:line="360" w:lineRule="auto"/>
        <w:ind w:left="420" w:left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M为该次要求回购的投资本金自交割之日至该次回购的回购价款支付之日间该投资本金对应的股息红利（如有）。</w:t>
      </w:r>
    </w:p>
    <w:p w14:paraId="2281FF42">
      <w:pPr>
        <w:widowControl w:val="0"/>
        <w:numPr>
          <w:ilvl w:val="0"/>
          <w:numId w:val="3"/>
        </w:numPr>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协议的生效、补充、修改、变更和解除</w:t>
      </w:r>
    </w:p>
    <w:p w14:paraId="46936AC5">
      <w:pPr>
        <w:widowControl w:val="0"/>
        <w:tabs>
          <w:tab w:val="left" w:pos="312"/>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1.本协议经实控人本人签字、标的公司、公司股东及投资人各方法定代表人或执行事务合伙人或其各自授权代表签字及加盖各方公章后生效。</w:t>
      </w:r>
    </w:p>
    <w:p w14:paraId="0740B083">
      <w:pPr>
        <w:widowControl w:val="0"/>
        <w:tabs>
          <w:tab w:val="left" w:pos="312"/>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2.经本协议各方协商一致，可以对本协议进行修改或变更。任何修改或变更必须制成书面文件，经本协议各方签署后生效。</w:t>
      </w:r>
    </w:p>
    <w:p w14:paraId="6C1C5217">
      <w:pPr>
        <w:widowControl w:val="0"/>
        <w:tabs>
          <w:tab w:val="left" w:pos="312"/>
        </w:tabs>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3.提交工商变更登记前，本协议可通过下列方式解除：</w:t>
      </w:r>
    </w:p>
    <w:p w14:paraId="7CBAB65D">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（1）本协议各方共同以书面协议解除并确定解除生效时间；</w:t>
      </w:r>
    </w:p>
    <w:p w14:paraId="59F5B9D6">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（2）根据约定解除本协议。</w:t>
      </w:r>
    </w:p>
    <w:p w14:paraId="358D7B54">
      <w:pPr>
        <w:widowControl w:val="0"/>
        <w:tabs>
          <w:tab w:val="left" w:pos="365"/>
        </w:tabs>
        <w:kinsoku/>
        <w:autoSpaceDE/>
        <w:autoSpaceDN/>
        <w:adjustRightInd/>
        <w:snapToGrid/>
        <w:spacing w:line="360" w:lineRule="auto"/>
        <w:ind w:firstLine="562" w:firstLineChars="200"/>
        <w:jc w:val="both"/>
        <w:textAlignment w:val="auto"/>
        <w:outlineLvl w:val="0"/>
        <w:rPr>
          <w:rFonts w:ascii="仿宋" w:hAnsi="仿宋" w:eastAsia="仿宋" w:cs="仿宋"/>
          <w:snapToGrid/>
          <w:kern w:val="2"/>
          <w:sz w:val="28"/>
          <w:szCs w:val="28"/>
          <w:lang w:eastAsia="zh-CN"/>
        </w:rPr>
      </w:pPr>
      <w:r>
        <w:rPr>
          <w:rFonts w:hint="eastAsia" w:ascii="仿宋" w:hAnsi="仿宋" w:eastAsia="仿宋" w:cs="仿宋"/>
          <w:b/>
          <w:bCs/>
          <w:snapToGrid/>
          <w:kern w:val="2"/>
          <w:sz w:val="28"/>
          <w:szCs w:val="28"/>
          <w:lang w:eastAsia="zh-CN"/>
        </w:rPr>
        <w:t>五、交易目的和对公司的影响</w:t>
      </w:r>
    </w:p>
    <w:p w14:paraId="0E7957B2">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本次增资系满足天亿马数字经营发展的资金需求。天亿马数字增资扩股并引入新股东，可改善资产结构，有效补充流动资金，深化人工智能应用的创新研发。</w:t>
      </w:r>
    </w:p>
    <w:p w14:paraId="227961F9">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本次交易完成后，天亿马数字仍为公司合并报表范围内的控股子公司，长远看对公司经营业绩产生积极影响，有利于进一步提升公司的市场竞争力，符合公司的战略发展规划和股东的长远利益，不存在损害中小股东利益的情况。本次对外投资的资金来源均为自有资金，不会影响公司正常经营，不会对公司未来财务状况和经营发展产生重大不利影响。</w:t>
      </w:r>
    </w:p>
    <w:p w14:paraId="06C06DEB">
      <w:pPr>
        <w:widowControl w:val="0"/>
        <w:tabs>
          <w:tab w:val="left" w:pos="365"/>
        </w:tabs>
        <w:kinsoku/>
        <w:autoSpaceDE/>
        <w:autoSpaceDN/>
        <w:adjustRightInd/>
        <w:snapToGrid/>
        <w:spacing w:line="360" w:lineRule="auto"/>
        <w:ind w:firstLine="562" w:firstLineChars="200"/>
        <w:jc w:val="both"/>
        <w:textAlignment w:val="auto"/>
        <w:outlineLvl w:val="0"/>
        <w:rPr>
          <w:rFonts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六、备查文件</w:t>
      </w:r>
    </w:p>
    <w:p w14:paraId="4BCBF60F">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（一）《广东天亿马信息产业股份有限公司</w:t>
      </w:r>
      <w:r>
        <w:rPr>
          <w:rFonts w:ascii="仿宋" w:hAnsi="仿宋" w:eastAsia="仿宋" w:cs="仿宋"/>
          <w:snapToGrid/>
          <w:kern w:val="2"/>
          <w:sz w:val="28"/>
          <w:szCs w:val="28"/>
          <w:lang w:eastAsia="zh-CN"/>
        </w:rPr>
        <w:t>第</w:t>
      </w:r>
      <w:r>
        <w:rPr>
          <w:rFonts w:hint="eastAsia" w:ascii="仿宋" w:hAnsi="仿宋" w:eastAsia="仿宋" w:cs="仿宋"/>
          <w:snapToGrid/>
          <w:kern w:val="2"/>
          <w:sz w:val="28"/>
          <w:szCs w:val="28"/>
          <w:lang w:eastAsia="zh-CN"/>
        </w:rPr>
        <w:t>四</w:t>
      </w:r>
      <w:r>
        <w:rPr>
          <w:rFonts w:ascii="仿宋" w:hAnsi="仿宋" w:eastAsia="仿宋" w:cs="仿宋"/>
          <w:snapToGrid/>
          <w:kern w:val="2"/>
          <w:sz w:val="28"/>
          <w:szCs w:val="28"/>
          <w:lang w:eastAsia="zh-CN"/>
        </w:rPr>
        <w:t>届董事会第</w:t>
      </w:r>
      <w:r>
        <w:rPr>
          <w:rFonts w:hint="eastAsia" w:ascii="仿宋" w:hAnsi="仿宋" w:eastAsia="仿宋" w:cs="仿宋"/>
          <w:snapToGrid/>
          <w:kern w:val="2"/>
          <w:sz w:val="28"/>
          <w:szCs w:val="28"/>
          <w:lang w:eastAsia="zh-CN"/>
        </w:rPr>
        <w:t>七</w:t>
      </w:r>
      <w:r>
        <w:rPr>
          <w:rFonts w:ascii="仿宋" w:hAnsi="仿宋" w:eastAsia="仿宋" w:cs="仿宋"/>
          <w:snapToGrid/>
          <w:kern w:val="2"/>
          <w:sz w:val="28"/>
          <w:szCs w:val="28"/>
          <w:lang w:eastAsia="zh-CN"/>
        </w:rPr>
        <w:t>次会议决议</w:t>
      </w:r>
      <w:r>
        <w:rPr>
          <w:rFonts w:hint="eastAsia" w:ascii="仿宋" w:hAnsi="仿宋" w:eastAsia="仿宋" w:cs="仿宋"/>
          <w:snapToGrid/>
          <w:kern w:val="2"/>
          <w:sz w:val="28"/>
          <w:szCs w:val="28"/>
          <w:lang w:eastAsia="zh-CN"/>
        </w:rPr>
        <w:t>》；</w:t>
      </w:r>
    </w:p>
    <w:p w14:paraId="74035762">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（二）《广东天亿马数字产业有限公司增资协议》。</w:t>
      </w:r>
    </w:p>
    <w:p w14:paraId="09C9CE1F">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特此公告。</w:t>
      </w:r>
    </w:p>
    <w:p w14:paraId="0F70E098">
      <w:pPr>
        <w:widowControl w:val="0"/>
        <w:kinsoku/>
        <w:autoSpaceDE/>
        <w:autoSpaceDN/>
        <w:adjustRightInd/>
        <w:snapToGrid/>
        <w:spacing w:line="360" w:lineRule="auto"/>
        <w:ind w:firstLine="560" w:firstLineChars="200"/>
        <w:jc w:val="right"/>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广东天亿马信息产业股份有限公司</w:t>
      </w:r>
    </w:p>
    <w:p w14:paraId="11F2304C">
      <w:pPr>
        <w:widowControl w:val="0"/>
        <w:kinsoku/>
        <w:autoSpaceDE/>
        <w:autoSpaceDN/>
        <w:adjustRightInd/>
        <w:snapToGrid/>
        <w:spacing w:line="360" w:lineRule="auto"/>
        <w:ind w:firstLine="560" w:firstLineChars="200"/>
        <w:jc w:val="right"/>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董事会</w:t>
      </w:r>
    </w:p>
    <w:p w14:paraId="0D4143D8">
      <w:pPr>
        <w:widowControl w:val="0"/>
        <w:kinsoku/>
        <w:wordWrap w:val="0"/>
        <w:autoSpaceDE/>
        <w:autoSpaceDN/>
        <w:adjustRightInd/>
        <w:snapToGrid/>
        <w:spacing w:line="360" w:lineRule="auto"/>
        <w:ind w:firstLine="560" w:firstLineChars="200"/>
        <w:jc w:val="right"/>
        <w:textAlignment w:val="auto"/>
        <w:rPr>
          <w:rFonts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2026年5月21日</w:t>
      </w:r>
    </w:p>
    <w:sectPr>
      <w:footerReference r:id="rId3" w:type="default"/>
      <w:pgSz w:w="11907" w:h="16839"/>
      <w:pgMar w:top="1431" w:right="1730" w:bottom="1202" w:left="1785" w:header="0" w:footer="97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PingFang SC">
    <w:altName w:val="宋体"/>
    <w:panose1 w:val="00000000000000000000"/>
    <w:charset w:val="86"/>
    <w:family w:val="auto"/>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BF7B204">
        <w:pPr>
          <w:pStyle w:val="6"/>
          <w:jc w:val="center"/>
        </w:pPr>
        <w:r>
          <w:fldChar w:fldCharType="begin"/>
        </w:r>
        <w:r>
          <w:instrText xml:space="preserve">PAGE   \* MERGEFORMAT</w:instrText>
        </w:r>
        <w:r>
          <w:fldChar w:fldCharType="separate"/>
        </w:r>
        <w:r>
          <w:rPr>
            <w:lang w:val="zh-CN" w:eastAsia="zh-CN"/>
          </w:rPr>
          <w:t>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DA94D"/>
    <w:multiLevelType w:val="singleLevel"/>
    <w:tmpl w:val="88FDA94D"/>
    <w:lvl w:ilvl="0" w:tentative="0">
      <w:start w:val="2"/>
      <w:numFmt w:val="chineseCounting"/>
      <w:suff w:val="nothing"/>
      <w:lvlText w:val="%1、"/>
      <w:lvlJc w:val="left"/>
      <w:rPr>
        <w:rFonts w:hint="eastAsia"/>
      </w:rPr>
    </w:lvl>
  </w:abstractNum>
  <w:abstractNum w:abstractNumId="1">
    <w:nsid w:val="D9B4E959"/>
    <w:multiLevelType w:val="singleLevel"/>
    <w:tmpl w:val="D9B4E959"/>
    <w:lvl w:ilvl="0" w:tentative="0">
      <w:start w:val="1"/>
      <w:numFmt w:val="chineseCounting"/>
      <w:suff w:val="nothing"/>
      <w:lvlText w:val="（%1）"/>
      <w:lvlJc w:val="left"/>
      <w:rPr>
        <w:rFonts w:hint="eastAsia"/>
      </w:rPr>
    </w:lvl>
  </w:abstractNum>
  <w:abstractNum w:abstractNumId="2">
    <w:nsid w:val="349C363C"/>
    <w:multiLevelType w:val="singleLevel"/>
    <w:tmpl w:val="349C363C"/>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4"/>
  </w:compat>
  <w:rsids>
    <w:rsidRoot w:val="00172A27"/>
    <w:rsid w:val="000008B7"/>
    <w:rsid w:val="00001D4D"/>
    <w:rsid w:val="0001193C"/>
    <w:rsid w:val="00011E0C"/>
    <w:rsid w:val="00013495"/>
    <w:rsid w:val="00016A8B"/>
    <w:rsid w:val="000219EB"/>
    <w:rsid w:val="000307F9"/>
    <w:rsid w:val="00034FAB"/>
    <w:rsid w:val="000354F3"/>
    <w:rsid w:val="000405EF"/>
    <w:rsid w:val="0004423E"/>
    <w:rsid w:val="000546EF"/>
    <w:rsid w:val="000616F5"/>
    <w:rsid w:val="0006265F"/>
    <w:rsid w:val="00082188"/>
    <w:rsid w:val="000865A0"/>
    <w:rsid w:val="00090B40"/>
    <w:rsid w:val="00096E30"/>
    <w:rsid w:val="000A331B"/>
    <w:rsid w:val="000A367C"/>
    <w:rsid w:val="000A39DF"/>
    <w:rsid w:val="000B40EB"/>
    <w:rsid w:val="000C0B8E"/>
    <w:rsid w:val="000C2076"/>
    <w:rsid w:val="000C291C"/>
    <w:rsid w:val="000D45C6"/>
    <w:rsid w:val="000D5659"/>
    <w:rsid w:val="000D56ED"/>
    <w:rsid w:val="000E5D71"/>
    <w:rsid w:val="000F4747"/>
    <w:rsid w:val="000F7227"/>
    <w:rsid w:val="001003E1"/>
    <w:rsid w:val="001008BB"/>
    <w:rsid w:val="00101F8B"/>
    <w:rsid w:val="00112D64"/>
    <w:rsid w:val="00113C00"/>
    <w:rsid w:val="001159D8"/>
    <w:rsid w:val="001302CB"/>
    <w:rsid w:val="00136140"/>
    <w:rsid w:val="0014028D"/>
    <w:rsid w:val="00142493"/>
    <w:rsid w:val="0014321E"/>
    <w:rsid w:val="001433B6"/>
    <w:rsid w:val="00146580"/>
    <w:rsid w:val="001562D1"/>
    <w:rsid w:val="0016219D"/>
    <w:rsid w:val="001647EF"/>
    <w:rsid w:val="00164EF2"/>
    <w:rsid w:val="001655D3"/>
    <w:rsid w:val="00171994"/>
    <w:rsid w:val="00172A27"/>
    <w:rsid w:val="001C2019"/>
    <w:rsid w:val="001D7835"/>
    <w:rsid w:val="001E0A32"/>
    <w:rsid w:val="001E5580"/>
    <w:rsid w:val="001E6D20"/>
    <w:rsid w:val="001E6DD4"/>
    <w:rsid w:val="001E72F3"/>
    <w:rsid w:val="002308C2"/>
    <w:rsid w:val="00245752"/>
    <w:rsid w:val="00260F4F"/>
    <w:rsid w:val="00291EE6"/>
    <w:rsid w:val="00296228"/>
    <w:rsid w:val="0029661C"/>
    <w:rsid w:val="002979E0"/>
    <w:rsid w:val="002A1DE1"/>
    <w:rsid w:val="002A5311"/>
    <w:rsid w:val="002A5650"/>
    <w:rsid w:val="002A70E0"/>
    <w:rsid w:val="002B2705"/>
    <w:rsid w:val="002B40CC"/>
    <w:rsid w:val="002B5F35"/>
    <w:rsid w:val="002D3E81"/>
    <w:rsid w:val="002E6789"/>
    <w:rsid w:val="00305286"/>
    <w:rsid w:val="00311890"/>
    <w:rsid w:val="0031547E"/>
    <w:rsid w:val="0031697E"/>
    <w:rsid w:val="00316EC1"/>
    <w:rsid w:val="0032104A"/>
    <w:rsid w:val="003469CB"/>
    <w:rsid w:val="00353AC1"/>
    <w:rsid w:val="00362D01"/>
    <w:rsid w:val="003744FC"/>
    <w:rsid w:val="00381FE5"/>
    <w:rsid w:val="00385FA7"/>
    <w:rsid w:val="003912C4"/>
    <w:rsid w:val="003A7FDA"/>
    <w:rsid w:val="003B4227"/>
    <w:rsid w:val="003C2CE9"/>
    <w:rsid w:val="003D5684"/>
    <w:rsid w:val="003E0D1E"/>
    <w:rsid w:val="003E7E8E"/>
    <w:rsid w:val="003F51C8"/>
    <w:rsid w:val="00403D22"/>
    <w:rsid w:val="00406E6D"/>
    <w:rsid w:val="00411156"/>
    <w:rsid w:val="00414429"/>
    <w:rsid w:val="00420818"/>
    <w:rsid w:val="00421C9D"/>
    <w:rsid w:val="0043504B"/>
    <w:rsid w:val="00435242"/>
    <w:rsid w:val="00437F49"/>
    <w:rsid w:val="0044403F"/>
    <w:rsid w:val="004471D1"/>
    <w:rsid w:val="004569C1"/>
    <w:rsid w:val="00486CA3"/>
    <w:rsid w:val="00493379"/>
    <w:rsid w:val="004A3C1A"/>
    <w:rsid w:val="004B0A04"/>
    <w:rsid w:val="004C3F48"/>
    <w:rsid w:val="004C7473"/>
    <w:rsid w:val="004D376F"/>
    <w:rsid w:val="005048A1"/>
    <w:rsid w:val="00511156"/>
    <w:rsid w:val="005221D0"/>
    <w:rsid w:val="00524104"/>
    <w:rsid w:val="00524BCA"/>
    <w:rsid w:val="00566CCF"/>
    <w:rsid w:val="00572916"/>
    <w:rsid w:val="00575474"/>
    <w:rsid w:val="005805BC"/>
    <w:rsid w:val="00591390"/>
    <w:rsid w:val="00593E63"/>
    <w:rsid w:val="00597ECE"/>
    <w:rsid w:val="00597F0A"/>
    <w:rsid w:val="005A3E0F"/>
    <w:rsid w:val="005A5462"/>
    <w:rsid w:val="005A7463"/>
    <w:rsid w:val="005B0540"/>
    <w:rsid w:val="005D1A29"/>
    <w:rsid w:val="005D6832"/>
    <w:rsid w:val="005E2C89"/>
    <w:rsid w:val="005E34B2"/>
    <w:rsid w:val="005F021D"/>
    <w:rsid w:val="005F2F3A"/>
    <w:rsid w:val="00600F2F"/>
    <w:rsid w:val="0060283F"/>
    <w:rsid w:val="006103AE"/>
    <w:rsid w:val="00612B06"/>
    <w:rsid w:val="0064267C"/>
    <w:rsid w:val="006441A8"/>
    <w:rsid w:val="00645740"/>
    <w:rsid w:val="00657E7A"/>
    <w:rsid w:val="00663DBC"/>
    <w:rsid w:val="00665C1E"/>
    <w:rsid w:val="00666C09"/>
    <w:rsid w:val="00670B57"/>
    <w:rsid w:val="00675EA5"/>
    <w:rsid w:val="00677FED"/>
    <w:rsid w:val="006838DF"/>
    <w:rsid w:val="006A116D"/>
    <w:rsid w:val="006A4B66"/>
    <w:rsid w:val="006C39D0"/>
    <w:rsid w:val="006D02B0"/>
    <w:rsid w:val="006D4FED"/>
    <w:rsid w:val="006D6695"/>
    <w:rsid w:val="006F2013"/>
    <w:rsid w:val="00703304"/>
    <w:rsid w:val="00704B14"/>
    <w:rsid w:val="00705704"/>
    <w:rsid w:val="007124F9"/>
    <w:rsid w:val="00715B93"/>
    <w:rsid w:val="0072074F"/>
    <w:rsid w:val="007340D3"/>
    <w:rsid w:val="007347FD"/>
    <w:rsid w:val="007353C1"/>
    <w:rsid w:val="00742BD6"/>
    <w:rsid w:val="00747AD8"/>
    <w:rsid w:val="00767FF4"/>
    <w:rsid w:val="00771A7E"/>
    <w:rsid w:val="00773E19"/>
    <w:rsid w:val="007742FC"/>
    <w:rsid w:val="00775F4C"/>
    <w:rsid w:val="0077621A"/>
    <w:rsid w:val="0078039F"/>
    <w:rsid w:val="00785B8A"/>
    <w:rsid w:val="00790BAD"/>
    <w:rsid w:val="007A2C80"/>
    <w:rsid w:val="007A3EB3"/>
    <w:rsid w:val="007B096F"/>
    <w:rsid w:val="007B26E6"/>
    <w:rsid w:val="007B66D5"/>
    <w:rsid w:val="007C3194"/>
    <w:rsid w:val="007D045B"/>
    <w:rsid w:val="007D19BD"/>
    <w:rsid w:val="007D1B30"/>
    <w:rsid w:val="007D2D3B"/>
    <w:rsid w:val="007D3DAF"/>
    <w:rsid w:val="007E1FA8"/>
    <w:rsid w:val="007E59E5"/>
    <w:rsid w:val="007E789F"/>
    <w:rsid w:val="007E7D59"/>
    <w:rsid w:val="007F46ED"/>
    <w:rsid w:val="007F51BD"/>
    <w:rsid w:val="007F55E2"/>
    <w:rsid w:val="007F71B2"/>
    <w:rsid w:val="00800750"/>
    <w:rsid w:val="0080424F"/>
    <w:rsid w:val="008153E9"/>
    <w:rsid w:val="00820E16"/>
    <w:rsid w:val="00827813"/>
    <w:rsid w:val="008331F0"/>
    <w:rsid w:val="008347AC"/>
    <w:rsid w:val="0083538D"/>
    <w:rsid w:val="00851B53"/>
    <w:rsid w:val="008574B1"/>
    <w:rsid w:val="00857941"/>
    <w:rsid w:val="00862107"/>
    <w:rsid w:val="00862C04"/>
    <w:rsid w:val="00886148"/>
    <w:rsid w:val="00892A86"/>
    <w:rsid w:val="008B1AE3"/>
    <w:rsid w:val="008B23E6"/>
    <w:rsid w:val="008B33CD"/>
    <w:rsid w:val="008B3E9D"/>
    <w:rsid w:val="008B5038"/>
    <w:rsid w:val="008B51A1"/>
    <w:rsid w:val="008C32D3"/>
    <w:rsid w:val="008C3848"/>
    <w:rsid w:val="008D4E0A"/>
    <w:rsid w:val="008D5185"/>
    <w:rsid w:val="008D62CF"/>
    <w:rsid w:val="008D727F"/>
    <w:rsid w:val="008E13C6"/>
    <w:rsid w:val="008F1FFD"/>
    <w:rsid w:val="009014E1"/>
    <w:rsid w:val="00901AB0"/>
    <w:rsid w:val="009020A3"/>
    <w:rsid w:val="00913A68"/>
    <w:rsid w:val="00920320"/>
    <w:rsid w:val="00932DBE"/>
    <w:rsid w:val="00935451"/>
    <w:rsid w:val="009360DB"/>
    <w:rsid w:val="009471B5"/>
    <w:rsid w:val="00953056"/>
    <w:rsid w:val="009557CF"/>
    <w:rsid w:val="009632C1"/>
    <w:rsid w:val="00973B53"/>
    <w:rsid w:val="00993161"/>
    <w:rsid w:val="009A3E41"/>
    <w:rsid w:val="009B300D"/>
    <w:rsid w:val="009C223A"/>
    <w:rsid w:val="009C73F7"/>
    <w:rsid w:val="009D34C3"/>
    <w:rsid w:val="009E0868"/>
    <w:rsid w:val="009E1B44"/>
    <w:rsid w:val="009E5271"/>
    <w:rsid w:val="009F3459"/>
    <w:rsid w:val="009F37A6"/>
    <w:rsid w:val="009F55E9"/>
    <w:rsid w:val="00A01189"/>
    <w:rsid w:val="00A07333"/>
    <w:rsid w:val="00A11CC9"/>
    <w:rsid w:val="00A31E54"/>
    <w:rsid w:val="00A35691"/>
    <w:rsid w:val="00A37162"/>
    <w:rsid w:val="00A37D71"/>
    <w:rsid w:val="00A46B7B"/>
    <w:rsid w:val="00A51CE4"/>
    <w:rsid w:val="00A57577"/>
    <w:rsid w:val="00A6319C"/>
    <w:rsid w:val="00A73025"/>
    <w:rsid w:val="00A82892"/>
    <w:rsid w:val="00A900DC"/>
    <w:rsid w:val="00A916E3"/>
    <w:rsid w:val="00A97238"/>
    <w:rsid w:val="00AB030F"/>
    <w:rsid w:val="00AC147D"/>
    <w:rsid w:val="00AC3800"/>
    <w:rsid w:val="00AC4F7F"/>
    <w:rsid w:val="00AC6142"/>
    <w:rsid w:val="00AD2472"/>
    <w:rsid w:val="00AD507A"/>
    <w:rsid w:val="00AE0517"/>
    <w:rsid w:val="00AE2928"/>
    <w:rsid w:val="00AE4AE0"/>
    <w:rsid w:val="00AE7D34"/>
    <w:rsid w:val="00AF5143"/>
    <w:rsid w:val="00AF7079"/>
    <w:rsid w:val="00B04C18"/>
    <w:rsid w:val="00B04FA8"/>
    <w:rsid w:val="00B05839"/>
    <w:rsid w:val="00B07B01"/>
    <w:rsid w:val="00B21728"/>
    <w:rsid w:val="00B21E39"/>
    <w:rsid w:val="00B33A54"/>
    <w:rsid w:val="00B52DDB"/>
    <w:rsid w:val="00B619F3"/>
    <w:rsid w:val="00B9175A"/>
    <w:rsid w:val="00B94D5B"/>
    <w:rsid w:val="00B9662E"/>
    <w:rsid w:val="00BA1317"/>
    <w:rsid w:val="00BA20A5"/>
    <w:rsid w:val="00BA2299"/>
    <w:rsid w:val="00BB2FD1"/>
    <w:rsid w:val="00BC1F62"/>
    <w:rsid w:val="00BC7903"/>
    <w:rsid w:val="00BD19B2"/>
    <w:rsid w:val="00BD3DF5"/>
    <w:rsid w:val="00BE1554"/>
    <w:rsid w:val="00BE54B5"/>
    <w:rsid w:val="00C326B3"/>
    <w:rsid w:val="00C3473E"/>
    <w:rsid w:val="00C43E16"/>
    <w:rsid w:val="00C5204A"/>
    <w:rsid w:val="00C619FE"/>
    <w:rsid w:val="00C66CEB"/>
    <w:rsid w:val="00C74276"/>
    <w:rsid w:val="00C751F0"/>
    <w:rsid w:val="00C84480"/>
    <w:rsid w:val="00C868E0"/>
    <w:rsid w:val="00C87AF1"/>
    <w:rsid w:val="00CA0C03"/>
    <w:rsid w:val="00CC0B05"/>
    <w:rsid w:val="00CC5D21"/>
    <w:rsid w:val="00CC7CFA"/>
    <w:rsid w:val="00CE7E88"/>
    <w:rsid w:val="00D13429"/>
    <w:rsid w:val="00D22077"/>
    <w:rsid w:val="00D23D5C"/>
    <w:rsid w:val="00D24251"/>
    <w:rsid w:val="00D2660C"/>
    <w:rsid w:val="00D42081"/>
    <w:rsid w:val="00D42DB5"/>
    <w:rsid w:val="00D43852"/>
    <w:rsid w:val="00D51E8F"/>
    <w:rsid w:val="00D532C1"/>
    <w:rsid w:val="00D62A78"/>
    <w:rsid w:val="00D67CE6"/>
    <w:rsid w:val="00D7749F"/>
    <w:rsid w:val="00D937DB"/>
    <w:rsid w:val="00D95587"/>
    <w:rsid w:val="00DA0A2C"/>
    <w:rsid w:val="00DA3CBC"/>
    <w:rsid w:val="00DB07ED"/>
    <w:rsid w:val="00DB0CEE"/>
    <w:rsid w:val="00DC4A94"/>
    <w:rsid w:val="00DC4E38"/>
    <w:rsid w:val="00DC7E11"/>
    <w:rsid w:val="00DE1E05"/>
    <w:rsid w:val="00DE354D"/>
    <w:rsid w:val="00DE41F9"/>
    <w:rsid w:val="00DE70F1"/>
    <w:rsid w:val="00DF40CD"/>
    <w:rsid w:val="00E06AA6"/>
    <w:rsid w:val="00E117CB"/>
    <w:rsid w:val="00E132E9"/>
    <w:rsid w:val="00E133CB"/>
    <w:rsid w:val="00E148EF"/>
    <w:rsid w:val="00E32D43"/>
    <w:rsid w:val="00E34E18"/>
    <w:rsid w:val="00E36B6C"/>
    <w:rsid w:val="00E45BA2"/>
    <w:rsid w:val="00E52B4F"/>
    <w:rsid w:val="00E52DE1"/>
    <w:rsid w:val="00E67163"/>
    <w:rsid w:val="00E737FE"/>
    <w:rsid w:val="00E73DB1"/>
    <w:rsid w:val="00E868C5"/>
    <w:rsid w:val="00E94C6D"/>
    <w:rsid w:val="00E96F00"/>
    <w:rsid w:val="00EA2E26"/>
    <w:rsid w:val="00EB5F1C"/>
    <w:rsid w:val="00EE1811"/>
    <w:rsid w:val="00EF3327"/>
    <w:rsid w:val="00EF3A38"/>
    <w:rsid w:val="00EF734F"/>
    <w:rsid w:val="00F01593"/>
    <w:rsid w:val="00F11E2A"/>
    <w:rsid w:val="00F16451"/>
    <w:rsid w:val="00F24175"/>
    <w:rsid w:val="00F33C96"/>
    <w:rsid w:val="00F36641"/>
    <w:rsid w:val="00F36C18"/>
    <w:rsid w:val="00F44D43"/>
    <w:rsid w:val="00F51C7C"/>
    <w:rsid w:val="00F72173"/>
    <w:rsid w:val="00F72A03"/>
    <w:rsid w:val="00F7633B"/>
    <w:rsid w:val="00F8320F"/>
    <w:rsid w:val="00F92DEC"/>
    <w:rsid w:val="00F93D9F"/>
    <w:rsid w:val="00F9718F"/>
    <w:rsid w:val="00FA3671"/>
    <w:rsid w:val="00FB3816"/>
    <w:rsid w:val="00FB7767"/>
    <w:rsid w:val="00FC0EC2"/>
    <w:rsid w:val="00FC6790"/>
    <w:rsid w:val="00FC6963"/>
    <w:rsid w:val="00FD5C46"/>
    <w:rsid w:val="00FD6060"/>
    <w:rsid w:val="00FE1EC9"/>
    <w:rsid w:val="00FE2782"/>
    <w:rsid w:val="00FE3666"/>
    <w:rsid w:val="017240DE"/>
    <w:rsid w:val="022515B3"/>
    <w:rsid w:val="02311B9B"/>
    <w:rsid w:val="02AA509F"/>
    <w:rsid w:val="02F27D5E"/>
    <w:rsid w:val="02F864E2"/>
    <w:rsid w:val="035F5478"/>
    <w:rsid w:val="03A20E5E"/>
    <w:rsid w:val="05A86320"/>
    <w:rsid w:val="05AD4055"/>
    <w:rsid w:val="05CF2054"/>
    <w:rsid w:val="05DB04A3"/>
    <w:rsid w:val="060007BC"/>
    <w:rsid w:val="060C0290"/>
    <w:rsid w:val="06540256"/>
    <w:rsid w:val="06773C36"/>
    <w:rsid w:val="070F49AE"/>
    <w:rsid w:val="074E085E"/>
    <w:rsid w:val="08311F0C"/>
    <w:rsid w:val="084F6F27"/>
    <w:rsid w:val="086A1FB2"/>
    <w:rsid w:val="08955E52"/>
    <w:rsid w:val="08ED6E6B"/>
    <w:rsid w:val="08F66CCB"/>
    <w:rsid w:val="09813405"/>
    <w:rsid w:val="099512B1"/>
    <w:rsid w:val="09A92667"/>
    <w:rsid w:val="09D73678"/>
    <w:rsid w:val="09D80BD8"/>
    <w:rsid w:val="0B2910B5"/>
    <w:rsid w:val="0B511CD1"/>
    <w:rsid w:val="0B7D1FFD"/>
    <w:rsid w:val="0B93537C"/>
    <w:rsid w:val="0BD2371E"/>
    <w:rsid w:val="0C712C13"/>
    <w:rsid w:val="0DAF0B93"/>
    <w:rsid w:val="0E39083B"/>
    <w:rsid w:val="0E5967E9"/>
    <w:rsid w:val="0E87431D"/>
    <w:rsid w:val="0F557518"/>
    <w:rsid w:val="0F77263A"/>
    <w:rsid w:val="0F8C78F0"/>
    <w:rsid w:val="102F65B3"/>
    <w:rsid w:val="10915F18"/>
    <w:rsid w:val="10E5416D"/>
    <w:rsid w:val="114C1CE8"/>
    <w:rsid w:val="11511F61"/>
    <w:rsid w:val="12280C26"/>
    <w:rsid w:val="12BB58E4"/>
    <w:rsid w:val="12BE7183"/>
    <w:rsid w:val="13143247"/>
    <w:rsid w:val="13A16E84"/>
    <w:rsid w:val="13AF4D1D"/>
    <w:rsid w:val="13F33B15"/>
    <w:rsid w:val="14776029"/>
    <w:rsid w:val="14A26C5A"/>
    <w:rsid w:val="15427F5D"/>
    <w:rsid w:val="154D3D0F"/>
    <w:rsid w:val="155E2A8F"/>
    <w:rsid w:val="159B06BD"/>
    <w:rsid w:val="16131F73"/>
    <w:rsid w:val="16573ED0"/>
    <w:rsid w:val="16862BD3"/>
    <w:rsid w:val="175122E3"/>
    <w:rsid w:val="18202CA2"/>
    <w:rsid w:val="18B7470E"/>
    <w:rsid w:val="18BC3C87"/>
    <w:rsid w:val="18FA7C9B"/>
    <w:rsid w:val="19314B52"/>
    <w:rsid w:val="19616ABA"/>
    <w:rsid w:val="19F745E3"/>
    <w:rsid w:val="19F837E1"/>
    <w:rsid w:val="1A01744E"/>
    <w:rsid w:val="1A822AA5"/>
    <w:rsid w:val="1B2B2B54"/>
    <w:rsid w:val="1BA710FC"/>
    <w:rsid w:val="1BD450EA"/>
    <w:rsid w:val="1BF22A9C"/>
    <w:rsid w:val="1C112EC8"/>
    <w:rsid w:val="1C2D3E3A"/>
    <w:rsid w:val="1C87106A"/>
    <w:rsid w:val="1D1520CE"/>
    <w:rsid w:val="1D602818"/>
    <w:rsid w:val="1D6857B5"/>
    <w:rsid w:val="1D8D6D2E"/>
    <w:rsid w:val="1DB8103A"/>
    <w:rsid w:val="1DC928BA"/>
    <w:rsid w:val="1DD106B2"/>
    <w:rsid w:val="1E0472BF"/>
    <w:rsid w:val="1FB75686"/>
    <w:rsid w:val="205F71A6"/>
    <w:rsid w:val="20623843"/>
    <w:rsid w:val="20A976C4"/>
    <w:rsid w:val="20C94F16"/>
    <w:rsid w:val="20E04ED4"/>
    <w:rsid w:val="20EB66F9"/>
    <w:rsid w:val="22066450"/>
    <w:rsid w:val="221B624A"/>
    <w:rsid w:val="22592A24"/>
    <w:rsid w:val="230010F2"/>
    <w:rsid w:val="240A5D8B"/>
    <w:rsid w:val="240D3E18"/>
    <w:rsid w:val="244020ED"/>
    <w:rsid w:val="2452597D"/>
    <w:rsid w:val="247D50F0"/>
    <w:rsid w:val="24F829C8"/>
    <w:rsid w:val="251349E2"/>
    <w:rsid w:val="26056E9E"/>
    <w:rsid w:val="264D0AF2"/>
    <w:rsid w:val="273D198B"/>
    <w:rsid w:val="27FB0808"/>
    <w:rsid w:val="280E1E1D"/>
    <w:rsid w:val="285B3373"/>
    <w:rsid w:val="28992885"/>
    <w:rsid w:val="291B0A33"/>
    <w:rsid w:val="292E4B4B"/>
    <w:rsid w:val="293B2E83"/>
    <w:rsid w:val="2984482A"/>
    <w:rsid w:val="29F01EC0"/>
    <w:rsid w:val="2BC03B14"/>
    <w:rsid w:val="2BFF19C0"/>
    <w:rsid w:val="2C136663"/>
    <w:rsid w:val="2C8C4B8D"/>
    <w:rsid w:val="2CAC289F"/>
    <w:rsid w:val="2CC837EE"/>
    <w:rsid w:val="2CDD4252"/>
    <w:rsid w:val="2D4C1EE7"/>
    <w:rsid w:val="2E553E02"/>
    <w:rsid w:val="30A82197"/>
    <w:rsid w:val="30DF03BE"/>
    <w:rsid w:val="312C3EAE"/>
    <w:rsid w:val="32250B75"/>
    <w:rsid w:val="32AC3044"/>
    <w:rsid w:val="32EE0F67"/>
    <w:rsid w:val="32F00761"/>
    <w:rsid w:val="340312A4"/>
    <w:rsid w:val="34666738"/>
    <w:rsid w:val="349D6BFC"/>
    <w:rsid w:val="3514308F"/>
    <w:rsid w:val="357EE61F"/>
    <w:rsid w:val="35A71DBA"/>
    <w:rsid w:val="35B95B12"/>
    <w:rsid w:val="36CC15BF"/>
    <w:rsid w:val="37825987"/>
    <w:rsid w:val="379D511D"/>
    <w:rsid w:val="37BC00E4"/>
    <w:rsid w:val="38650402"/>
    <w:rsid w:val="38A071A7"/>
    <w:rsid w:val="38C764E2"/>
    <w:rsid w:val="39A66242"/>
    <w:rsid w:val="39CD3FCC"/>
    <w:rsid w:val="39EB2816"/>
    <w:rsid w:val="3AC30F2B"/>
    <w:rsid w:val="3AE17026"/>
    <w:rsid w:val="3BA26D92"/>
    <w:rsid w:val="3C4B567C"/>
    <w:rsid w:val="3CDB3CBF"/>
    <w:rsid w:val="3D1B16F6"/>
    <w:rsid w:val="3DF24362"/>
    <w:rsid w:val="3E2C6DE7"/>
    <w:rsid w:val="3ED534DB"/>
    <w:rsid w:val="3F3107F4"/>
    <w:rsid w:val="3F915B51"/>
    <w:rsid w:val="3FA86034"/>
    <w:rsid w:val="3FB71DD8"/>
    <w:rsid w:val="4023497F"/>
    <w:rsid w:val="40661121"/>
    <w:rsid w:val="406960D0"/>
    <w:rsid w:val="40D753B1"/>
    <w:rsid w:val="41507D73"/>
    <w:rsid w:val="41611C9C"/>
    <w:rsid w:val="41A26BC9"/>
    <w:rsid w:val="41AD2AF3"/>
    <w:rsid w:val="41B47713"/>
    <w:rsid w:val="41C423C1"/>
    <w:rsid w:val="41CA7043"/>
    <w:rsid w:val="429C7054"/>
    <w:rsid w:val="42A51CCD"/>
    <w:rsid w:val="42CD5937"/>
    <w:rsid w:val="444730A0"/>
    <w:rsid w:val="44507CD3"/>
    <w:rsid w:val="447339C1"/>
    <w:rsid w:val="44EA2FCA"/>
    <w:rsid w:val="44EB17AA"/>
    <w:rsid w:val="45594965"/>
    <w:rsid w:val="45C767DD"/>
    <w:rsid w:val="45ED3958"/>
    <w:rsid w:val="461B249C"/>
    <w:rsid w:val="462276E1"/>
    <w:rsid w:val="466A0721"/>
    <w:rsid w:val="46F26E20"/>
    <w:rsid w:val="47583AFF"/>
    <w:rsid w:val="47AB19BB"/>
    <w:rsid w:val="47B43396"/>
    <w:rsid w:val="47C47EC9"/>
    <w:rsid w:val="47C7611D"/>
    <w:rsid w:val="480536E5"/>
    <w:rsid w:val="48A05908"/>
    <w:rsid w:val="49364913"/>
    <w:rsid w:val="4ADA20A4"/>
    <w:rsid w:val="4B3A317F"/>
    <w:rsid w:val="4B5926D3"/>
    <w:rsid w:val="4B8314C0"/>
    <w:rsid w:val="4C0E2978"/>
    <w:rsid w:val="4C2F2872"/>
    <w:rsid w:val="4C9E6834"/>
    <w:rsid w:val="4CE03BBE"/>
    <w:rsid w:val="4DA032EE"/>
    <w:rsid w:val="4E0465D6"/>
    <w:rsid w:val="4E207E07"/>
    <w:rsid w:val="4E500832"/>
    <w:rsid w:val="4EFE20DA"/>
    <w:rsid w:val="4F382326"/>
    <w:rsid w:val="4F91298C"/>
    <w:rsid w:val="4FC779C9"/>
    <w:rsid w:val="4FE570BC"/>
    <w:rsid w:val="500212D8"/>
    <w:rsid w:val="507C59AC"/>
    <w:rsid w:val="50BC3FFA"/>
    <w:rsid w:val="50FB0FC7"/>
    <w:rsid w:val="51382D26"/>
    <w:rsid w:val="51DF5E36"/>
    <w:rsid w:val="52311923"/>
    <w:rsid w:val="534606BD"/>
    <w:rsid w:val="53754F62"/>
    <w:rsid w:val="53A50C2A"/>
    <w:rsid w:val="53AF20C8"/>
    <w:rsid w:val="557F21C6"/>
    <w:rsid w:val="559B13F1"/>
    <w:rsid w:val="560A50C5"/>
    <w:rsid w:val="560E354A"/>
    <w:rsid w:val="56382375"/>
    <w:rsid w:val="56A1616C"/>
    <w:rsid w:val="56C1680E"/>
    <w:rsid w:val="56FE1CF2"/>
    <w:rsid w:val="57180092"/>
    <w:rsid w:val="57AD41B4"/>
    <w:rsid w:val="57B8364E"/>
    <w:rsid w:val="57EE6383"/>
    <w:rsid w:val="581744FB"/>
    <w:rsid w:val="58216B58"/>
    <w:rsid w:val="58A56532"/>
    <w:rsid w:val="595B4CF8"/>
    <w:rsid w:val="59710078"/>
    <w:rsid w:val="59785BB1"/>
    <w:rsid w:val="59D5132D"/>
    <w:rsid w:val="5A667177"/>
    <w:rsid w:val="5AD44AB6"/>
    <w:rsid w:val="5CA70254"/>
    <w:rsid w:val="5DFD6725"/>
    <w:rsid w:val="5DFF3B32"/>
    <w:rsid w:val="5EAC34C1"/>
    <w:rsid w:val="5F064FAB"/>
    <w:rsid w:val="5F0C4F47"/>
    <w:rsid w:val="5F3876B8"/>
    <w:rsid w:val="5F5C70D4"/>
    <w:rsid w:val="5F964CC5"/>
    <w:rsid w:val="5FAB621B"/>
    <w:rsid w:val="5FD9E764"/>
    <w:rsid w:val="601D3B44"/>
    <w:rsid w:val="602F4A1C"/>
    <w:rsid w:val="61332BD1"/>
    <w:rsid w:val="614A6819"/>
    <w:rsid w:val="61743582"/>
    <w:rsid w:val="61BD221B"/>
    <w:rsid w:val="62404F46"/>
    <w:rsid w:val="6246723B"/>
    <w:rsid w:val="6255576B"/>
    <w:rsid w:val="626A7D5A"/>
    <w:rsid w:val="62724EC0"/>
    <w:rsid w:val="62EC473A"/>
    <w:rsid w:val="62F53AC8"/>
    <w:rsid w:val="62FEC35D"/>
    <w:rsid w:val="631A75A8"/>
    <w:rsid w:val="63D95197"/>
    <w:rsid w:val="63E7AC12"/>
    <w:rsid w:val="646C0EAF"/>
    <w:rsid w:val="64AE5726"/>
    <w:rsid w:val="65CA01F3"/>
    <w:rsid w:val="66067718"/>
    <w:rsid w:val="66CB4B3F"/>
    <w:rsid w:val="6762247B"/>
    <w:rsid w:val="67A54D96"/>
    <w:rsid w:val="694B1F7C"/>
    <w:rsid w:val="69756ACB"/>
    <w:rsid w:val="6A505A87"/>
    <w:rsid w:val="6A7C43FC"/>
    <w:rsid w:val="6BF115F2"/>
    <w:rsid w:val="6CDE41BC"/>
    <w:rsid w:val="6CF7668E"/>
    <w:rsid w:val="6DE44E65"/>
    <w:rsid w:val="6FBF4044"/>
    <w:rsid w:val="70247E20"/>
    <w:rsid w:val="7113780F"/>
    <w:rsid w:val="712C58BD"/>
    <w:rsid w:val="719B5840"/>
    <w:rsid w:val="71B041AF"/>
    <w:rsid w:val="72004CD0"/>
    <w:rsid w:val="7209659F"/>
    <w:rsid w:val="724F1D63"/>
    <w:rsid w:val="72794568"/>
    <w:rsid w:val="729B6301"/>
    <w:rsid w:val="73591E51"/>
    <w:rsid w:val="736D3F6D"/>
    <w:rsid w:val="73726A6F"/>
    <w:rsid w:val="750951B1"/>
    <w:rsid w:val="75294BEB"/>
    <w:rsid w:val="7544443B"/>
    <w:rsid w:val="75C316F1"/>
    <w:rsid w:val="75CA02E5"/>
    <w:rsid w:val="75ED4AD2"/>
    <w:rsid w:val="767033A4"/>
    <w:rsid w:val="771F17F0"/>
    <w:rsid w:val="77424C59"/>
    <w:rsid w:val="778842E7"/>
    <w:rsid w:val="77FF75DE"/>
    <w:rsid w:val="78110631"/>
    <w:rsid w:val="78671DDD"/>
    <w:rsid w:val="79030169"/>
    <w:rsid w:val="793D367B"/>
    <w:rsid w:val="7A2801E7"/>
    <w:rsid w:val="7A3838CD"/>
    <w:rsid w:val="7A4456B4"/>
    <w:rsid w:val="7ABFA91F"/>
    <w:rsid w:val="7AC56533"/>
    <w:rsid w:val="7B053AC8"/>
    <w:rsid w:val="7B7FE0EE"/>
    <w:rsid w:val="7BBA7B82"/>
    <w:rsid w:val="7BED8E92"/>
    <w:rsid w:val="7BF01431"/>
    <w:rsid w:val="7C3F3BAE"/>
    <w:rsid w:val="7DD345AE"/>
    <w:rsid w:val="7DE35011"/>
    <w:rsid w:val="7DFD6B71"/>
    <w:rsid w:val="7EE73615"/>
    <w:rsid w:val="7EFD3B36"/>
    <w:rsid w:val="7F3FA419"/>
    <w:rsid w:val="7F431CAA"/>
    <w:rsid w:val="7F48189C"/>
    <w:rsid w:val="7F73CE87"/>
    <w:rsid w:val="7FBD2682"/>
    <w:rsid w:val="7FC62727"/>
    <w:rsid w:val="7FCB70EB"/>
    <w:rsid w:val="95FFBBE4"/>
    <w:rsid w:val="9D6FE35F"/>
    <w:rsid w:val="9FFB8BAF"/>
    <w:rsid w:val="B5948E79"/>
    <w:rsid w:val="BF6B7F68"/>
    <w:rsid w:val="CAFF03F1"/>
    <w:rsid w:val="CCE1CAEA"/>
    <w:rsid w:val="D164509A"/>
    <w:rsid w:val="DFB3D406"/>
    <w:rsid w:val="EC27F9F7"/>
    <w:rsid w:val="EF7DB022"/>
    <w:rsid w:val="F7FE8FD4"/>
    <w:rsid w:val="F8FDD8C1"/>
    <w:rsid w:val="FAF98663"/>
    <w:rsid w:val="FDD9C77C"/>
    <w:rsid w:val="FE7F44C1"/>
    <w:rsid w:val="FEDF2F2E"/>
    <w:rsid w:val="FEFF6356"/>
    <w:rsid w:val="FF3BC0E8"/>
    <w:rsid w:val="FF9B3395"/>
    <w:rsid w:val="FFDF06E6"/>
    <w:rsid w:val="FFFFB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3"/>
    <w:qFormat/>
    <w:uiPriority w:val="9"/>
    <w:pPr>
      <w:keepNext/>
      <w:tabs>
        <w:tab w:val="left" w:pos="900"/>
      </w:tabs>
      <w:jc w:val="center"/>
      <w:outlineLvl w:val="0"/>
    </w:pPr>
    <w:rPr>
      <w:b/>
    </w:rPr>
  </w:style>
  <w:style w:type="character" w:default="1" w:styleId="12">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semiHidden/>
    <w:qFormat/>
    <w:uiPriority w:val="0"/>
    <w:rPr>
      <w:rFonts w:ascii="PingFang SC" w:hAnsi="PingFang SC" w:eastAsia="PingFang SC" w:cs="PingFang SC"/>
      <w:sz w:val="24"/>
      <w:szCs w:val="24"/>
    </w:rPr>
  </w:style>
  <w:style w:type="paragraph" w:styleId="4">
    <w:name w:val="annotation text"/>
    <w:basedOn w:val="1"/>
    <w:link w:val="19"/>
    <w:qFormat/>
    <w:uiPriority w:val="0"/>
  </w:style>
  <w:style w:type="paragraph" w:styleId="5">
    <w:name w:val="Balloon Text"/>
    <w:basedOn w:val="1"/>
    <w:link w:val="18"/>
    <w:qFormat/>
    <w:uiPriority w:val="0"/>
    <w:rPr>
      <w:sz w:val="18"/>
      <w:szCs w:val="18"/>
    </w:rPr>
  </w:style>
  <w:style w:type="paragraph" w:styleId="6">
    <w:name w:val="footer"/>
    <w:basedOn w:val="1"/>
    <w:link w:val="16"/>
    <w:qFormat/>
    <w:uiPriority w:val="99"/>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annotation subject"/>
    <w:basedOn w:val="4"/>
    <w:next w:val="4"/>
    <w:link w:val="20"/>
    <w:qFormat/>
    <w:uiPriority w:val="0"/>
    <w:rPr>
      <w:b/>
      <w:bCs/>
    </w:rPr>
  </w:style>
  <w:style w:type="table" w:styleId="10">
    <w:name w:val="Table Grid"/>
    <w:basedOn w:val="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
    <w:name w:val="Light Shading"/>
    <w:basedOn w:val="9"/>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13">
    <w:name w:val="annotation reference"/>
    <w:basedOn w:val="12"/>
    <w:qFormat/>
    <w:uiPriority w:val="0"/>
    <w:rPr>
      <w:sz w:val="21"/>
      <w:szCs w:val="21"/>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6">
    <w:name w:val="页脚 Char"/>
    <w:basedOn w:val="12"/>
    <w:link w:val="6"/>
    <w:qFormat/>
    <w:uiPriority w:val="99"/>
    <w:rPr>
      <w:rFonts w:ascii="Arial" w:hAnsi="Arial" w:eastAsia="Arial" w:cs="Arial"/>
      <w:snapToGrid w:val="0"/>
      <w:color w:val="000000"/>
      <w:sz w:val="18"/>
      <w:szCs w:val="21"/>
      <w:lang w:eastAsia="en-US"/>
    </w:rPr>
  </w:style>
  <w:style w:type="paragraph" w:customStyle="1" w:styleId="17">
    <w:name w:val="修订2"/>
    <w:hidden/>
    <w:unhideWhenUsed/>
    <w:qFormat/>
    <w:uiPriority w:val="99"/>
    <w:rPr>
      <w:rFonts w:ascii="Arial" w:hAnsi="Arial" w:eastAsia="Arial" w:cs="Arial"/>
      <w:snapToGrid w:val="0"/>
      <w:color w:val="000000"/>
      <w:sz w:val="21"/>
      <w:szCs w:val="21"/>
      <w:lang w:val="en-US" w:eastAsia="en-US" w:bidi="ar-SA"/>
    </w:rPr>
  </w:style>
  <w:style w:type="character" w:customStyle="1" w:styleId="18">
    <w:name w:val="批注框文本 Char"/>
    <w:basedOn w:val="12"/>
    <w:link w:val="5"/>
    <w:qFormat/>
    <w:uiPriority w:val="0"/>
    <w:rPr>
      <w:rFonts w:ascii="Arial" w:hAnsi="Arial" w:eastAsia="Arial" w:cs="Arial"/>
      <w:snapToGrid w:val="0"/>
      <w:color w:val="000000"/>
      <w:sz w:val="18"/>
      <w:szCs w:val="18"/>
      <w:lang w:eastAsia="en-US"/>
    </w:rPr>
  </w:style>
  <w:style w:type="character" w:customStyle="1" w:styleId="19">
    <w:name w:val="批注文字 Char"/>
    <w:basedOn w:val="12"/>
    <w:link w:val="4"/>
    <w:qFormat/>
    <w:uiPriority w:val="0"/>
    <w:rPr>
      <w:rFonts w:ascii="Arial" w:hAnsi="Arial" w:eastAsia="Arial" w:cs="Arial"/>
      <w:snapToGrid w:val="0"/>
      <w:color w:val="000000"/>
      <w:sz w:val="21"/>
      <w:szCs w:val="21"/>
      <w:lang w:eastAsia="en-US"/>
    </w:rPr>
  </w:style>
  <w:style w:type="character" w:customStyle="1" w:styleId="20">
    <w:name w:val="批注主题 Char"/>
    <w:basedOn w:val="19"/>
    <w:link w:val="8"/>
    <w:qFormat/>
    <w:uiPriority w:val="0"/>
    <w:rPr>
      <w:rFonts w:ascii="Arial" w:hAnsi="Arial" w:eastAsia="Arial" w:cs="Arial"/>
      <w:b/>
      <w:bCs/>
      <w:snapToGrid w:val="0"/>
      <w:color w:val="000000"/>
      <w:sz w:val="21"/>
      <w:szCs w:val="21"/>
      <w:lang w:eastAsia="en-US"/>
    </w:rPr>
  </w:style>
  <w:style w:type="paragraph" w:customStyle="1" w:styleId="21">
    <w:name w:val="修订3"/>
    <w:hidden/>
    <w:unhideWhenUsed/>
    <w:qFormat/>
    <w:uiPriority w:val="99"/>
    <w:rPr>
      <w:rFonts w:ascii="Arial" w:hAnsi="Arial" w:eastAsia="Arial" w:cs="Arial"/>
      <w:snapToGrid w:val="0"/>
      <w:color w:val="000000"/>
      <w:sz w:val="21"/>
      <w:szCs w:val="21"/>
      <w:lang w:val="en-US" w:eastAsia="en-US" w:bidi="ar-SA"/>
    </w:rPr>
  </w:style>
  <w:style w:type="paragraph" w:styleId="22">
    <w:name w:val="List Paragraph"/>
    <w:basedOn w:val="1"/>
    <w:qFormat/>
    <w:uiPriority w:val="34"/>
    <w:pPr>
      <w:ind w:firstLine="420" w:firstLineChars="200"/>
    </w:pPr>
  </w:style>
  <w:style w:type="paragraph" w:customStyle="1" w:styleId="23">
    <w:name w:val="修订4"/>
    <w:hidden/>
    <w:unhideWhenUsed/>
    <w:qFormat/>
    <w:uiPriority w:val="99"/>
    <w:rPr>
      <w:rFonts w:ascii="Arial" w:hAnsi="Arial" w:eastAsia="Arial" w:cs="Arial"/>
      <w:snapToGrid w:val="0"/>
      <w:color w:val="000000"/>
      <w:sz w:val="21"/>
      <w:szCs w:val="21"/>
      <w:lang w:val="en-US" w:eastAsia="en-US" w:bidi="ar-SA"/>
    </w:rPr>
  </w:style>
  <w:style w:type="paragraph" w:customStyle="1" w:styleId="24">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 w:type="paragraph" w:customStyle="1" w:styleId="25">
    <w:name w:val="列出段落2"/>
    <w:basedOn w:val="1"/>
    <w:qFormat/>
    <w:uiPriority w:val="34"/>
    <w:pPr>
      <w:ind w:firstLine="420" w:firstLineChars="200"/>
    </w:pPr>
  </w:style>
  <w:style w:type="paragraph" w:customStyle="1" w:styleId="26">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052FE16E-3B4B-4A4F-9E9E-34E1AF3294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3392</Words>
  <Characters>3701</Characters>
  <Lines>27</Lines>
  <Paragraphs>7</Paragraphs>
  <TotalTime>0</TotalTime>
  <ScaleCrop>false</ScaleCrop>
  <LinksUpToDate>false</LinksUpToDate>
  <CharactersWithSpaces>3710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2025-10-22T12:48:00Z</dcterms:created>
  <dc:creator>松 张</dc:creator>
  <cp:lastModifiedBy>黄舒倩</cp:lastModifiedBy>
  <cp:lastPrinted>2026-05-21T01:35:00Z</cp:lastPrinted>
  <dcterms:modified xsi:type="dcterms:W3CDTF">2026-05-21T08:22:32Z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2025-06-13T16:12:47Z</vt:filetime>
  </property>
  <property fmtid="{D5CDD505-2E9C-101B-9397-08002B2CF9AE}" pid="4" name="KSOProductBuildVer">
    <vt:lpwstr>2052-12.1.0.26375</vt:lpwstr>
  </property>
  <property fmtid="{D5CDD505-2E9C-101B-9397-08002B2CF9AE}" pid="5" name="ICV">
    <vt:lpwstr>4B5BF54FF6694C9584118CB318844FD9_13</vt:lpwstr>
  </property>
  <property fmtid="{D5CDD505-2E9C-101B-9397-08002B2CF9AE}" pid="6" name="KSOTemplateDocerSaveRecord">
    <vt:lpwstr>eyJoZGlkIjoiYjc3NTVmODk5OWI4YTU0YmU5MTlhYzJjMjBkNzFlNmEiLCJ1c2VySWQiOiIyNDMwNTgyMjAifQ==</vt:lpwstr>
  </property>
</Properties>
</file>