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A17BB9">
      <w:pPr>
        <w:autoSpaceDE w:val="0"/>
        <w:autoSpaceDN w:val="0"/>
        <w:adjustRightInd w:val="0"/>
        <w:spacing w:line="360" w:lineRule="auto"/>
        <w:rPr>
          <w:rFonts w:eastAsia="仿宋"/>
          <w:color w:val="000000"/>
          <w:sz w:val="28"/>
        </w:rPr>
      </w:pPr>
      <w:r>
        <w:rPr>
          <w:rFonts w:eastAsia="仿宋"/>
          <w:color w:val="000000"/>
          <w:sz w:val="28"/>
        </w:rPr>
        <w:t>证券代码：301178    证券简称：天亿马    公告编号：2026-032</w:t>
      </w:r>
    </w:p>
    <w:p w14:paraId="1280A5A6">
      <w:pPr>
        <w:spacing w:line="360" w:lineRule="auto"/>
        <w:jc w:val="center"/>
        <w:rPr>
          <w:rFonts w:eastAsia="黑体"/>
          <w:sz w:val="36"/>
          <w:szCs w:val="36"/>
        </w:rPr>
      </w:pPr>
      <w:r>
        <w:rPr>
          <w:rFonts w:eastAsia="黑体"/>
          <w:sz w:val="36"/>
          <w:szCs w:val="36"/>
        </w:rPr>
        <w:t>广东天亿马信息产业股份有限公司</w:t>
      </w:r>
    </w:p>
    <w:p w14:paraId="7BB68008">
      <w:pPr>
        <w:spacing w:after="312" w:afterLines="100"/>
        <w:jc w:val="center"/>
        <w:rPr>
          <w:rFonts w:eastAsia="黑体"/>
          <w:sz w:val="36"/>
          <w:szCs w:val="36"/>
        </w:rPr>
      </w:pPr>
      <w:r>
        <w:rPr>
          <w:rFonts w:eastAsia="黑体"/>
          <w:sz w:val="36"/>
          <w:szCs w:val="36"/>
        </w:rPr>
        <w:t>2025年度权益分派实施公告</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709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544" w:type="dxa"/>
            <w:tcBorders>
              <w:top w:val="single" w:color="auto" w:sz="4" w:space="0"/>
              <w:left w:val="single" w:color="auto" w:sz="4" w:space="0"/>
              <w:bottom w:val="single" w:color="auto" w:sz="4" w:space="0"/>
              <w:right w:val="single" w:color="auto" w:sz="4" w:space="0"/>
            </w:tcBorders>
          </w:tcPr>
          <w:p w14:paraId="1FE4F641">
            <w:pPr>
              <w:widowControl/>
              <w:spacing w:line="440" w:lineRule="exact"/>
              <w:ind w:firstLine="560" w:firstLineChars="200"/>
              <w:rPr>
                <w:rFonts w:eastAsia="楷体"/>
                <w:color w:val="000000"/>
                <w:kern w:val="0"/>
                <w:sz w:val="28"/>
              </w:rPr>
            </w:pPr>
            <w:r>
              <w:rPr>
                <w:rFonts w:eastAsia="楷体"/>
                <w:color w:val="000000"/>
                <w:kern w:val="0"/>
                <w:sz w:val="28"/>
              </w:rPr>
              <w:t>本公司及董事会全体成员保证信息披露内容的真实、准确和完整，没有虚假记载、误导性陈述或重大遗漏。</w:t>
            </w:r>
          </w:p>
        </w:tc>
      </w:tr>
    </w:tbl>
    <w:p w14:paraId="4FD5291D">
      <w:pPr>
        <w:tabs>
          <w:tab w:val="left" w:pos="900"/>
        </w:tabs>
        <w:spacing w:line="560" w:lineRule="exact"/>
        <w:ind w:firstLine="562" w:firstLineChars="200"/>
        <w:outlineLvl w:val="0"/>
        <w:rPr>
          <w:rFonts w:eastAsia="仿宋"/>
          <w:b/>
          <w:sz w:val="28"/>
          <w:szCs w:val="28"/>
        </w:rPr>
      </w:pPr>
      <w:r>
        <w:rPr>
          <w:rFonts w:eastAsia="仿宋"/>
          <w:b/>
          <w:sz w:val="28"/>
          <w:szCs w:val="28"/>
        </w:rPr>
        <w:t>特别提示：</w:t>
      </w:r>
    </w:p>
    <w:p w14:paraId="669832EC">
      <w:pPr>
        <w:tabs>
          <w:tab w:val="left" w:pos="900"/>
        </w:tabs>
        <w:spacing w:line="560" w:lineRule="exact"/>
        <w:ind w:firstLine="560" w:firstLineChars="200"/>
        <w:rPr>
          <w:rFonts w:eastAsia="仿宋"/>
          <w:sz w:val="28"/>
          <w:szCs w:val="28"/>
        </w:rPr>
      </w:pPr>
      <w:r>
        <w:rPr>
          <w:rFonts w:eastAsia="仿宋"/>
          <w:sz w:val="28"/>
          <w:szCs w:val="28"/>
        </w:rPr>
        <w:t>1.截至本公告日，广东天亿马信息产业股份有限公司（以下简称</w:t>
      </w:r>
      <w:r>
        <w:rPr>
          <w:rFonts w:asciiTheme="majorEastAsia" w:hAnsiTheme="majorEastAsia" w:eastAsiaTheme="majorEastAsia"/>
          <w:sz w:val="28"/>
          <w:szCs w:val="28"/>
        </w:rPr>
        <w:t>“</w:t>
      </w:r>
      <w:r>
        <w:rPr>
          <w:rFonts w:eastAsia="仿宋"/>
          <w:sz w:val="28"/>
          <w:szCs w:val="28"/>
        </w:rPr>
        <w:t>公司</w:t>
      </w:r>
      <w:r>
        <w:rPr>
          <w:rFonts w:asciiTheme="majorEastAsia" w:hAnsiTheme="majorEastAsia" w:eastAsiaTheme="majorEastAsia"/>
          <w:sz w:val="28"/>
          <w:szCs w:val="28"/>
        </w:rPr>
        <w:t>”“</w:t>
      </w:r>
      <w:r>
        <w:rPr>
          <w:rFonts w:eastAsia="仿宋"/>
          <w:sz w:val="28"/>
          <w:szCs w:val="28"/>
        </w:rPr>
        <w:t>本公司</w:t>
      </w:r>
      <w:r>
        <w:rPr>
          <w:rFonts w:asciiTheme="majorEastAsia" w:hAnsiTheme="majorEastAsia" w:eastAsiaTheme="majorEastAsia"/>
          <w:sz w:val="28"/>
          <w:szCs w:val="28"/>
        </w:rPr>
        <w:t>”</w:t>
      </w:r>
      <w:r>
        <w:rPr>
          <w:rFonts w:eastAsia="仿宋"/>
          <w:sz w:val="28"/>
          <w:szCs w:val="28"/>
        </w:rPr>
        <w:t>）总股本为66,852,800股，回购专用证券账户持股数量为1,224,140股，该部分已回购的股份不享有参与本次利润分配的权利，扣除回购专户所持股份后实际参与本次权益分派的股份为65,628,660股；</w:t>
      </w:r>
    </w:p>
    <w:p w14:paraId="6E5CB236">
      <w:pPr>
        <w:tabs>
          <w:tab w:val="left" w:pos="900"/>
        </w:tabs>
        <w:spacing w:line="560" w:lineRule="exact"/>
        <w:ind w:firstLine="560" w:firstLineChars="200"/>
        <w:rPr>
          <w:rFonts w:eastAsia="仿宋"/>
          <w:sz w:val="28"/>
          <w:szCs w:val="28"/>
        </w:rPr>
      </w:pPr>
      <w:r>
        <w:rPr>
          <w:rFonts w:eastAsia="仿宋"/>
          <w:sz w:val="28"/>
          <w:szCs w:val="28"/>
        </w:rPr>
        <w:t>2.本次权益分派实际派发现金股利总额3,281,433.00元，以资本公积金转增股本总额26,251,464.00股，即每10股派发现金股利=现金股利总额3,281,433.00元/参与权益分派的股份65,628,660股*10=0.50元（含税），每10股以资本公积金转增股本数量=资本公积金转增股本总额26,251,464.00股/参与权益分派的股份65,628,660股*10=4股；</w:t>
      </w:r>
    </w:p>
    <w:p w14:paraId="75A47BA0">
      <w:pPr>
        <w:tabs>
          <w:tab w:val="left" w:pos="900"/>
        </w:tabs>
        <w:spacing w:line="560" w:lineRule="exact"/>
        <w:ind w:firstLine="560" w:firstLineChars="200"/>
        <w:rPr>
          <w:rFonts w:eastAsia="仿宋"/>
          <w:sz w:val="28"/>
          <w:szCs w:val="28"/>
        </w:rPr>
      </w:pPr>
      <w:r>
        <w:rPr>
          <w:rFonts w:eastAsia="仿宋"/>
          <w:sz w:val="28"/>
          <w:szCs w:val="28"/>
        </w:rPr>
        <w:t>3.本次权益分派实施后，按公司总股本折算每10股现金分红（含税）=现金分红总额/总股本（包含已回购股份）*10=3,281,433.00元/66,852,800股*10=0.490844元（含税；保留到小数点后六位，最后一位直接截取，不四舍五入），每10股以资本公积金转增股本数量=26,251,464.00股/66,852,800股*10=3.926756股；</w:t>
      </w:r>
    </w:p>
    <w:p w14:paraId="45C1D813">
      <w:pPr>
        <w:tabs>
          <w:tab w:val="left" w:pos="900"/>
        </w:tabs>
        <w:spacing w:line="560" w:lineRule="exact"/>
        <w:ind w:firstLine="560" w:firstLineChars="200"/>
        <w:rPr>
          <w:rFonts w:eastAsia="仿宋"/>
          <w:sz w:val="28"/>
          <w:szCs w:val="28"/>
        </w:rPr>
      </w:pPr>
      <w:r>
        <w:rPr>
          <w:rFonts w:eastAsia="仿宋"/>
          <w:sz w:val="28"/>
          <w:szCs w:val="28"/>
        </w:rPr>
        <w:t>4.本次权益分派实施后的除权除息参考价</w:t>
      </w:r>
      <w:r>
        <w:rPr>
          <w:rFonts w:hint="eastAsia" w:eastAsia="仿宋"/>
          <w:sz w:val="28"/>
          <w:szCs w:val="28"/>
        </w:rPr>
        <w:t>计算如下：</w:t>
      </w:r>
    </w:p>
    <w:p w14:paraId="63C37053">
      <w:pPr>
        <w:tabs>
          <w:tab w:val="left" w:pos="900"/>
        </w:tabs>
        <w:spacing w:line="560" w:lineRule="exact"/>
        <w:ind w:firstLine="560" w:firstLineChars="200"/>
        <w:rPr>
          <w:rFonts w:eastAsia="仿宋"/>
          <w:sz w:val="28"/>
          <w:szCs w:val="28"/>
        </w:rPr>
      </w:pPr>
      <w:r>
        <w:rPr>
          <w:rFonts w:eastAsia="仿宋"/>
          <w:sz w:val="28"/>
          <w:szCs w:val="28"/>
        </w:rPr>
        <w:t>=（除权除息日前一交易日收盘价-按公司总股本折算每股现金分红金额）/（1+按公司总股本折算每股资本公积金转增股本总额）</w:t>
      </w:r>
    </w:p>
    <w:p w14:paraId="6F17C8D6">
      <w:pPr>
        <w:tabs>
          <w:tab w:val="left" w:pos="900"/>
        </w:tabs>
        <w:spacing w:line="560" w:lineRule="exact"/>
        <w:ind w:firstLine="560" w:firstLineChars="200"/>
        <w:rPr>
          <w:rFonts w:eastAsia="仿宋"/>
          <w:sz w:val="28"/>
          <w:szCs w:val="28"/>
        </w:rPr>
      </w:pPr>
      <w:r>
        <w:rPr>
          <w:rFonts w:eastAsia="仿宋"/>
          <w:sz w:val="28"/>
          <w:szCs w:val="28"/>
        </w:rPr>
        <w:t>=(股权登记日收盘价-0.0490844元/股）/</w:t>
      </w:r>
      <w:r>
        <w:rPr>
          <w:rFonts w:hint="eastAsia" w:eastAsia="仿宋"/>
          <w:sz w:val="28"/>
          <w:szCs w:val="28"/>
        </w:rPr>
        <w:t>（</w:t>
      </w:r>
      <w:r>
        <w:rPr>
          <w:rFonts w:eastAsia="仿宋"/>
          <w:sz w:val="28"/>
          <w:szCs w:val="28"/>
        </w:rPr>
        <w:t>1</w:t>
      </w:r>
      <w:r>
        <w:rPr>
          <w:rFonts w:hint="eastAsia" w:eastAsia="仿宋"/>
          <w:sz w:val="28"/>
          <w:szCs w:val="28"/>
        </w:rPr>
        <w:t>+0</w:t>
      </w:r>
      <w:r>
        <w:rPr>
          <w:rFonts w:eastAsia="仿宋"/>
          <w:sz w:val="28"/>
          <w:szCs w:val="28"/>
        </w:rPr>
        <w:t>.3926756</w:t>
      </w:r>
      <w:r>
        <w:rPr>
          <w:rFonts w:hint="eastAsia" w:eastAsia="仿宋"/>
          <w:sz w:val="28"/>
          <w:szCs w:val="28"/>
        </w:rPr>
        <w:t>）</w:t>
      </w:r>
    </w:p>
    <w:p w14:paraId="6AF2A72B">
      <w:pPr>
        <w:tabs>
          <w:tab w:val="left" w:pos="900"/>
        </w:tabs>
        <w:spacing w:line="560" w:lineRule="exact"/>
        <w:ind w:firstLine="560" w:firstLineChars="200"/>
        <w:rPr>
          <w:rFonts w:eastAsia="仿宋"/>
          <w:sz w:val="28"/>
          <w:szCs w:val="28"/>
        </w:rPr>
      </w:pPr>
      <w:r>
        <w:rPr>
          <w:rFonts w:eastAsia="仿宋"/>
          <w:sz w:val="28"/>
          <w:szCs w:val="28"/>
        </w:rPr>
        <w:t>公司2025年度利润分配方案已获2026年4月21日召开的2025年度股东会审议通过，现将权益分派事宜公告如下：</w:t>
      </w:r>
    </w:p>
    <w:p w14:paraId="4EB5746B">
      <w:pPr>
        <w:tabs>
          <w:tab w:val="left" w:pos="900"/>
        </w:tabs>
        <w:spacing w:line="560" w:lineRule="exact"/>
        <w:ind w:firstLine="562" w:firstLineChars="200"/>
        <w:outlineLvl w:val="0"/>
        <w:rPr>
          <w:rFonts w:eastAsia="仿宋"/>
          <w:b/>
          <w:sz w:val="28"/>
          <w:szCs w:val="28"/>
        </w:rPr>
      </w:pPr>
      <w:r>
        <w:rPr>
          <w:rFonts w:eastAsia="仿宋"/>
          <w:b/>
          <w:sz w:val="28"/>
          <w:szCs w:val="28"/>
        </w:rPr>
        <w:t>一、股东会审议通过利润分配方案情况</w:t>
      </w:r>
    </w:p>
    <w:p w14:paraId="4BDD8797">
      <w:pPr>
        <w:spacing w:line="360" w:lineRule="auto"/>
        <w:ind w:firstLine="560" w:firstLineChars="200"/>
        <w:rPr>
          <w:rFonts w:eastAsia="仿宋"/>
          <w:sz w:val="28"/>
          <w:szCs w:val="28"/>
        </w:rPr>
      </w:pPr>
      <w:r>
        <w:rPr>
          <w:rFonts w:eastAsia="仿宋"/>
          <w:sz w:val="28"/>
          <w:szCs w:val="28"/>
        </w:rPr>
        <w:t>1.公司2025年度利润分配方案为：以2025年12月31日的总股本扣除回购账户所持有股份后的65,628,660股为基数，向全体股东每10股派发现金股利人民币0.50元（含税），以资本公积金每10股转增4股，不送红股。本次现金分红总额3,281,433.00元（含税），本次利润分配实施后，公司总股本将由66,852,800股增加至93,104,264股。</w:t>
      </w:r>
    </w:p>
    <w:p w14:paraId="32A7B5DA">
      <w:pPr>
        <w:tabs>
          <w:tab w:val="left" w:pos="900"/>
        </w:tabs>
        <w:spacing w:line="560" w:lineRule="exact"/>
        <w:ind w:firstLine="560" w:firstLineChars="200"/>
        <w:rPr>
          <w:rFonts w:eastAsia="仿宋"/>
          <w:sz w:val="28"/>
          <w:szCs w:val="28"/>
        </w:rPr>
      </w:pPr>
      <w:r>
        <w:rPr>
          <w:rFonts w:eastAsia="仿宋"/>
          <w:sz w:val="28"/>
          <w:szCs w:val="28"/>
        </w:rPr>
        <w:t>在董事会及股东会审议通过后至实施权益分派股权登记日期间，若公司总股本发生变化，公司将按照“现金分红总额、资本公积金转增股本总额固定不变”的原则相应调整。</w:t>
      </w:r>
    </w:p>
    <w:p w14:paraId="039376CA">
      <w:pPr>
        <w:tabs>
          <w:tab w:val="left" w:pos="900"/>
        </w:tabs>
        <w:spacing w:line="560" w:lineRule="exact"/>
        <w:ind w:firstLine="560" w:firstLineChars="200"/>
        <w:rPr>
          <w:rFonts w:eastAsia="仿宋"/>
          <w:sz w:val="28"/>
          <w:szCs w:val="28"/>
        </w:rPr>
      </w:pPr>
      <w:r>
        <w:rPr>
          <w:rFonts w:eastAsia="仿宋"/>
          <w:sz w:val="28"/>
          <w:szCs w:val="28"/>
        </w:rPr>
        <w:t>2.截至本公告日，公司回购专用证券专户中股份数量为1,224,140股。根据《公司法》和《深圳证券交易所上市公司自律监管指引第9号--回购股份》的相关规定，回购专用账户中的股份不享有利润分配权利，因此公司回购专用账户中的回购股份不参与本次权益分派。</w:t>
      </w:r>
    </w:p>
    <w:p w14:paraId="0C6B2F16">
      <w:pPr>
        <w:tabs>
          <w:tab w:val="left" w:pos="900"/>
        </w:tabs>
        <w:spacing w:line="560" w:lineRule="exact"/>
        <w:ind w:firstLine="560" w:firstLineChars="200"/>
        <w:rPr>
          <w:rFonts w:eastAsia="仿宋"/>
          <w:sz w:val="28"/>
          <w:szCs w:val="28"/>
        </w:rPr>
      </w:pPr>
      <w:r>
        <w:rPr>
          <w:rFonts w:eastAsia="仿宋"/>
          <w:sz w:val="28"/>
          <w:szCs w:val="28"/>
        </w:rPr>
        <w:t>3.自分配方案披露至实施期间，公司股本总额及回购专户所持有股份数未发生变化。本次实施的分配方案与公司2025年度股东会审议通过的利润分配方案及其调整原则一致。</w:t>
      </w:r>
    </w:p>
    <w:p w14:paraId="3F1D65D2">
      <w:pPr>
        <w:tabs>
          <w:tab w:val="left" w:pos="900"/>
        </w:tabs>
        <w:spacing w:line="560" w:lineRule="exact"/>
        <w:ind w:firstLine="560" w:firstLineChars="200"/>
        <w:rPr>
          <w:rFonts w:eastAsia="仿宋"/>
          <w:sz w:val="28"/>
          <w:szCs w:val="28"/>
        </w:rPr>
      </w:pPr>
      <w:r>
        <w:rPr>
          <w:rFonts w:eastAsia="仿宋"/>
          <w:sz w:val="28"/>
          <w:szCs w:val="28"/>
        </w:rPr>
        <w:t>4.本次实施分配方案距离股东会审议通过的时间未超过两个月。</w:t>
      </w:r>
    </w:p>
    <w:p w14:paraId="6BB76135">
      <w:pPr>
        <w:tabs>
          <w:tab w:val="left" w:pos="900"/>
        </w:tabs>
        <w:spacing w:line="560" w:lineRule="exact"/>
        <w:ind w:firstLine="562" w:firstLineChars="200"/>
        <w:outlineLvl w:val="0"/>
        <w:rPr>
          <w:rFonts w:eastAsia="仿宋"/>
          <w:b/>
          <w:sz w:val="28"/>
          <w:szCs w:val="28"/>
        </w:rPr>
      </w:pPr>
      <w:r>
        <w:rPr>
          <w:rFonts w:eastAsia="仿宋"/>
          <w:b/>
          <w:sz w:val="28"/>
          <w:szCs w:val="28"/>
        </w:rPr>
        <w:t>二、本次实施的权益分派方案</w:t>
      </w:r>
    </w:p>
    <w:p w14:paraId="0260F257">
      <w:pPr>
        <w:tabs>
          <w:tab w:val="left" w:pos="900"/>
        </w:tabs>
        <w:spacing w:line="560" w:lineRule="exact"/>
        <w:ind w:firstLine="560" w:firstLineChars="200"/>
        <w:rPr>
          <w:rFonts w:eastAsia="仿宋"/>
          <w:sz w:val="28"/>
          <w:szCs w:val="28"/>
        </w:rPr>
      </w:pPr>
      <w:r>
        <w:rPr>
          <w:rFonts w:eastAsia="仿宋"/>
          <w:sz w:val="28"/>
          <w:szCs w:val="28"/>
        </w:rPr>
        <w:t>1.发放年度：2025年度</w:t>
      </w:r>
    </w:p>
    <w:p w14:paraId="75B0D3B1">
      <w:pPr>
        <w:tabs>
          <w:tab w:val="left" w:pos="900"/>
        </w:tabs>
        <w:spacing w:line="560" w:lineRule="exact"/>
        <w:ind w:firstLine="560" w:firstLineChars="200"/>
        <w:rPr>
          <w:rFonts w:eastAsia="仿宋"/>
          <w:sz w:val="28"/>
          <w:szCs w:val="28"/>
        </w:rPr>
      </w:pPr>
      <w:r>
        <w:rPr>
          <w:rFonts w:eastAsia="仿宋"/>
          <w:sz w:val="28"/>
          <w:szCs w:val="28"/>
        </w:rPr>
        <w:t>2.权益分派方案：以公司现有总股本剔除已回购股份</w:t>
      </w:r>
      <w:r>
        <w:rPr>
          <w:rFonts w:hint="eastAsia" w:eastAsia="仿宋"/>
          <w:sz w:val="28"/>
          <w:szCs w:val="28"/>
        </w:rPr>
        <w:t>1,224,140.00股后</w:t>
      </w:r>
      <w:r>
        <w:rPr>
          <w:rFonts w:eastAsia="仿宋"/>
          <w:sz w:val="28"/>
          <w:szCs w:val="28"/>
        </w:rPr>
        <w:t>的65,628,660股为基数，向全体股东每10股派0.50元人民币现金（含税；扣税后，QFII、RQFII以及持有首发前限售股的个人和证券投资基金每10股派0.45元；持有首发后限售股、股权激励限售股及无限售流通股的个人股息红利税实行差别化税率征收，本公司暂不扣缴个人所得税，待个人转让股票时，根据其持股期限计算应纳税额【注】；持有首发后限售股、股权激励限售股及无限售流通股的证券投资基金所涉红利税，对香港投资者持有基金份额部分按10%征收，对内地投资者持有基金份额部分实行差别化税率征收），以资本公积金每10股转增4股，不送红股。</w:t>
      </w:r>
    </w:p>
    <w:p w14:paraId="6EC7B2A0">
      <w:pPr>
        <w:tabs>
          <w:tab w:val="left" w:pos="900"/>
        </w:tabs>
        <w:spacing w:line="560" w:lineRule="exact"/>
        <w:ind w:firstLine="560" w:firstLineChars="200"/>
        <w:rPr>
          <w:rFonts w:eastAsia="仿宋"/>
          <w:sz w:val="28"/>
          <w:szCs w:val="28"/>
        </w:rPr>
      </w:pPr>
      <w:r>
        <w:rPr>
          <w:rFonts w:eastAsia="仿宋"/>
          <w:sz w:val="28"/>
          <w:szCs w:val="28"/>
        </w:rPr>
        <w:t>【注：根据先进先出的原则，以投资者证券账户为单位计算持股期限，持股1个月（含1个月）以内，每10股补缴税款0.10元；持股1个月以上至1年（含1年）的，每10股补缴税款0.</w:t>
      </w:r>
      <w:r>
        <w:rPr>
          <w:rFonts w:hint="eastAsia" w:eastAsia="仿宋"/>
          <w:sz w:val="28"/>
          <w:szCs w:val="28"/>
          <w:lang w:val="en-US" w:eastAsia="zh-CN"/>
        </w:rPr>
        <w:t>05</w:t>
      </w:r>
      <w:r>
        <w:rPr>
          <w:rFonts w:eastAsia="仿宋"/>
          <w:sz w:val="28"/>
          <w:szCs w:val="28"/>
        </w:rPr>
        <w:t>元；持股超过1年的，不需补缴税款。】</w:t>
      </w:r>
    </w:p>
    <w:p w14:paraId="30BD6720">
      <w:pPr>
        <w:tabs>
          <w:tab w:val="left" w:pos="900"/>
        </w:tabs>
        <w:spacing w:line="560" w:lineRule="exact"/>
        <w:ind w:firstLine="560" w:firstLineChars="200"/>
        <w:rPr>
          <w:rFonts w:eastAsia="仿宋"/>
          <w:sz w:val="28"/>
          <w:szCs w:val="28"/>
        </w:rPr>
      </w:pPr>
      <w:r>
        <w:rPr>
          <w:rFonts w:hint="eastAsia" w:eastAsia="仿宋"/>
          <w:sz w:val="28"/>
          <w:szCs w:val="28"/>
        </w:rPr>
        <w:t>分红前本公司总股本为</w:t>
      </w:r>
      <w:r>
        <w:rPr>
          <w:rFonts w:eastAsia="仿宋"/>
          <w:sz w:val="28"/>
          <w:szCs w:val="28"/>
        </w:rPr>
        <w:t>66,852,800</w:t>
      </w:r>
      <w:r>
        <w:rPr>
          <w:rFonts w:hint="eastAsia" w:eastAsia="仿宋"/>
          <w:sz w:val="28"/>
          <w:szCs w:val="28"/>
        </w:rPr>
        <w:t>股，分红后总股本增至</w:t>
      </w:r>
      <w:r>
        <w:rPr>
          <w:rFonts w:hint="default" w:eastAsia="仿宋"/>
          <w:sz w:val="28"/>
          <w:szCs w:val="28"/>
        </w:rPr>
        <w:t>93,104,264</w:t>
      </w:r>
      <w:r>
        <w:rPr>
          <w:rFonts w:hint="eastAsia" w:eastAsia="仿宋"/>
          <w:sz w:val="28"/>
          <w:szCs w:val="28"/>
        </w:rPr>
        <w:t>股。</w:t>
      </w:r>
    </w:p>
    <w:p w14:paraId="49848775">
      <w:pPr>
        <w:tabs>
          <w:tab w:val="left" w:pos="900"/>
        </w:tabs>
        <w:spacing w:line="560" w:lineRule="exact"/>
        <w:ind w:firstLine="560" w:firstLineChars="200"/>
        <w:rPr>
          <w:rFonts w:eastAsia="仿宋"/>
          <w:sz w:val="28"/>
          <w:szCs w:val="28"/>
        </w:rPr>
      </w:pPr>
      <w:r>
        <w:rPr>
          <w:rFonts w:eastAsia="仿宋"/>
          <w:sz w:val="28"/>
          <w:szCs w:val="28"/>
        </w:rPr>
        <w:t>3.公司通过回购专用账户持有本公司股份1,224,140股，根据《公司法》的规定，该部分已回购的股份不享有参与本次利润分配的权利。</w:t>
      </w:r>
    </w:p>
    <w:p w14:paraId="65AE98F6">
      <w:pPr>
        <w:tabs>
          <w:tab w:val="left" w:pos="900"/>
        </w:tabs>
        <w:spacing w:line="560" w:lineRule="exact"/>
        <w:ind w:firstLine="562" w:firstLineChars="200"/>
        <w:outlineLvl w:val="0"/>
        <w:rPr>
          <w:rFonts w:eastAsia="仿宋"/>
          <w:b/>
          <w:sz w:val="28"/>
          <w:szCs w:val="28"/>
        </w:rPr>
      </w:pPr>
      <w:r>
        <w:rPr>
          <w:rFonts w:eastAsia="仿宋"/>
          <w:b/>
          <w:sz w:val="28"/>
          <w:szCs w:val="28"/>
        </w:rPr>
        <w:t>三、股权登记日与除权除息日</w:t>
      </w:r>
    </w:p>
    <w:p w14:paraId="7ACFB569">
      <w:pPr>
        <w:tabs>
          <w:tab w:val="left" w:pos="900"/>
        </w:tabs>
        <w:spacing w:line="560" w:lineRule="exact"/>
        <w:ind w:firstLine="560" w:firstLineChars="200"/>
        <w:rPr>
          <w:rFonts w:eastAsia="仿宋"/>
          <w:sz w:val="28"/>
          <w:szCs w:val="28"/>
        </w:rPr>
      </w:pPr>
      <w:r>
        <w:rPr>
          <w:rFonts w:eastAsia="仿宋"/>
          <w:sz w:val="28"/>
          <w:szCs w:val="28"/>
        </w:rPr>
        <w:t>本次权益分派股权登记日为：2026年6月15日；除权除息日为：2026年</w:t>
      </w:r>
      <w:r>
        <w:rPr>
          <w:rFonts w:hint="eastAsia" w:eastAsia="仿宋"/>
          <w:sz w:val="28"/>
          <w:szCs w:val="28"/>
        </w:rPr>
        <w:t>6</w:t>
      </w:r>
      <w:r>
        <w:rPr>
          <w:rFonts w:eastAsia="仿宋"/>
          <w:sz w:val="28"/>
          <w:szCs w:val="28"/>
        </w:rPr>
        <w:t>月16日。</w:t>
      </w:r>
    </w:p>
    <w:p w14:paraId="0D89CDE1">
      <w:pPr>
        <w:tabs>
          <w:tab w:val="left" w:pos="900"/>
        </w:tabs>
        <w:spacing w:line="560" w:lineRule="exact"/>
        <w:ind w:firstLine="562" w:firstLineChars="200"/>
        <w:outlineLvl w:val="0"/>
        <w:rPr>
          <w:rFonts w:eastAsia="仿宋"/>
          <w:b/>
          <w:sz w:val="28"/>
          <w:szCs w:val="28"/>
        </w:rPr>
      </w:pPr>
      <w:r>
        <w:rPr>
          <w:rFonts w:eastAsia="仿宋"/>
          <w:b/>
          <w:sz w:val="28"/>
          <w:szCs w:val="28"/>
        </w:rPr>
        <w:t>四、权益分派对象</w:t>
      </w:r>
    </w:p>
    <w:p w14:paraId="555A000A">
      <w:pPr>
        <w:tabs>
          <w:tab w:val="left" w:pos="900"/>
        </w:tabs>
        <w:spacing w:line="560" w:lineRule="exact"/>
        <w:ind w:firstLine="560" w:firstLineChars="200"/>
        <w:rPr>
          <w:rFonts w:eastAsia="仿宋"/>
          <w:sz w:val="28"/>
          <w:szCs w:val="28"/>
        </w:rPr>
      </w:pPr>
      <w:r>
        <w:rPr>
          <w:rFonts w:eastAsia="仿宋"/>
          <w:sz w:val="28"/>
          <w:szCs w:val="28"/>
        </w:rPr>
        <w:t>本次分派对象为：截至2026年6月15日下午深圳证券交易所收市后，在中国证券登记结算有限责任公司深圳分公司（以下简称“中国结算深圳分公司”）登记在册的本公司全体股东。</w:t>
      </w:r>
    </w:p>
    <w:p w14:paraId="41B9687B">
      <w:pPr>
        <w:tabs>
          <w:tab w:val="left" w:pos="900"/>
        </w:tabs>
        <w:spacing w:line="560" w:lineRule="exact"/>
        <w:ind w:firstLine="562" w:firstLineChars="200"/>
        <w:outlineLvl w:val="0"/>
        <w:rPr>
          <w:rFonts w:eastAsia="仿宋"/>
          <w:b/>
          <w:sz w:val="28"/>
          <w:szCs w:val="28"/>
        </w:rPr>
      </w:pPr>
      <w:r>
        <w:rPr>
          <w:rFonts w:eastAsia="仿宋"/>
          <w:b/>
          <w:sz w:val="28"/>
          <w:szCs w:val="28"/>
        </w:rPr>
        <w:t>五、权益分派方法</w:t>
      </w:r>
    </w:p>
    <w:p w14:paraId="1AF1618D">
      <w:pPr>
        <w:tabs>
          <w:tab w:val="left" w:pos="900"/>
        </w:tabs>
        <w:spacing w:line="560" w:lineRule="exact"/>
        <w:ind w:firstLine="560" w:firstLineChars="200"/>
        <w:rPr>
          <w:rFonts w:eastAsia="仿宋"/>
          <w:sz w:val="28"/>
          <w:szCs w:val="28"/>
        </w:rPr>
      </w:pPr>
      <w:r>
        <w:rPr>
          <w:rFonts w:eastAsia="仿宋"/>
          <w:sz w:val="28"/>
          <w:szCs w:val="28"/>
        </w:rPr>
        <w:t>1.本公司此次委托中国结算深圳分公司代派的A股股东现金红利将于2026年6月16日通过股东托管证券公司（或其他托管机构）直接划入其资金账户。</w:t>
      </w:r>
    </w:p>
    <w:p w14:paraId="59DB10DB">
      <w:pPr>
        <w:tabs>
          <w:tab w:val="left" w:pos="900"/>
        </w:tabs>
        <w:spacing w:line="560" w:lineRule="exact"/>
        <w:ind w:firstLine="560" w:firstLineChars="200"/>
        <w:rPr>
          <w:rFonts w:eastAsia="仿宋"/>
          <w:sz w:val="28"/>
          <w:szCs w:val="28"/>
        </w:rPr>
      </w:pPr>
      <w:r>
        <w:rPr>
          <w:rFonts w:eastAsia="仿宋"/>
          <w:sz w:val="28"/>
          <w:szCs w:val="28"/>
        </w:rPr>
        <w:t>2.本次所转股将于2026年6月16日直接计入股东证券账户。在转股过程中产生的不足1股的部分，按小数点后尾数由大到小排序依次向股东派发1股（若尾数相同时则在尾数相同者中由系统随机排序派发），直至实际转股总数与本次转股总数一致。</w:t>
      </w:r>
    </w:p>
    <w:p w14:paraId="4B6B9DBC">
      <w:pPr>
        <w:tabs>
          <w:tab w:val="left" w:pos="900"/>
        </w:tabs>
        <w:spacing w:line="560" w:lineRule="exact"/>
        <w:ind w:firstLine="562" w:firstLineChars="200"/>
        <w:outlineLvl w:val="0"/>
        <w:rPr>
          <w:rFonts w:eastAsia="仿宋"/>
          <w:b/>
          <w:sz w:val="28"/>
          <w:szCs w:val="28"/>
        </w:rPr>
      </w:pPr>
      <w:r>
        <w:rPr>
          <w:rFonts w:eastAsia="仿宋"/>
          <w:b/>
          <w:sz w:val="28"/>
          <w:szCs w:val="28"/>
        </w:rPr>
        <w:t>六、本次所转的无限售条件流通股的上市交易日为2026年6月16日。</w:t>
      </w:r>
    </w:p>
    <w:p w14:paraId="5F2D4070">
      <w:pPr>
        <w:tabs>
          <w:tab w:val="left" w:pos="900"/>
        </w:tabs>
        <w:spacing w:line="560" w:lineRule="exact"/>
        <w:ind w:firstLine="562" w:firstLineChars="200"/>
        <w:outlineLvl w:val="0"/>
        <w:rPr>
          <w:rFonts w:eastAsia="仿宋"/>
          <w:b/>
          <w:sz w:val="28"/>
          <w:szCs w:val="28"/>
        </w:rPr>
      </w:pPr>
      <w:r>
        <w:rPr>
          <w:rFonts w:eastAsia="仿宋"/>
          <w:b/>
          <w:sz w:val="28"/>
          <w:szCs w:val="28"/>
        </w:rPr>
        <w:t>七、股本变动情况表</w:t>
      </w:r>
    </w:p>
    <w:tbl>
      <w:tblPr>
        <w:tblStyle w:val="6"/>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1"/>
        <w:gridCol w:w="1701"/>
        <w:gridCol w:w="992"/>
        <w:gridCol w:w="1984"/>
        <w:gridCol w:w="1843"/>
        <w:gridCol w:w="992"/>
      </w:tblGrid>
      <w:tr w14:paraId="1824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1" w:type="dxa"/>
            <w:vMerge w:val="restart"/>
            <w:vAlign w:val="center"/>
          </w:tcPr>
          <w:p w14:paraId="5448133E">
            <w:pPr>
              <w:tabs>
                <w:tab w:val="left" w:pos="900"/>
              </w:tabs>
              <w:spacing w:line="336" w:lineRule="auto"/>
              <w:jc w:val="center"/>
              <w:rPr>
                <w:rFonts w:eastAsia="仿宋"/>
                <w:b/>
                <w:sz w:val="24"/>
                <w:szCs w:val="24"/>
              </w:rPr>
            </w:pPr>
            <w:r>
              <w:rPr>
                <w:rFonts w:eastAsia="仿宋"/>
                <w:b/>
                <w:sz w:val="24"/>
                <w:szCs w:val="24"/>
              </w:rPr>
              <w:t>股份类型</w:t>
            </w:r>
          </w:p>
        </w:tc>
        <w:tc>
          <w:tcPr>
            <w:tcW w:w="2693" w:type="dxa"/>
            <w:gridSpan w:val="2"/>
            <w:vAlign w:val="center"/>
          </w:tcPr>
          <w:p w14:paraId="2D975D83">
            <w:pPr>
              <w:tabs>
                <w:tab w:val="left" w:pos="900"/>
              </w:tabs>
              <w:spacing w:line="336" w:lineRule="auto"/>
              <w:jc w:val="center"/>
              <w:rPr>
                <w:rFonts w:eastAsia="仿宋"/>
                <w:b/>
                <w:sz w:val="24"/>
                <w:szCs w:val="24"/>
              </w:rPr>
            </w:pPr>
            <w:r>
              <w:rPr>
                <w:rFonts w:eastAsia="仿宋"/>
                <w:b/>
                <w:sz w:val="24"/>
                <w:szCs w:val="24"/>
              </w:rPr>
              <w:t>本次变更前股数</w:t>
            </w:r>
          </w:p>
        </w:tc>
        <w:tc>
          <w:tcPr>
            <w:tcW w:w="1984" w:type="dxa"/>
            <w:vAlign w:val="center"/>
          </w:tcPr>
          <w:p w14:paraId="72B636E9">
            <w:pPr>
              <w:tabs>
                <w:tab w:val="left" w:pos="900"/>
              </w:tabs>
              <w:spacing w:line="336" w:lineRule="auto"/>
              <w:jc w:val="center"/>
              <w:rPr>
                <w:rFonts w:eastAsia="仿宋"/>
                <w:b/>
                <w:sz w:val="24"/>
                <w:szCs w:val="24"/>
              </w:rPr>
            </w:pPr>
            <w:r>
              <w:rPr>
                <w:rFonts w:eastAsia="仿宋"/>
                <w:b/>
                <w:sz w:val="24"/>
                <w:szCs w:val="24"/>
              </w:rPr>
              <w:t>本次资本公积金转增股本数</w:t>
            </w:r>
          </w:p>
        </w:tc>
        <w:tc>
          <w:tcPr>
            <w:tcW w:w="2835" w:type="dxa"/>
            <w:gridSpan w:val="2"/>
            <w:vAlign w:val="center"/>
          </w:tcPr>
          <w:p w14:paraId="053E9EBD">
            <w:pPr>
              <w:tabs>
                <w:tab w:val="left" w:pos="900"/>
              </w:tabs>
              <w:spacing w:line="336" w:lineRule="auto"/>
              <w:jc w:val="center"/>
              <w:rPr>
                <w:rFonts w:eastAsia="仿宋"/>
                <w:b/>
                <w:sz w:val="24"/>
                <w:szCs w:val="24"/>
              </w:rPr>
            </w:pPr>
            <w:r>
              <w:rPr>
                <w:rFonts w:eastAsia="仿宋"/>
                <w:b/>
                <w:sz w:val="24"/>
                <w:szCs w:val="24"/>
              </w:rPr>
              <w:t>本次变更后股数</w:t>
            </w:r>
          </w:p>
        </w:tc>
      </w:tr>
      <w:tr w14:paraId="4B47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1" w:type="dxa"/>
            <w:vMerge w:val="continue"/>
            <w:vAlign w:val="center"/>
          </w:tcPr>
          <w:p w14:paraId="6363FEF1">
            <w:pPr>
              <w:tabs>
                <w:tab w:val="left" w:pos="900"/>
              </w:tabs>
              <w:spacing w:line="336" w:lineRule="auto"/>
              <w:jc w:val="center"/>
              <w:rPr>
                <w:rFonts w:eastAsia="仿宋"/>
                <w:b/>
                <w:sz w:val="24"/>
                <w:szCs w:val="24"/>
              </w:rPr>
            </w:pPr>
          </w:p>
        </w:tc>
        <w:tc>
          <w:tcPr>
            <w:tcW w:w="1701" w:type="dxa"/>
            <w:vAlign w:val="center"/>
          </w:tcPr>
          <w:p w14:paraId="6F0D2CA5">
            <w:pPr>
              <w:tabs>
                <w:tab w:val="left" w:pos="900"/>
              </w:tabs>
              <w:spacing w:line="336" w:lineRule="auto"/>
              <w:jc w:val="center"/>
              <w:rPr>
                <w:rFonts w:eastAsia="仿宋"/>
                <w:b/>
                <w:sz w:val="24"/>
                <w:szCs w:val="24"/>
              </w:rPr>
            </w:pPr>
            <w:r>
              <w:rPr>
                <w:rFonts w:eastAsia="仿宋"/>
                <w:b/>
                <w:sz w:val="24"/>
                <w:szCs w:val="24"/>
              </w:rPr>
              <w:t>股数（股）</w:t>
            </w:r>
          </w:p>
        </w:tc>
        <w:tc>
          <w:tcPr>
            <w:tcW w:w="992" w:type="dxa"/>
            <w:vAlign w:val="center"/>
          </w:tcPr>
          <w:p w14:paraId="547F59E6">
            <w:pPr>
              <w:tabs>
                <w:tab w:val="left" w:pos="900"/>
              </w:tabs>
              <w:spacing w:line="336" w:lineRule="auto"/>
              <w:jc w:val="center"/>
              <w:rPr>
                <w:rFonts w:eastAsia="仿宋"/>
                <w:b/>
                <w:sz w:val="24"/>
                <w:szCs w:val="24"/>
              </w:rPr>
            </w:pPr>
            <w:r>
              <w:rPr>
                <w:rFonts w:eastAsia="仿宋"/>
                <w:b/>
                <w:sz w:val="24"/>
                <w:szCs w:val="24"/>
              </w:rPr>
              <w:t>比例</w:t>
            </w:r>
          </w:p>
        </w:tc>
        <w:tc>
          <w:tcPr>
            <w:tcW w:w="1984" w:type="dxa"/>
            <w:vAlign w:val="center"/>
          </w:tcPr>
          <w:p w14:paraId="3A954DBC">
            <w:pPr>
              <w:tabs>
                <w:tab w:val="left" w:pos="900"/>
              </w:tabs>
              <w:spacing w:line="336" w:lineRule="auto"/>
              <w:jc w:val="center"/>
              <w:rPr>
                <w:rFonts w:eastAsia="仿宋"/>
                <w:b/>
                <w:sz w:val="24"/>
                <w:szCs w:val="24"/>
              </w:rPr>
            </w:pPr>
            <w:r>
              <w:rPr>
                <w:rFonts w:eastAsia="仿宋"/>
                <w:b/>
                <w:sz w:val="24"/>
                <w:szCs w:val="24"/>
              </w:rPr>
              <w:t>股数（股）</w:t>
            </w:r>
          </w:p>
        </w:tc>
        <w:tc>
          <w:tcPr>
            <w:tcW w:w="1843" w:type="dxa"/>
            <w:vAlign w:val="center"/>
          </w:tcPr>
          <w:p w14:paraId="6123637E">
            <w:pPr>
              <w:tabs>
                <w:tab w:val="left" w:pos="900"/>
              </w:tabs>
              <w:spacing w:line="336" w:lineRule="auto"/>
              <w:jc w:val="center"/>
              <w:rPr>
                <w:rFonts w:eastAsia="仿宋"/>
                <w:b/>
                <w:sz w:val="24"/>
                <w:szCs w:val="24"/>
              </w:rPr>
            </w:pPr>
            <w:r>
              <w:rPr>
                <w:rFonts w:eastAsia="仿宋"/>
                <w:b/>
                <w:sz w:val="24"/>
                <w:szCs w:val="24"/>
              </w:rPr>
              <w:t>股数（股）</w:t>
            </w:r>
          </w:p>
        </w:tc>
        <w:tc>
          <w:tcPr>
            <w:tcW w:w="992" w:type="dxa"/>
            <w:vAlign w:val="center"/>
          </w:tcPr>
          <w:p w14:paraId="4BCC0D60">
            <w:pPr>
              <w:tabs>
                <w:tab w:val="left" w:pos="900"/>
              </w:tabs>
              <w:spacing w:line="336" w:lineRule="auto"/>
              <w:jc w:val="center"/>
              <w:rPr>
                <w:rFonts w:eastAsia="仿宋"/>
                <w:b/>
                <w:sz w:val="24"/>
                <w:szCs w:val="24"/>
              </w:rPr>
            </w:pPr>
            <w:r>
              <w:rPr>
                <w:rFonts w:eastAsia="仿宋"/>
                <w:b/>
                <w:sz w:val="24"/>
                <w:szCs w:val="24"/>
              </w:rPr>
              <w:t>比例</w:t>
            </w:r>
          </w:p>
        </w:tc>
      </w:tr>
      <w:tr w14:paraId="2614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1" w:type="dxa"/>
            <w:vAlign w:val="center"/>
          </w:tcPr>
          <w:p w14:paraId="174711D3">
            <w:pPr>
              <w:tabs>
                <w:tab w:val="left" w:pos="900"/>
              </w:tabs>
              <w:spacing w:line="336" w:lineRule="auto"/>
              <w:rPr>
                <w:rFonts w:eastAsia="仿宋"/>
                <w:sz w:val="24"/>
                <w:szCs w:val="24"/>
              </w:rPr>
            </w:pPr>
            <w:r>
              <w:rPr>
                <w:rFonts w:eastAsia="仿宋"/>
                <w:sz w:val="24"/>
                <w:szCs w:val="24"/>
              </w:rPr>
              <w:t>一、有限售条件股份</w:t>
            </w:r>
          </w:p>
        </w:tc>
        <w:tc>
          <w:tcPr>
            <w:tcW w:w="1701" w:type="dxa"/>
            <w:vAlign w:val="center"/>
          </w:tcPr>
          <w:p w14:paraId="5F78A37E">
            <w:pPr>
              <w:tabs>
                <w:tab w:val="left" w:pos="900"/>
              </w:tabs>
              <w:spacing w:line="336" w:lineRule="auto"/>
              <w:jc w:val="center"/>
              <w:rPr>
                <w:rFonts w:eastAsia="仿宋"/>
                <w:sz w:val="24"/>
                <w:szCs w:val="24"/>
              </w:rPr>
            </w:pPr>
            <w:r>
              <w:rPr>
                <w:rFonts w:eastAsia="仿宋"/>
                <w:bCs/>
                <w:color w:val="000000"/>
              </w:rPr>
              <w:t>17,440,458.00</w:t>
            </w:r>
          </w:p>
        </w:tc>
        <w:tc>
          <w:tcPr>
            <w:tcW w:w="992" w:type="dxa"/>
            <w:vAlign w:val="center"/>
          </w:tcPr>
          <w:p w14:paraId="40F01310">
            <w:pPr>
              <w:tabs>
                <w:tab w:val="left" w:pos="900"/>
              </w:tabs>
              <w:spacing w:line="336" w:lineRule="auto"/>
              <w:jc w:val="center"/>
              <w:rPr>
                <w:rFonts w:eastAsia="仿宋"/>
                <w:sz w:val="24"/>
                <w:szCs w:val="24"/>
              </w:rPr>
            </w:pPr>
            <w:r>
              <w:rPr>
                <w:rFonts w:eastAsia="仿宋"/>
                <w:bCs/>
                <w:color w:val="000000"/>
              </w:rPr>
              <w:t>26.09</w:t>
            </w:r>
            <w:r>
              <w:rPr>
                <w:rFonts w:eastAsia="仿宋"/>
                <w:bCs/>
              </w:rPr>
              <w:t>%</w:t>
            </w:r>
          </w:p>
        </w:tc>
        <w:tc>
          <w:tcPr>
            <w:tcW w:w="1984" w:type="dxa"/>
            <w:vAlign w:val="center"/>
          </w:tcPr>
          <w:p w14:paraId="74C42327">
            <w:pPr>
              <w:tabs>
                <w:tab w:val="left" w:pos="900"/>
              </w:tabs>
              <w:spacing w:line="336" w:lineRule="auto"/>
              <w:jc w:val="center"/>
              <w:rPr>
                <w:rFonts w:eastAsia="仿宋"/>
                <w:sz w:val="24"/>
                <w:szCs w:val="24"/>
              </w:rPr>
            </w:pPr>
            <w:r>
              <w:rPr>
                <w:rFonts w:eastAsia="仿宋"/>
                <w:bCs/>
              </w:rPr>
              <w:t>6,976,183</w:t>
            </w:r>
          </w:p>
        </w:tc>
        <w:tc>
          <w:tcPr>
            <w:tcW w:w="1843" w:type="dxa"/>
            <w:vAlign w:val="center"/>
          </w:tcPr>
          <w:p w14:paraId="07249056">
            <w:pPr>
              <w:tabs>
                <w:tab w:val="left" w:pos="900"/>
              </w:tabs>
              <w:spacing w:line="336" w:lineRule="auto"/>
              <w:jc w:val="center"/>
              <w:rPr>
                <w:rFonts w:eastAsia="仿宋"/>
                <w:sz w:val="24"/>
                <w:szCs w:val="24"/>
              </w:rPr>
            </w:pPr>
            <w:r>
              <w:rPr>
                <w:rFonts w:eastAsia="仿宋"/>
                <w:bCs/>
              </w:rPr>
              <w:t>24,416,641</w:t>
            </w:r>
          </w:p>
        </w:tc>
        <w:tc>
          <w:tcPr>
            <w:tcW w:w="992" w:type="dxa"/>
            <w:vAlign w:val="center"/>
          </w:tcPr>
          <w:p w14:paraId="1BB9D1BF">
            <w:pPr>
              <w:tabs>
                <w:tab w:val="left" w:pos="900"/>
              </w:tabs>
              <w:spacing w:line="336" w:lineRule="auto"/>
              <w:jc w:val="center"/>
              <w:rPr>
                <w:rFonts w:eastAsia="仿宋"/>
                <w:sz w:val="24"/>
                <w:szCs w:val="24"/>
              </w:rPr>
            </w:pPr>
            <w:r>
              <w:rPr>
                <w:rFonts w:eastAsia="仿宋"/>
                <w:bCs/>
              </w:rPr>
              <w:t>26.23%</w:t>
            </w:r>
          </w:p>
        </w:tc>
      </w:tr>
      <w:tr w14:paraId="265C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1" w:type="dxa"/>
            <w:vAlign w:val="center"/>
          </w:tcPr>
          <w:p w14:paraId="30ACBDFD">
            <w:pPr>
              <w:tabs>
                <w:tab w:val="left" w:pos="900"/>
              </w:tabs>
              <w:spacing w:line="336" w:lineRule="auto"/>
              <w:rPr>
                <w:rFonts w:eastAsia="仿宋"/>
                <w:sz w:val="24"/>
                <w:szCs w:val="24"/>
              </w:rPr>
            </w:pPr>
            <w:r>
              <w:rPr>
                <w:rFonts w:eastAsia="仿宋"/>
                <w:sz w:val="24"/>
                <w:szCs w:val="24"/>
              </w:rPr>
              <w:t>二、无限售条件股份</w:t>
            </w:r>
          </w:p>
        </w:tc>
        <w:tc>
          <w:tcPr>
            <w:tcW w:w="1701" w:type="dxa"/>
            <w:vAlign w:val="center"/>
          </w:tcPr>
          <w:p w14:paraId="661A2FDB">
            <w:pPr>
              <w:tabs>
                <w:tab w:val="left" w:pos="900"/>
              </w:tabs>
              <w:spacing w:line="336" w:lineRule="auto"/>
              <w:jc w:val="center"/>
              <w:rPr>
                <w:rFonts w:eastAsia="仿宋"/>
                <w:sz w:val="24"/>
                <w:szCs w:val="24"/>
              </w:rPr>
            </w:pPr>
            <w:r>
              <w:rPr>
                <w:rFonts w:eastAsia="仿宋"/>
                <w:bCs/>
                <w:color w:val="000000"/>
              </w:rPr>
              <w:t>49,412,342.00</w:t>
            </w:r>
          </w:p>
        </w:tc>
        <w:tc>
          <w:tcPr>
            <w:tcW w:w="992" w:type="dxa"/>
            <w:vAlign w:val="center"/>
          </w:tcPr>
          <w:p w14:paraId="41DB6DEF">
            <w:pPr>
              <w:tabs>
                <w:tab w:val="left" w:pos="900"/>
              </w:tabs>
              <w:spacing w:line="336" w:lineRule="auto"/>
              <w:jc w:val="center"/>
              <w:rPr>
                <w:rFonts w:eastAsia="仿宋"/>
                <w:sz w:val="24"/>
                <w:szCs w:val="24"/>
              </w:rPr>
            </w:pPr>
            <w:r>
              <w:rPr>
                <w:rFonts w:eastAsia="仿宋"/>
                <w:bCs/>
                <w:color w:val="000000"/>
              </w:rPr>
              <w:t>73.91</w:t>
            </w:r>
            <w:r>
              <w:rPr>
                <w:rFonts w:eastAsia="仿宋"/>
                <w:bCs/>
              </w:rPr>
              <w:t>%</w:t>
            </w:r>
          </w:p>
        </w:tc>
        <w:tc>
          <w:tcPr>
            <w:tcW w:w="1984" w:type="dxa"/>
            <w:vAlign w:val="center"/>
          </w:tcPr>
          <w:p w14:paraId="1154E128">
            <w:pPr>
              <w:tabs>
                <w:tab w:val="left" w:pos="900"/>
              </w:tabs>
              <w:spacing w:line="336" w:lineRule="auto"/>
              <w:jc w:val="center"/>
              <w:rPr>
                <w:rFonts w:eastAsia="仿宋"/>
                <w:sz w:val="24"/>
                <w:szCs w:val="24"/>
              </w:rPr>
            </w:pPr>
            <w:r>
              <w:rPr>
                <w:rFonts w:eastAsia="仿宋"/>
                <w:bCs/>
              </w:rPr>
              <w:t>19,275,281</w:t>
            </w:r>
            <w:bookmarkStart w:id="0" w:name="_GoBack"/>
            <w:bookmarkEnd w:id="0"/>
          </w:p>
        </w:tc>
        <w:tc>
          <w:tcPr>
            <w:tcW w:w="1843" w:type="dxa"/>
            <w:vAlign w:val="center"/>
          </w:tcPr>
          <w:p w14:paraId="26EF3065">
            <w:pPr>
              <w:tabs>
                <w:tab w:val="left" w:pos="900"/>
              </w:tabs>
              <w:spacing w:line="336" w:lineRule="auto"/>
              <w:jc w:val="center"/>
              <w:rPr>
                <w:rFonts w:eastAsia="仿宋"/>
                <w:sz w:val="24"/>
                <w:szCs w:val="24"/>
              </w:rPr>
            </w:pPr>
            <w:r>
              <w:rPr>
                <w:rFonts w:eastAsia="仿宋"/>
                <w:bCs/>
              </w:rPr>
              <w:t>68,687,623</w:t>
            </w:r>
          </w:p>
        </w:tc>
        <w:tc>
          <w:tcPr>
            <w:tcW w:w="992" w:type="dxa"/>
            <w:vAlign w:val="center"/>
          </w:tcPr>
          <w:p w14:paraId="133A3B6D">
            <w:pPr>
              <w:tabs>
                <w:tab w:val="left" w:pos="900"/>
              </w:tabs>
              <w:spacing w:line="336" w:lineRule="auto"/>
              <w:jc w:val="center"/>
              <w:rPr>
                <w:rFonts w:eastAsia="仿宋"/>
                <w:sz w:val="24"/>
                <w:szCs w:val="24"/>
              </w:rPr>
            </w:pPr>
            <w:r>
              <w:rPr>
                <w:rFonts w:eastAsia="仿宋"/>
                <w:bCs/>
              </w:rPr>
              <w:t>73.77%</w:t>
            </w:r>
          </w:p>
        </w:tc>
      </w:tr>
      <w:tr w14:paraId="61AF5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1" w:type="dxa"/>
            <w:vAlign w:val="center"/>
          </w:tcPr>
          <w:p w14:paraId="1692BB28">
            <w:pPr>
              <w:tabs>
                <w:tab w:val="left" w:pos="900"/>
              </w:tabs>
              <w:spacing w:line="336" w:lineRule="auto"/>
              <w:rPr>
                <w:rFonts w:eastAsia="仿宋"/>
                <w:sz w:val="24"/>
                <w:szCs w:val="24"/>
              </w:rPr>
            </w:pPr>
            <w:r>
              <w:rPr>
                <w:rFonts w:eastAsia="仿宋"/>
                <w:sz w:val="24"/>
                <w:szCs w:val="24"/>
              </w:rPr>
              <w:t>三、股份总数</w:t>
            </w:r>
          </w:p>
        </w:tc>
        <w:tc>
          <w:tcPr>
            <w:tcW w:w="1701" w:type="dxa"/>
            <w:vAlign w:val="center"/>
          </w:tcPr>
          <w:p w14:paraId="46982FCC">
            <w:pPr>
              <w:tabs>
                <w:tab w:val="left" w:pos="900"/>
              </w:tabs>
              <w:spacing w:line="336" w:lineRule="auto"/>
              <w:jc w:val="center"/>
              <w:rPr>
                <w:rFonts w:eastAsia="仿宋"/>
                <w:sz w:val="24"/>
                <w:szCs w:val="24"/>
              </w:rPr>
            </w:pPr>
            <w:r>
              <w:rPr>
                <w:rFonts w:eastAsia="仿宋"/>
                <w:bCs/>
                <w:color w:val="000000"/>
              </w:rPr>
              <w:t>66,852,800.00</w:t>
            </w:r>
          </w:p>
        </w:tc>
        <w:tc>
          <w:tcPr>
            <w:tcW w:w="992" w:type="dxa"/>
            <w:vAlign w:val="center"/>
          </w:tcPr>
          <w:p w14:paraId="68BEB7A3">
            <w:pPr>
              <w:tabs>
                <w:tab w:val="left" w:pos="900"/>
              </w:tabs>
              <w:spacing w:line="336" w:lineRule="auto"/>
              <w:jc w:val="center"/>
              <w:rPr>
                <w:rFonts w:eastAsia="仿宋"/>
                <w:sz w:val="24"/>
                <w:szCs w:val="24"/>
              </w:rPr>
            </w:pPr>
            <w:r>
              <w:rPr>
                <w:rFonts w:eastAsia="仿宋"/>
                <w:bCs/>
                <w:color w:val="000000"/>
              </w:rPr>
              <w:t>100</w:t>
            </w:r>
            <w:r>
              <w:rPr>
                <w:rFonts w:eastAsia="仿宋"/>
                <w:bCs/>
              </w:rPr>
              <w:t>.00%</w:t>
            </w:r>
          </w:p>
        </w:tc>
        <w:tc>
          <w:tcPr>
            <w:tcW w:w="1984" w:type="dxa"/>
            <w:vAlign w:val="center"/>
          </w:tcPr>
          <w:p w14:paraId="06D35F79">
            <w:pPr>
              <w:tabs>
                <w:tab w:val="left" w:pos="900"/>
              </w:tabs>
              <w:spacing w:line="336" w:lineRule="auto"/>
              <w:jc w:val="center"/>
              <w:rPr>
                <w:rFonts w:eastAsia="仿宋"/>
                <w:sz w:val="24"/>
                <w:szCs w:val="24"/>
              </w:rPr>
            </w:pPr>
            <w:r>
              <w:rPr>
                <w:rFonts w:hint="eastAsia" w:eastAsia="仿宋"/>
                <w:bCs/>
              </w:rPr>
              <w:t xml:space="preserve">26,251,464 </w:t>
            </w:r>
          </w:p>
        </w:tc>
        <w:tc>
          <w:tcPr>
            <w:tcW w:w="1843" w:type="dxa"/>
            <w:vAlign w:val="center"/>
          </w:tcPr>
          <w:p w14:paraId="3D5CFA1E">
            <w:pPr>
              <w:tabs>
                <w:tab w:val="left" w:pos="900"/>
              </w:tabs>
              <w:spacing w:line="336" w:lineRule="auto"/>
              <w:jc w:val="center"/>
              <w:rPr>
                <w:rFonts w:eastAsia="仿宋"/>
                <w:sz w:val="24"/>
                <w:szCs w:val="24"/>
              </w:rPr>
            </w:pPr>
            <w:r>
              <w:rPr>
                <w:rFonts w:eastAsia="仿宋"/>
                <w:bCs/>
              </w:rPr>
              <w:t>93,104,264</w:t>
            </w:r>
          </w:p>
        </w:tc>
        <w:tc>
          <w:tcPr>
            <w:tcW w:w="992" w:type="dxa"/>
            <w:vAlign w:val="center"/>
          </w:tcPr>
          <w:p w14:paraId="763CA529">
            <w:pPr>
              <w:tabs>
                <w:tab w:val="left" w:pos="900"/>
              </w:tabs>
              <w:spacing w:line="336" w:lineRule="auto"/>
              <w:jc w:val="center"/>
              <w:rPr>
                <w:rFonts w:eastAsia="仿宋"/>
                <w:sz w:val="24"/>
                <w:szCs w:val="24"/>
              </w:rPr>
            </w:pPr>
            <w:r>
              <w:rPr>
                <w:rFonts w:eastAsia="仿宋"/>
                <w:bCs/>
              </w:rPr>
              <w:t>100.00%</w:t>
            </w:r>
          </w:p>
        </w:tc>
      </w:tr>
    </w:tbl>
    <w:p w14:paraId="58ADC810">
      <w:pPr>
        <w:tabs>
          <w:tab w:val="left" w:pos="900"/>
        </w:tabs>
        <w:spacing w:line="560" w:lineRule="exact"/>
        <w:ind w:firstLine="480" w:firstLineChars="200"/>
        <w:outlineLvl w:val="0"/>
        <w:rPr>
          <w:rFonts w:eastAsia="仿宋"/>
          <w:sz w:val="24"/>
          <w:szCs w:val="28"/>
        </w:rPr>
      </w:pPr>
      <w:r>
        <w:rPr>
          <w:rFonts w:eastAsia="仿宋"/>
          <w:sz w:val="24"/>
          <w:szCs w:val="28"/>
        </w:rPr>
        <w:t>注</w:t>
      </w:r>
      <w:r>
        <w:rPr>
          <w:rFonts w:hint="eastAsia" w:eastAsia="仿宋"/>
          <w:sz w:val="24"/>
          <w:szCs w:val="28"/>
        </w:rPr>
        <w:t>1</w:t>
      </w:r>
      <w:r>
        <w:rPr>
          <w:rFonts w:eastAsia="仿宋"/>
          <w:sz w:val="24"/>
          <w:szCs w:val="28"/>
        </w:rPr>
        <w:t>：本次变动后的股本结构以中国结算深圳分公司提供的股本结构表为准。</w:t>
      </w:r>
    </w:p>
    <w:p w14:paraId="69911C1E">
      <w:pPr>
        <w:tabs>
          <w:tab w:val="left" w:pos="900"/>
        </w:tabs>
        <w:spacing w:line="560" w:lineRule="exact"/>
        <w:ind w:firstLine="562" w:firstLineChars="200"/>
        <w:outlineLvl w:val="0"/>
        <w:rPr>
          <w:rFonts w:eastAsia="仿宋"/>
          <w:b/>
          <w:sz w:val="28"/>
          <w:szCs w:val="28"/>
        </w:rPr>
      </w:pPr>
      <w:r>
        <w:rPr>
          <w:rFonts w:eastAsia="仿宋"/>
          <w:b/>
          <w:sz w:val="28"/>
          <w:szCs w:val="28"/>
        </w:rPr>
        <w:t>八、调整相关参数</w:t>
      </w:r>
    </w:p>
    <w:p w14:paraId="6DBE4F1E">
      <w:pPr>
        <w:tabs>
          <w:tab w:val="left" w:pos="900"/>
        </w:tabs>
        <w:spacing w:line="560" w:lineRule="exact"/>
        <w:ind w:firstLine="560" w:firstLineChars="200"/>
        <w:rPr>
          <w:rFonts w:eastAsia="仿宋"/>
          <w:sz w:val="28"/>
          <w:szCs w:val="28"/>
        </w:rPr>
      </w:pPr>
      <w:r>
        <w:rPr>
          <w:rFonts w:eastAsia="仿宋"/>
          <w:sz w:val="28"/>
          <w:szCs w:val="28"/>
        </w:rPr>
        <w:t>1.公司通过回购专用证券账户持有的本公司股份不享有参与本次利润分配的权利。</w:t>
      </w:r>
    </w:p>
    <w:p w14:paraId="43C2A0D8">
      <w:pPr>
        <w:tabs>
          <w:tab w:val="left" w:pos="900"/>
        </w:tabs>
        <w:spacing w:line="560" w:lineRule="exact"/>
        <w:ind w:firstLine="560" w:firstLineChars="200"/>
        <w:rPr>
          <w:rFonts w:eastAsia="仿宋"/>
          <w:sz w:val="28"/>
          <w:szCs w:val="28"/>
        </w:rPr>
      </w:pPr>
      <w:r>
        <w:rPr>
          <w:rFonts w:eastAsia="仿宋"/>
          <w:sz w:val="28"/>
          <w:szCs w:val="28"/>
        </w:rPr>
        <w:t>本次权益分派实施后除权除息参考价计算如下：</w:t>
      </w:r>
    </w:p>
    <w:p w14:paraId="1B7D6F52">
      <w:pPr>
        <w:tabs>
          <w:tab w:val="left" w:pos="900"/>
        </w:tabs>
        <w:spacing w:line="560" w:lineRule="exact"/>
        <w:ind w:firstLine="560" w:firstLineChars="200"/>
        <w:rPr>
          <w:rFonts w:ascii="仿宋" w:hAnsi="仿宋" w:eastAsia="仿宋"/>
          <w:sz w:val="28"/>
          <w:szCs w:val="28"/>
        </w:rPr>
      </w:pPr>
      <w:r>
        <w:rPr>
          <w:rFonts w:hint="eastAsia" w:ascii="仿宋" w:hAnsi="仿宋" w:eastAsia="仿宋" w:cs="宋体"/>
          <w:sz w:val="28"/>
          <w:szCs w:val="28"/>
        </w:rPr>
        <w:t>①</w:t>
      </w:r>
      <w:r>
        <w:rPr>
          <w:rFonts w:ascii="仿宋" w:hAnsi="仿宋" w:eastAsia="仿宋"/>
          <w:sz w:val="28"/>
          <w:szCs w:val="28"/>
        </w:rPr>
        <w:t>按公司总股本折算每股现金分红（含税）</w:t>
      </w:r>
    </w:p>
    <w:p w14:paraId="7BC0D372">
      <w:pPr>
        <w:tabs>
          <w:tab w:val="left" w:pos="900"/>
        </w:tabs>
        <w:spacing w:line="560" w:lineRule="exact"/>
        <w:ind w:firstLine="560" w:firstLineChars="200"/>
        <w:rPr>
          <w:rFonts w:ascii="仿宋" w:hAnsi="仿宋" w:eastAsia="仿宋"/>
          <w:sz w:val="28"/>
          <w:szCs w:val="28"/>
        </w:rPr>
      </w:pPr>
      <w:r>
        <w:rPr>
          <w:rFonts w:ascii="仿宋" w:hAnsi="仿宋" w:eastAsia="仿宋"/>
          <w:sz w:val="28"/>
          <w:szCs w:val="28"/>
        </w:rPr>
        <w:t>=现金分红总额/总股本（包含已回购股份）</w:t>
      </w:r>
    </w:p>
    <w:p w14:paraId="56B27F9E">
      <w:pPr>
        <w:tabs>
          <w:tab w:val="left" w:pos="900"/>
        </w:tabs>
        <w:spacing w:line="560" w:lineRule="exact"/>
        <w:ind w:firstLine="560" w:firstLineChars="200"/>
        <w:rPr>
          <w:rFonts w:ascii="仿宋" w:hAnsi="仿宋" w:eastAsia="仿宋"/>
          <w:sz w:val="28"/>
          <w:szCs w:val="28"/>
        </w:rPr>
      </w:pPr>
      <w:r>
        <w:rPr>
          <w:rFonts w:ascii="仿宋" w:hAnsi="仿宋" w:eastAsia="仿宋"/>
          <w:sz w:val="28"/>
          <w:szCs w:val="28"/>
        </w:rPr>
        <w:t>=3,281,433.00元/66,852,800</w:t>
      </w:r>
    </w:p>
    <w:p w14:paraId="10631A41">
      <w:pPr>
        <w:tabs>
          <w:tab w:val="left" w:pos="900"/>
        </w:tabs>
        <w:spacing w:line="560" w:lineRule="exact"/>
        <w:ind w:firstLine="560" w:firstLineChars="200"/>
        <w:rPr>
          <w:rFonts w:ascii="仿宋" w:hAnsi="仿宋" w:eastAsia="仿宋"/>
          <w:sz w:val="28"/>
          <w:szCs w:val="28"/>
        </w:rPr>
      </w:pPr>
      <w:r>
        <w:rPr>
          <w:rFonts w:ascii="仿宋" w:hAnsi="仿宋" w:eastAsia="仿宋"/>
          <w:sz w:val="28"/>
          <w:szCs w:val="28"/>
        </w:rPr>
        <w:t>=0.0490844元（含税；保留到小数点后六位，最后一位直接截取，不四舍五入）；</w:t>
      </w:r>
    </w:p>
    <w:p w14:paraId="4AC7C038">
      <w:pPr>
        <w:tabs>
          <w:tab w:val="left" w:pos="900"/>
        </w:tabs>
        <w:spacing w:line="560" w:lineRule="exact"/>
        <w:ind w:firstLine="560" w:firstLineChars="200"/>
        <w:rPr>
          <w:rFonts w:ascii="仿宋" w:hAnsi="仿宋" w:eastAsia="仿宋"/>
          <w:sz w:val="28"/>
          <w:szCs w:val="28"/>
        </w:rPr>
      </w:pPr>
      <w:r>
        <w:rPr>
          <w:rFonts w:hint="eastAsia" w:ascii="仿宋" w:hAnsi="仿宋" w:eastAsia="仿宋" w:cs="宋体"/>
          <w:sz w:val="28"/>
          <w:szCs w:val="28"/>
        </w:rPr>
        <w:t>②</w:t>
      </w:r>
      <w:r>
        <w:rPr>
          <w:rFonts w:ascii="仿宋" w:hAnsi="仿宋" w:eastAsia="仿宋"/>
          <w:sz w:val="28"/>
          <w:szCs w:val="28"/>
        </w:rPr>
        <w:t>按公司总股本折算每股以资本公积金转增股本数量</w:t>
      </w:r>
    </w:p>
    <w:p w14:paraId="10E38CD1">
      <w:pPr>
        <w:tabs>
          <w:tab w:val="left" w:pos="900"/>
        </w:tabs>
        <w:spacing w:line="560" w:lineRule="exact"/>
        <w:ind w:firstLine="560" w:firstLineChars="200"/>
        <w:rPr>
          <w:rFonts w:ascii="仿宋" w:hAnsi="仿宋" w:eastAsia="仿宋"/>
          <w:sz w:val="28"/>
          <w:szCs w:val="28"/>
        </w:rPr>
      </w:pPr>
      <w:r>
        <w:rPr>
          <w:rFonts w:ascii="仿宋" w:hAnsi="仿宋" w:eastAsia="仿宋"/>
          <w:sz w:val="28"/>
          <w:szCs w:val="28"/>
        </w:rPr>
        <w:t>=转增股本总额/总股本（包含已回购股份）</w:t>
      </w:r>
    </w:p>
    <w:p w14:paraId="4570F3AE">
      <w:pPr>
        <w:tabs>
          <w:tab w:val="left" w:pos="900"/>
        </w:tabs>
        <w:spacing w:line="560" w:lineRule="exact"/>
        <w:ind w:firstLine="560" w:firstLineChars="200"/>
        <w:rPr>
          <w:rFonts w:ascii="仿宋" w:hAnsi="仿宋" w:eastAsia="仿宋"/>
          <w:sz w:val="28"/>
          <w:szCs w:val="28"/>
        </w:rPr>
      </w:pPr>
      <w:r>
        <w:rPr>
          <w:rFonts w:ascii="仿宋" w:hAnsi="仿宋" w:eastAsia="仿宋"/>
          <w:sz w:val="28"/>
          <w:szCs w:val="28"/>
        </w:rPr>
        <w:t>=26,251,464.00股/66,852,800</w:t>
      </w:r>
    </w:p>
    <w:p w14:paraId="2DB03F90">
      <w:pPr>
        <w:tabs>
          <w:tab w:val="left" w:pos="900"/>
        </w:tabs>
        <w:spacing w:line="560" w:lineRule="exact"/>
        <w:ind w:firstLine="560" w:firstLineChars="200"/>
        <w:rPr>
          <w:rFonts w:ascii="仿宋" w:hAnsi="仿宋" w:eastAsia="仿宋"/>
          <w:sz w:val="28"/>
          <w:szCs w:val="28"/>
        </w:rPr>
      </w:pPr>
      <w:r>
        <w:rPr>
          <w:rFonts w:ascii="仿宋" w:hAnsi="仿宋" w:eastAsia="仿宋"/>
          <w:sz w:val="28"/>
          <w:szCs w:val="28"/>
        </w:rPr>
        <w:t>=0.3926756股；</w:t>
      </w:r>
    </w:p>
    <w:p w14:paraId="354D92D1">
      <w:pPr>
        <w:tabs>
          <w:tab w:val="left" w:pos="900"/>
        </w:tabs>
        <w:spacing w:line="560" w:lineRule="exact"/>
        <w:ind w:firstLine="560" w:firstLineChars="200"/>
        <w:rPr>
          <w:rFonts w:ascii="仿宋" w:hAnsi="仿宋" w:eastAsia="仿宋"/>
          <w:sz w:val="28"/>
          <w:szCs w:val="28"/>
        </w:rPr>
      </w:pPr>
      <w:r>
        <w:rPr>
          <w:rFonts w:hint="eastAsia" w:ascii="仿宋" w:hAnsi="仿宋" w:eastAsia="仿宋" w:cs="宋体"/>
          <w:sz w:val="28"/>
          <w:szCs w:val="28"/>
        </w:rPr>
        <w:t>③</w:t>
      </w:r>
      <w:r>
        <w:rPr>
          <w:rFonts w:ascii="仿宋" w:hAnsi="仿宋" w:eastAsia="仿宋"/>
          <w:sz w:val="28"/>
          <w:szCs w:val="28"/>
        </w:rPr>
        <w:t>本次权益分派实施后的除权除息参考价格</w:t>
      </w:r>
    </w:p>
    <w:p w14:paraId="3BDB0BA5">
      <w:pPr>
        <w:tabs>
          <w:tab w:val="left" w:pos="900"/>
        </w:tabs>
        <w:spacing w:line="560" w:lineRule="exact"/>
        <w:ind w:firstLine="560" w:firstLineChars="200"/>
        <w:rPr>
          <w:rFonts w:ascii="仿宋" w:hAnsi="仿宋" w:eastAsia="仿宋"/>
          <w:sz w:val="28"/>
          <w:szCs w:val="28"/>
        </w:rPr>
      </w:pPr>
      <w:r>
        <w:rPr>
          <w:rFonts w:ascii="仿宋" w:hAnsi="仿宋" w:eastAsia="仿宋"/>
          <w:sz w:val="28"/>
          <w:szCs w:val="28"/>
        </w:rPr>
        <w:t>=（股权登记日收盘价-按公司总股本折算每股现金分红金额）/（1+按公司总股本折算每股资本公积金转增股本总额）</w:t>
      </w:r>
    </w:p>
    <w:p w14:paraId="3F6990B1">
      <w:pPr>
        <w:tabs>
          <w:tab w:val="left" w:pos="900"/>
        </w:tabs>
        <w:spacing w:line="560" w:lineRule="exact"/>
        <w:ind w:firstLine="560" w:firstLineChars="200"/>
        <w:rPr>
          <w:rFonts w:ascii="仿宋" w:hAnsi="仿宋" w:eastAsia="仿宋"/>
          <w:sz w:val="28"/>
          <w:szCs w:val="28"/>
        </w:rPr>
      </w:pPr>
      <w:r>
        <w:rPr>
          <w:rFonts w:ascii="仿宋" w:hAnsi="仿宋" w:eastAsia="仿宋"/>
          <w:sz w:val="28"/>
          <w:szCs w:val="28"/>
        </w:rPr>
        <w:t>=（股权登记日收盘价-</w:t>
      </w:r>
      <w:r>
        <w:rPr>
          <w:rFonts w:hint="eastAsia" w:ascii="仿宋" w:hAnsi="仿宋" w:eastAsia="仿宋" w:cs="宋体"/>
          <w:sz w:val="28"/>
          <w:szCs w:val="28"/>
        </w:rPr>
        <w:t>①</w:t>
      </w:r>
      <w:r>
        <w:rPr>
          <w:rFonts w:ascii="仿宋" w:hAnsi="仿宋" w:eastAsia="仿宋"/>
          <w:sz w:val="28"/>
          <w:szCs w:val="28"/>
        </w:rPr>
        <w:t>）/(1+</w:t>
      </w:r>
      <w:r>
        <w:rPr>
          <w:rFonts w:hint="eastAsia" w:ascii="仿宋" w:hAnsi="仿宋" w:eastAsia="仿宋" w:cs="宋体"/>
          <w:sz w:val="28"/>
          <w:szCs w:val="28"/>
        </w:rPr>
        <w:t>②</w:t>
      </w:r>
      <w:r>
        <w:rPr>
          <w:rFonts w:ascii="仿宋" w:hAnsi="仿宋" w:eastAsia="仿宋"/>
          <w:sz w:val="28"/>
          <w:szCs w:val="28"/>
        </w:rPr>
        <w:t>)</w:t>
      </w:r>
    </w:p>
    <w:p w14:paraId="0B549D95">
      <w:pPr>
        <w:tabs>
          <w:tab w:val="left" w:pos="900"/>
        </w:tabs>
        <w:spacing w:line="560" w:lineRule="exact"/>
        <w:ind w:firstLine="560" w:firstLineChars="200"/>
        <w:rPr>
          <w:rFonts w:ascii="仿宋" w:hAnsi="仿宋" w:eastAsia="仿宋"/>
          <w:sz w:val="28"/>
          <w:szCs w:val="28"/>
        </w:rPr>
      </w:pPr>
      <w:r>
        <w:rPr>
          <w:rFonts w:ascii="仿宋" w:hAnsi="仿宋" w:eastAsia="仿宋"/>
          <w:sz w:val="28"/>
          <w:szCs w:val="28"/>
        </w:rPr>
        <w:t>=（股权登记日收盘价-0.0490844元/股）/</w:t>
      </w:r>
      <w:r>
        <w:rPr>
          <w:rFonts w:hint="eastAsia" w:ascii="仿宋" w:hAnsi="仿宋" w:eastAsia="仿宋"/>
          <w:sz w:val="28"/>
          <w:szCs w:val="28"/>
        </w:rPr>
        <w:t>（1+</w:t>
      </w:r>
      <w:r>
        <w:rPr>
          <w:rFonts w:ascii="仿宋" w:hAnsi="仿宋" w:eastAsia="仿宋"/>
          <w:sz w:val="28"/>
          <w:szCs w:val="28"/>
        </w:rPr>
        <w:t>0.3926756</w:t>
      </w:r>
      <w:r>
        <w:rPr>
          <w:rFonts w:hint="eastAsia" w:ascii="仿宋" w:hAnsi="仿宋" w:eastAsia="仿宋"/>
          <w:sz w:val="28"/>
          <w:szCs w:val="28"/>
        </w:rPr>
        <w:t>）</w:t>
      </w:r>
    </w:p>
    <w:p w14:paraId="5E4FA0E8">
      <w:pPr>
        <w:tabs>
          <w:tab w:val="left" w:pos="900"/>
        </w:tabs>
        <w:spacing w:line="560" w:lineRule="exact"/>
        <w:ind w:firstLine="560" w:firstLineChars="200"/>
        <w:rPr>
          <w:rFonts w:hint="eastAsia" w:eastAsia="仿宋"/>
          <w:sz w:val="28"/>
          <w:szCs w:val="28"/>
          <w:lang w:eastAsia="zh-CN"/>
        </w:rPr>
      </w:pPr>
      <w:r>
        <w:rPr>
          <w:rFonts w:hint="eastAsia" w:eastAsia="仿宋"/>
          <w:sz w:val="28"/>
          <w:szCs w:val="28"/>
        </w:rPr>
        <w:t>2.</w:t>
      </w:r>
      <w:r>
        <w:rPr>
          <w:rFonts w:eastAsia="仿宋"/>
          <w:sz w:val="28"/>
          <w:szCs w:val="28"/>
        </w:rPr>
        <w:t>本次权益分派实施后，按新股本93,104,264股摊薄计算，2025年度每股净收益为</w:t>
      </w:r>
      <w:r>
        <w:rPr>
          <w:rFonts w:hint="eastAsia" w:eastAsia="仿宋"/>
          <w:sz w:val="28"/>
          <w:szCs w:val="28"/>
        </w:rPr>
        <w:t>0.08</w:t>
      </w:r>
      <w:r>
        <w:rPr>
          <w:rFonts w:eastAsia="仿宋"/>
          <w:sz w:val="28"/>
          <w:szCs w:val="28"/>
        </w:rPr>
        <w:t>元。</w:t>
      </w:r>
    </w:p>
    <w:p w14:paraId="3BEDF0F3">
      <w:pPr>
        <w:tabs>
          <w:tab w:val="left" w:pos="900"/>
        </w:tabs>
        <w:spacing w:line="560" w:lineRule="exact"/>
        <w:ind w:firstLine="560" w:firstLineChars="200"/>
        <w:rPr>
          <w:rFonts w:eastAsia="仿宋"/>
          <w:sz w:val="28"/>
          <w:szCs w:val="28"/>
        </w:rPr>
      </w:pPr>
      <w:r>
        <w:rPr>
          <w:rFonts w:hint="eastAsia" w:eastAsia="仿宋"/>
          <w:sz w:val="28"/>
          <w:szCs w:val="28"/>
        </w:rPr>
        <w:t>3</w:t>
      </w:r>
      <w:r>
        <w:rPr>
          <w:rFonts w:eastAsia="仿宋"/>
          <w:sz w:val="28"/>
          <w:szCs w:val="28"/>
        </w:rPr>
        <w:t>.本次权益分派实施后，公司将根据《广东天亿马信息产业股份有限公司2023年限制性股票激励计划》的相关规定，对第一类限制性股票的回购价格、第二类限制性股票的授予价格进行调整，并根据相关规定就上述调整事项履行审议程序并披露。</w:t>
      </w:r>
    </w:p>
    <w:p w14:paraId="22AA98AC">
      <w:pPr>
        <w:tabs>
          <w:tab w:val="left" w:pos="900"/>
        </w:tabs>
        <w:spacing w:line="560" w:lineRule="exact"/>
        <w:ind w:firstLine="560" w:firstLineChars="200"/>
        <w:rPr>
          <w:rFonts w:eastAsia="仿宋"/>
          <w:sz w:val="28"/>
          <w:szCs w:val="28"/>
        </w:rPr>
      </w:pPr>
      <w:r>
        <w:rPr>
          <w:rFonts w:hint="eastAsia" w:eastAsia="仿宋"/>
          <w:sz w:val="28"/>
          <w:szCs w:val="28"/>
        </w:rPr>
        <w:t>4</w:t>
      </w:r>
      <w:r>
        <w:rPr>
          <w:rFonts w:eastAsia="仿宋"/>
          <w:sz w:val="28"/>
          <w:szCs w:val="28"/>
        </w:rPr>
        <w:t>.本次权益分派实施后，公司将根据权益分派实施结果，就总股本变更进行章程修订并进行工商登记备案，并根据相关规定就该调整事项履行审议程序并披露。</w:t>
      </w:r>
    </w:p>
    <w:p w14:paraId="2A810899">
      <w:pPr>
        <w:tabs>
          <w:tab w:val="left" w:pos="900"/>
        </w:tabs>
        <w:spacing w:line="560" w:lineRule="exact"/>
        <w:ind w:firstLine="562" w:firstLineChars="200"/>
        <w:outlineLvl w:val="0"/>
        <w:rPr>
          <w:rFonts w:eastAsia="仿宋"/>
          <w:b/>
          <w:sz w:val="28"/>
          <w:szCs w:val="28"/>
        </w:rPr>
      </w:pPr>
      <w:r>
        <w:rPr>
          <w:rFonts w:eastAsia="仿宋"/>
          <w:b/>
          <w:sz w:val="28"/>
          <w:szCs w:val="28"/>
        </w:rPr>
        <w:t>九、有关咨询办法</w:t>
      </w:r>
    </w:p>
    <w:p w14:paraId="05CFFCA1">
      <w:pPr>
        <w:tabs>
          <w:tab w:val="left" w:pos="900"/>
        </w:tabs>
        <w:spacing w:line="560" w:lineRule="exact"/>
        <w:ind w:firstLine="560" w:firstLineChars="200"/>
        <w:rPr>
          <w:rFonts w:eastAsia="仿宋"/>
          <w:sz w:val="28"/>
          <w:szCs w:val="28"/>
        </w:rPr>
      </w:pPr>
      <w:r>
        <w:rPr>
          <w:rFonts w:eastAsia="仿宋"/>
          <w:sz w:val="28"/>
          <w:szCs w:val="28"/>
        </w:rPr>
        <w:t>咨询地址：广东省汕头市海滨路55号海逸投资大厦4楼</w:t>
      </w:r>
    </w:p>
    <w:p w14:paraId="69881F22">
      <w:pPr>
        <w:tabs>
          <w:tab w:val="left" w:pos="900"/>
        </w:tabs>
        <w:spacing w:line="560" w:lineRule="exact"/>
        <w:ind w:firstLine="560" w:firstLineChars="200"/>
        <w:rPr>
          <w:rFonts w:eastAsia="仿宋"/>
          <w:sz w:val="28"/>
          <w:szCs w:val="28"/>
        </w:rPr>
      </w:pPr>
      <w:r>
        <w:rPr>
          <w:rFonts w:eastAsia="仿宋"/>
          <w:sz w:val="28"/>
          <w:szCs w:val="28"/>
        </w:rPr>
        <w:t>咨询联系人：</w:t>
      </w:r>
      <w:r>
        <w:rPr>
          <w:rFonts w:hint="eastAsia" w:eastAsia="仿宋"/>
          <w:sz w:val="28"/>
          <w:szCs w:val="28"/>
        </w:rPr>
        <w:t>黄舒倩</w:t>
      </w:r>
    </w:p>
    <w:p w14:paraId="7727D6DF">
      <w:pPr>
        <w:tabs>
          <w:tab w:val="left" w:pos="900"/>
        </w:tabs>
        <w:spacing w:line="560" w:lineRule="exact"/>
        <w:ind w:firstLine="560" w:firstLineChars="200"/>
        <w:rPr>
          <w:rFonts w:eastAsia="仿宋"/>
          <w:sz w:val="28"/>
          <w:szCs w:val="28"/>
        </w:rPr>
      </w:pPr>
      <w:r>
        <w:rPr>
          <w:rFonts w:eastAsia="仿宋"/>
          <w:sz w:val="28"/>
          <w:szCs w:val="28"/>
        </w:rPr>
        <w:t>咨询电话：0755-8888 0666</w:t>
      </w:r>
    </w:p>
    <w:p w14:paraId="057821F7">
      <w:pPr>
        <w:tabs>
          <w:tab w:val="left" w:pos="900"/>
        </w:tabs>
        <w:spacing w:line="560" w:lineRule="exact"/>
        <w:ind w:firstLine="560" w:firstLineChars="200"/>
        <w:rPr>
          <w:rFonts w:eastAsia="仿宋"/>
          <w:sz w:val="28"/>
          <w:szCs w:val="28"/>
        </w:rPr>
      </w:pPr>
      <w:r>
        <w:rPr>
          <w:rFonts w:eastAsia="仿宋"/>
          <w:sz w:val="28"/>
          <w:szCs w:val="28"/>
        </w:rPr>
        <w:t>传真电话：0754-8898 3999</w:t>
      </w:r>
    </w:p>
    <w:p w14:paraId="475C83AA">
      <w:pPr>
        <w:tabs>
          <w:tab w:val="left" w:pos="900"/>
        </w:tabs>
        <w:spacing w:line="560" w:lineRule="exact"/>
        <w:ind w:firstLine="562" w:firstLineChars="200"/>
        <w:outlineLvl w:val="0"/>
        <w:rPr>
          <w:rFonts w:eastAsia="仿宋"/>
          <w:b/>
          <w:sz w:val="28"/>
          <w:szCs w:val="28"/>
        </w:rPr>
      </w:pPr>
      <w:r>
        <w:rPr>
          <w:rFonts w:eastAsia="仿宋"/>
          <w:b/>
          <w:sz w:val="28"/>
          <w:szCs w:val="28"/>
        </w:rPr>
        <w:t>十、备查文件</w:t>
      </w:r>
    </w:p>
    <w:p w14:paraId="5E2CE237">
      <w:pPr>
        <w:tabs>
          <w:tab w:val="left" w:pos="900"/>
        </w:tabs>
        <w:spacing w:line="560" w:lineRule="exact"/>
        <w:ind w:firstLine="560" w:firstLineChars="200"/>
        <w:rPr>
          <w:rFonts w:eastAsia="仿宋"/>
          <w:sz w:val="28"/>
          <w:szCs w:val="28"/>
        </w:rPr>
      </w:pPr>
      <w:r>
        <w:rPr>
          <w:rFonts w:eastAsia="仿宋"/>
          <w:sz w:val="28"/>
          <w:szCs w:val="28"/>
        </w:rPr>
        <w:t>1.《广东天亿马信息产业股份有限公司2025年度股东会决议》；</w:t>
      </w:r>
    </w:p>
    <w:p w14:paraId="3FE93072">
      <w:pPr>
        <w:tabs>
          <w:tab w:val="left" w:pos="900"/>
        </w:tabs>
        <w:spacing w:line="560" w:lineRule="exact"/>
        <w:ind w:firstLine="560" w:firstLineChars="200"/>
        <w:rPr>
          <w:rFonts w:eastAsia="仿宋"/>
          <w:sz w:val="28"/>
          <w:szCs w:val="28"/>
        </w:rPr>
      </w:pPr>
      <w:r>
        <w:rPr>
          <w:rFonts w:eastAsia="仿宋"/>
          <w:sz w:val="28"/>
          <w:szCs w:val="28"/>
        </w:rPr>
        <w:t>2.《广东天亿马信息产业股份有限公司第四届董事会第五次会议决议》；</w:t>
      </w:r>
    </w:p>
    <w:p w14:paraId="7F2E0BAF">
      <w:pPr>
        <w:tabs>
          <w:tab w:val="left" w:pos="900"/>
        </w:tabs>
        <w:spacing w:line="560" w:lineRule="exact"/>
        <w:ind w:firstLine="560" w:firstLineChars="200"/>
        <w:rPr>
          <w:rFonts w:eastAsia="仿宋"/>
          <w:sz w:val="28"/>
          <w:szCs w:val="28"/>
        </w:rPr>
      </w:pPr>
      <w:r>
        <w:rPr>
          <w:rFonts w:eastAsia="仿宋"/>
          <w:sz w:val="28"/>
          <w:szCs w:val="28"/>
        </w:rPr>
        <w:t>3.中国结算深圳分公司确认有关分红派息具体时间安排的文件；</w:t>
      </w:r>
    </w:p>
    <w:p w14:paraId="5542B819">
      <w:pPr>
        <w:tabs>
          <w:tab w:val="left" w:pos="900"/>
        </w:tabs>
        <w:spacing w:line="560" w:lineRule="exact"/>
        <w:ind w:firstLine="560" w:firstLineChars="200"/>
        <w:rPr>
          <w:rFonts w:eastAsia="仿宋"/>
          <w:sz w:val="28"/>
          <w:szCs w:val="28"/>
        </w:rPr>
      </w:pPr>
      <w:r>
        <w:rPr>
          <w:rFonts w:eastAsia="仿宋"/>
          <w:sz w:val="28"/>
          <w:szCs w:val="28"/>
        </w:rPr>
        <w:t>4.深圳证券交易所要求的其他文件。</w:t>
      </w:r>
    </w:p>
    <w:p w14:paraId="087F415B">
      <w:pPr>
        <w:tabs>
          <w:tab w:val="left" w:pos="900"/>
        </w:tabs>
        <w:spacing w:line="560" w:lineRule="exact"/>
        <w:ind w:firstLine="560" w:firstLineChars="200"/>
        <w:rPr>
          <w:rFonts w:eastAsia="仿宋"/>
          <w:sz w:val="28"/>
          <w:szCs w:val="28"/>
        </w:rPr>
      </w:pPr>
      <w:r>
        <w:rPr>
          <w:rFonts w:eastAsia="仿宋"/>
          <w:sz w:val="28"/>
          <w:szCs w:val="28"/>
        </w:rPr>
        <w:t>特此公告。</w:t>
      </w:r>
    </w:p>
    <w:p w14:paraId="024DFFFD">
      <w:pPr>
        <w:tabs>
          <w:tab w:val="left" w:pos="900"/>
        </w:tabs>
        <w:spacing w:line="560" w:lineRule="exact"/>
        <w:ind w:firstLine="560" w:firstLineChars="200"/>
        <w:jc w:val="right"/>
        <w:rPr>
          <w:rFonts w:eastAsia="仿宋"/>
          <w:sz w:val="28"/>
          <w:szCs w:val="28"/>
        </w:rPr>
      </w:pPr>
      <w:r>
        <w:rPr>
          <w:rFonts w:eastAsia="仿宋"/>
          <w:sz w:val="28"/>
          <w:szCs w:val="28"/>
        </w:rPr>
        <w:t>广东天亿马信息产业股份有限公司</w:t>
      </w:r>
    </w:p>
    <w:p w14:paraId="4D10630F">
      <w:pPr>
        <w:tabs>
          <w:tab w:val="left" w:pos="900"/>
        </w:tabs>
        <w:spacing w:line="560" w:lineRule="exact"/>
        <w:ind w:firstLine="560" w:firstLineChars="200"/>
        <w:jc w:val="right"/>
        <w:rPr>
          <w:rFonts w:eastAsia="仿宋"/>
          <w:sz w:val="28"/>
          <w:szCs w:val="28"/>
        </w:rPr>
      </w:pPr>
      <w:r>
        <w:rPr>
          <w:rFonts w:eastAsia="仿宋"/>
          <w:sz w:val="28"/>
          <w:szCs w:val="28"/>
        </w:rPr>
        <w:t>董事会</w:t>
      </w:r>
    </w:p>
    <w:p w14:paraId="078F3F6D">
      <w:pPr>
        <w:tabs>
          <w:tab w:val="left" w:pos="900"/>
        </w:tabs>
        <w:spacing w:line="560" w:lineRule="exact"/>
        <w:ind w:firstLine="560" w:firstLineChars="200"/>
        <w:jc w:val="right"/>
        <w:rPr>
          <w:rFonts w:eastAsia="仿宋"/>
          <w:sz w:val="28"/>
          <w:szCs w:val="28"/>
        </w:rPr>
      </w:pPr>
      <w:r>
        <w:rPr>
          <w:rFonts w:eastAsia="仿宋"/>
          <w:sz w:val="28"/>
          <w:szCs w:val="28"/>
        </w:rPr>
        <w:t>2026年</w:t>
      </w:r>
      <w:r>
        <w:rPr>
          <w:rFonts w:hint="eastAsia" w:eastAsia="仿宋"/>
          <w:sz w:val="28"/>
          <w:szCs w:val="28"/>
        </w:rPr>
        <w:t>6</w:t>
      </w:r>
      <w:r>
        <w:rPr>
          <w:rFonts w:eastAsia="仿宋"/>
          <w:sz w:val="28"/>
          <w:szCs w:val="28"/>
        </w:rPr>
        <w:t>月</w:t>
      </w:r>
      <w:r>
        <w:rPr>
          <w:rFonts w:hint="eastAsia" w:eastAsia="仿宋"/>
          <w:sz w:val="28"/>
          <w:szCs w:val="28"/>
        </w:rPr>
        <w:t>10</w:t>
      </w:r>
      <w:r>
        <w:rPr>
          <w:rFonts w:eastAsia="仿宋"/>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35B"/>
    <w:rsid w:val="00003F6E"/>
    <w:rsid w:val="0000628B"/>
    <w:rsid w:val="00006DBE"/>
    <w:rsid w:val="000079D3"/>
    <w:rsid w:val="00011624"/>
    <w:rsid w:val="0001221A"/>
    <w:rsid w:val="000125C1"/>
    <w:rsid w:val="0001271E"/>
    <w:rsid w:val="00016308"/>
    <w:rsid w:val="00016B10"/>
    <w:rsid w:val="000202D4"/>
    <w:rsid w:val="000261EF"/>
    <w:rsid w:val="000447BD"/>
    <w:rsid w:val="00045FA6"/>
    <w:rsid w:val="00050784"/>
    <w:rsid w:val="00065B76"/>
    <w:rsid w:val="0006641D"/>
    <w:rsid w:val="0007012A"/>
    <w:rsid w:val="000704CD"/>
    <w:rsid w:val="00070FE1"/>
    <w:rsid w:val="00077857"/>
    <w:rsid w:val="000809C1"/>
    <w:rsid w:val="000850D2"/>
    <w:rsid w:val="00087AE6"/>
    <w:rsid w:val="000A66C2"/>
    <w:rsid w:val="000B0C3D"/>
    <w:rsid w:val="000B4FBA"/>
    <w:rsid w:val="000B5EC2"/>
    <w:rsid w:val="000B7A67"/>
    <w:rsid w:val="000C4E94"/>
    <w:rsid w:val="000D085F"/>
    <w:rsid w:val="000D3958"/>
    <w:rsid w:val="000D7A17"/>
    <w:rsid w:val="000F34F9"/>
    <w:rsid w:val="000F3D3E"/>
    <w:rsid w:val="000F79ED"/>
    <w:rsid w:val="00100699"/>
    <w:rsid w:val="00102B03"/>
    <w:rsid w:val="0011048D"/>
    <w:rsid w:val="001125ED"/>
    <w:rsid w:val="00121611"/>
    <w:rsid w:val="00124E07"/>
    <w:rsid w:val="0013712A"/>
    <w:rsid w:val="00146ED7"/>
    <w:rsid w:val="00150E72"/>
    <w:rsid w:val="001518CC"/>
    <w:rsid w:val="00166027"/>
    <w:rsid w:val="00166613"/>
    <w:rsid w:val="00167C6F"/>
    <w:rsid w:val="001804D1"/>
    <w:rsid w:val="001844B4"/>
    <w:rsid w:val="00193C4A"/>
    <w:rsid w:val="00195576"/>
    <w:rsid w:val="00195F00"/>
    <w:rsid w:val="001A0A40"/>
    <w:rsid w:val="001B584E"/>
    <w:rsid w:val="001C2636"/>
    <w:rsid w:val="001C3B6A"/>
    <w:rsid w:val="001D2C81"/>
    <w:rsid w:val="001F2542"/>
    <w:rsid w:val="001F55DC"/>
    <w:rsid w:val="00201668"/>
    <w:rsid w:val="00210B88"/>
    <w:rsid w:val="00215C84"/>
    <w:rsid w:val="002206B5"/>
    <w:rsid w:val="00230137"/>
    <w:rsid w:val="00236099"/>
    <w:rsid w:val="002375D6"/>
    <w:rsid w:val="002401DC"/>
    <w:rsid w:val="00252870"/>
    <w:rsid w:val="00262946"/>
    <w:rsid w:val="00264198"/>
    <w:rsid w:val="002646C8"/>
    <w:rsid w:val="002752AD"/>
    <w:rsid w:val="0027635B"/>
    <w:rsid w:val="00281F86"/>
    <w:rsid w:val="00290537"/>
    <w:rsid w:val="002957BE"/>
    <w:rsid w:val="0029773B"/>
    <w:rsid w:val="002A625F"/>
    <w:rsid w:val="002A7FE3"/>
    <w:rsid w:val="002B571C"/>
    <w:rsid w:val="002B6217"/>
    <w:rsid w:val="002C3501"/>
    <w:rsid w:val="002D5747"/>
    <w:rsid w:val="002D5BFE"/>
    <w:rsid w:val="002D63ED"/>
    <w:rsid w:val="002D79E7"/>
    <w:rsid w:val="002F11B5"/>
    <w:rsid w:val="002F513A"/>
    <w:rsid w:val="00322F85"/>
    <w:rsid w:val="00325312"/>
    <w:rsid w:val="00334AA8"/>
    <w:rsid w:val="0034301E"/>
    <w:rsid w:val="00346A70"/>
    <w:rsid w:val="003504D7"/>
    <w:rsid w:val="00354AC9"/>
    <w:rsid w:val="003565CD"/>
    <w:rsid w:val="00362785"/>
    <w:rsid w:val="00364698"/>
    <w:rsid w:val="0037127C"/>
    <w:rsid w:val="00384A7F"/>
    <w:rsid w:val="00386EAC"/>
    <w:rsid w:val="00391735"/>
    <w:rsid w:val="003965D7"/>
    <w:rsid w:val="003967DC"/>
    <w:rsid w:val="00397472"/>
    <w:rsid w:val="003A56D1"/>
    <w:rsid w:val="003A5891"/>
    <w:rsid w:val="003A6B71"/>
    <w:rsid w:val="003B1A68"/>
    <w:rsid w:val="003C0C05"/>
    <w:rsid w:val="003C50F6"/>
    <w:rsid w:val="003D078E"/>
    <w:rsid w:val="003E2AB8"/>
    <w:rsid w:val="003E3995"/>
    <w:rsid w:val="003F02E3"/>
    <w:rsid w:val="00404972"/>
    <w:rsid w:val="00406A90"/>
    <w:rsid w:val="00412966"/>
    <w:rsid w:val="00414642"/>
    <w:rsid w:val="00417D09"/>
    <w:rsid w:val="00421C1E"/>
    <w:rsid w:val="00426161"/>
    <w:rsid w:val="00426DE0"/>
    <w:rsid w:val="00430227"/>
    <w:rsid w:val="004302D0"/>
    <w:rsid w:val="004315A7"/>
    <w:rsid w:val="004343CF"/>
    <w:rsid w:val="00442160"/>
    <w:rsid w:val="00442C2D"/>
    <w:rsid w:val="0044367B"/>
    <w:rsid w:val="0044643E"/>
    <w:rsid w:val="0045231C"/>
    <w:rsid w:val="00452EC9"/>
    <w:rsid w:val="004545F8"/>
    <w:rsid w:val="00454AF5"/>
    <w:rsid w:val="00455234"/>
    <w:rsid w:val="00460572"/>
    <w:rsid w:val="00471BB5"/>
    <w:rsid w:val="00472017"/>
    <w:rsid w:val="0048235D"/>
    <w:rsid w:val="004A5493"/>
    <w:rsid w:val="004B4289"/>
    <w:rsid w:val="004D2065"/>
    <w:rsid w:val="004D4DD9"/>
    <w:rsid w:val="004E0DC8"/>
    <w:rsid w:val="004E388C"/>
    <w:rsid w:val="004E7BB8"/>
    <w:rsid w:val="004F405B"/>
    <w:rsid w:val="005028DB"/>
    <w:rsid w:val="00510CE3"/>
    <w:rsid w:val="0051165C"/>
    <w:rsid w:val="0051334E"/>
    <w:rsid w:val="00517042"/>
    <w:rsid w:val="00517AE8"/>
    <w:rsid w:val="005201C2"/>
    <w:rsid w:val="00521CF0"/>
    <w:rsid w:val="00524786"/>
    <w:rsid w:val="00525AB0"/>
    <w:rsid w:val="005265ED"/>
    <w:rsid w:val="00530F66"/>
    <w:rsid w:val="005336BE"/>
    <w:rsid w:val="00535ADB"/>
    <w:rsid w:val="0054292F"/>
    <w:rsid w:val="0056027A"/>
    <w:rsid w:val="00562FBD"/>
    <w:rsid w:val="00563BA8"/>
    <w:rsid w:val="00574001"/>
    <w:rsid w:val="0058249A"/>
    <w:rsid w:val="005905EE"/>
    <w:rsid w:val="00592130"/>
    <w:rsid w:val="005921BA"/>
    <w:rsid w:val="00594506"/>
    <w:rsid w:val="005A247A"/>
    <w:rsid w:val="005B5193"/>
    <w:rsid w:val="005C0137"/>
    <w:rsid w:val="005C08D4"/>
    <w:rsid w:val="005C1174"/>
    <w:rsid w:val="005D02E3"/>
    <w:rsid w:val="005D158F"/>
    <w:rsid w:val="005D1FAB"/>
    <w:rsid w:val="00600B58"/>
    <w:rsid w:val="0060147B"/>
    <w:rsid w:val="006104E4"/>
    <w:rsid w:val="00613194"/>
    <w:rsid w:val="00615640"/>
    <w:rsid w:val="00615686"/>
    <w:rsid w:val="006204A9"/>
    <w:rsid w:val="006219B7"/>
    <w:rsid w:val="00626E7D"/>
    <w:rsid w:val="00636E31"/>
    <w:rsid w:val="00637369"/>
    <w:rsid w:val="00642412"/>
    <w:rsid w:val="0065369E"/>
    <w:rsid w:val="006546D3"/>
    <w:rsid w:val="00662958"/>
    <w:rsid w:val="00662A4D"/>
    <w:rsid w:val="00673094"/>
    <w:rsid w:val="006834E4"/>
    <w:rsid w:val="00683924"/>
    <w:rsid w:val="0068677F"/>
    <w:rsid w:val="00691C06"/>
    <w:rsid w:val="00692459"/>
    <w:rsid w:val="006A1AFA"/>
    <w:rsid w:val="006B3F8D"/>
    <w:rsid w:val="006B41EE"/>
    <w:rsid w:val="006C0710"/>
    <w:rsid w:val="006C7DBF"/>
    <w:rsid w:val="006D1E6C"/>
    <w:rsid w:val="006D46ED"/>
    <w:rsid w:val="006E2C5A"/>
    <w:rsid w:val="006E419C"/>
    <w:rsid w:val="006E6093"/>
    <w:rsid w:val="006E623C"/>
    <w:rsid w:val="006F096E"/>
    <w:rsid w:val="006F3D50"/>
    <w:rsid w:val="006F473B"/>
    <w:rsid w:val="006F70BB"/>
    <w:rsid w:val="0070670D"/>
    <w:rsid w:val="00714817"/>
    <w:rsid w:val="00720718"/>
    <w:rsid w:val="0072314F"/>
    <w:rsid w:val="00724327"/>
    <w:rsid w:val="0073124E"/>
    <w:rsid w:val="00742768"/>
    <w:rsid w:val="0074480C"/>
    <w:rsid w:val="007507DD"/>
    <w:rsid w:val="0075254F"/>
    <w:rsid w:val="00762EAA"/>
    <w:rsid w:val="0077119E"/>
    <w:rsid w:val="007740E5"/>
    <w:rsid w:val="0077679F"/>
    <w:rsid w:val="00777ED8"/>
    <w:rsid w:val="0078181A"/>
    <w:rsid w:val="007869DB"/>
    <w:rsid w:val="007962C4"/>
    <w:rsid w:val="00797DCB"/>
    <w:rsid w:val="007A02EC"/>
    <w:rsid w:val="007A0EF0"/>
    <w:rsid w:val="007A649D"/>
    <w:rsid w:val="007A6E76"/>
    <w:rsid w:val="007A7977"/>
    <w:rsid w:val="007B0453"/>
    <w:rsid w:val="007B1568"/>
    <w:rsid w:val="007B1A9F"/>
    <w:rsid w:val="007B6931"/>
    <w:rsid w:val="007F2127"/>
    <w:rsid w:val="00815721"/>
    <w:rsid w:val="00831C77"/>
    <w:rsid w:val="00837537"/>
    <w:rsid w:val="00840670"/>
    <w:rsid w:val="00843BA1"/>
    <w:rsid w:val="00844DCC"/>
    <w:rsid w:val="00850E73"/>
    <w:rsid w:val="00852A8B"/>
    <w:rsid w:val="00862416"/>
    <w:rsid w:val="00875B01"/>
    <w:rsid w:val="008867A2"/>
    <w:rsid w:val="008963B8"/>
    <w:rsid w:val="008B266D"/>
    <w:rsid w:val="008B54C8"/>
    <w:rsid w:val="008C091A"/>
    <w:rsid w:val="008C231E"/>
    <w:rsid w:val="008C3361"/>
    <w:rsid w:val="008C33A7"/>
    <w:rsid w:val="008D3366"/>
    <w:rsid w:val="008D63E0"/>
    <w:rsid w:val="008D7569"/>
    <w:rsid w:val="008D782F"/>
    <w:rsid w:val="008E7C96"/>
    <w:rsid w:val="00900564"/>
    <w:rsid w:val="0091085C"/>
    <w:rsid w:val="00916398"/>
    <w:rsid w:val="00916F2C"/>
    <w:rsid w:val="009248CB"/>
    <w:rsid w:val="00930743"/>
    <w:rsid w:val="009333AC"/>
    <w:rsid w:val="00937419"/>
    <w:rsid w:val="009449AD"/>
    <w:rsid w:val="00951548"/>
    <w:rsid w:val="00952028"/>
    <w:rsid w:val="00954921"/>
    <w:rsid w:val="00963DA8"/>
    <w:rsid w:val="0096556C"/>
    <w:rsid w:val="0097229E"/>
    <w:rsid w:val="00973BFE"/>
    <w:rsid w:val="00984A37"/>
    <w:rsid w:val="00991FF3"/>
    <w:rsid w:val="00994CD2"/>
    <w:rsid w:val="009A026C"/>
    <w:rsid w:val="009A67B7"/>
    <w:rsid w:val="009B094D"/>
    <w:rsid w:val="009B26F2"/>
    <w:rsid w:val="009B4014"/>
    <w:rsid w:val="009B7803"/>
    <w:rsid w:val="009D0A53"/>
    <w:rsid w:val="009D2493"/>
    <w:rsid w:val="009D3FE7"/>
    <w:rsid w:val="009D79AE"/>
    <w:rsid w:val="009E2CDC"/>
    <w:rsid w:val="009E72B6"/>
    <w:rsid w:val="009F08BD"/>
    <w:rsid w:val="009F1B06"/>
    <w:rsid w:val="009F207F"/>
    <w:rsid w:val="00A00CE3"/>
    <w:rsid w:val="00A11518"/>
    <w:rsid w:val="00A11BD1"/>
    <w:rsid w:val="00A13F00"/>
    <w:rsid w:val="00A17507"/>
    <w:rsid w:val="00A24B27"/>
    <w:rsid w:val="00A41BE9"/>
    <w:rsid w:val="00A43F8D"/>
    <w:rsid w:val="00A44C64"/>
    <w:rsid w:val="00A54AB3"/>
    <w:rsid w:val="00A6102A"/>
    <w:rsid w:val="00A62C59"/>
    <w:rsid w:val="00A724CC"/>
    <w:rsid w:val="00A748CD"/>
    <w:rsid w:val="00A76492"/>
    <w:rsid w:val="00A81334"/>
    <w:rsid w:val="00A82E83"/>
    <w:rsid w:val="00A83F3A"/>
    <w:rsid w:val="00A916FC"/>
    <w:rsid w:val="00A92A8F"/>
    <w:rsid w:val="00A94829"/>
    <w:rsid w:val="00A94AE4"/>
    <w:rsid w:val="00A96A26"/>
    <w:rsid w:val="00A97487"/>
    <w:rsid w:val="00AA3212"/>
    <w:rsid w:val="00AA3790"/>
    <w:rsid w:val="00AB4734"/>
    <w:rsid w:val="00AB47C6"/>
    <w:rsid w:val="00AC6FC6"/>
    <w:rsid w:val="00AD0FE8"/>
    <w:rsid w:val="00AD6333"/>
    <w:rsid w:val="00AE508F"/>
    <w:rsid w:val="00AF1F17"/>
    <w:rsid w:val="00AF7222"/>
    <w:rsid w:val="00AF72BA"/>
    <w:rsid w:val="00AF7AF7"/>
    <w:rsid w:val="00B12DF2"/>
    <w:rsid w:val="00B12FF2"/>
    <w:rsid w:val="00B26E94"/>
    <w:rsid w:val="00B32551"/>
    <w:rsid w:val="00B45ECD"/>
    <w:rsid w:val="00B54F6A"/>
    <w:rsid w:val="00B60449"/>
    <w:rsid w:val="00B623C0"/>
    <w:rsid w:val="00B62454"/>
    <w:rsid w:val="00B63809"/>
    <w:rsid w:val="00B70A42"/>
    <w:rsid w:val="00B730D0"/>
    <w:rsid w:val="00B73FFE"/>
    <w:rsid w:val="00B777CD"/>
    <w:rsid w:val="00B83D5A"/>
    <w:rsid w:val="00B93977"/>
    <w:rsid w:val="00B93F40"/>
    <w:rsid w:val="00B95D3A"/>
    <w:rsid w:val="00B97F10"/>
    <w:rsid w:val="00BA12AE"/>
    <w:rsid w:val="00BA1E38"/>
    <w:rsid w:val="00BA70C7"/>
    <w:rsid w:val="00BB49C3"/>
    <w:rsid w:val="00BC292D"/>
    <w:rsid w:val="00BC3F14"/>
    <w:rsid w:val="00BC4C6E"/>
    <w:rsid w:val="00BC5CCC"/>
    <w:rsid w:val="00BD4CC5"/>
    <w:rsid w:val="00BF243C"/>
    <w:rsid w:val="00C04E66"/>
    <w:rsid w:val="00C07ACE"/>
    <w:rsid w:val="00C11151"/>
    <w:rsid w:val="00C155AB"/>
    <w:rsid w:val="00C20AA2"/>
    <w:rsid w:val="00C241A1"/>
    <w:rsid w:val="00C24202"/>
    <w:rsid w:val="00C27047"/>
    <w:rsid w:val="00C300AA"/>
    <w:rsid w:val="00C321FA"/>
    <w:rsid w:val="00C36E32"/>
    <w:rsid w:val="00C43AE4"/>
    <w:rsid w:val="00C56758"/>
    <w:rsid w:val="00C718E1"/>
    <w:rsid w:val="00C74F16"/>
    <w:rsid w:val="00C925DA"/>
    <w:rsid w:val="00C978B7"/>
    <w:rsid w:val="00C97E66"/>
    <w:rsid w:val="00CA4E5E"/>
    <w:rsid w:val="00CB1E90"/>
    <w:rsid w:val="00CC0526"/>
    <w:rsid w:val="00CC1632"/>
    <w:rsid w:val="00CC1A6D"/>
    <w:rsid w:val="00CC28F4"/>
    <w:rsid w:val="00CC4BE4"/>
    <w:rsid w:val="00CC724F"/>
    <w:rsid w:val="00CE1E86"/>
    <w:rsid w:val="00CF63B9"/>
    <w:rsid w:val="00CF7AA5"/>
    <w:rsid w:val="00D042DA"/>
    <w:rsid w:val="00D266A0"/>
    <w:rsid w:val="00D34B17"/>
    <w:rsid w:val="00D429D8"/>
    <w:rsid w:val="00D43850"/>
    <w:rsid w:val="00D45DE4"/>
    <w:rsid w:val="00D46F7E"/>
    <w:rsid w:val="00D53E31"/>
    <w:rsid w:val="00D5668E"/>
    <w:rsid w:val="00D633A5"/>
    <w:rsid w:val="00D643F7"/>
    <w:rsid w:val="00D661D1"/>
    <w:rsid w:val="00D7678D"/>
    <w:rsid w:val="00D82CBD"/>
    <w:rsid w:val="00D85411"/>
    <w:rsid w:val="00D91192"/>
    <w:rsid w:val="00D9147A"/>
    <w:rsid w:val="00DA2FB8"/>
    <w:rsid w:val="00DC04E0"/>
    <w:rsid w:val="00DC0500"/>
    <w:rsid w:val="00DD27F1"/>
    <w:rsid w:val="00DD2A28"/>
    <w:rsid w:val="00DD4F9A"/>
    <w:rsid w:val="00DE4C34"/>
    <w:rsid w:val="00DE628C"/>
    <w:rsid w:val="00DF1A0F"/>
    <w:rsid w:val="00E01B33"/>
    <w:rsid w:val="00E035A6"/>
    <w:rsid w:val="00E044FF"/>
    <w:rsid w:val="00E1283C"/>
    <w:rsid w:val="00E1439A"/>
    <w:rsid w:val="00E178DC"/>
    <w:rsid w:val="00E2028B"/>
    <w:rsid w:val="00E2099D"/>
    <w:rsid w:val="00E22AEA"/>
    <w:rsid w:val="00E249FB"/>
    <w:rsid w:val="00E3220E"/>
    <w:rsid w:val="00E35615"/>
    <w:rsid w:val="00E54989"/>
    <w:rsid w:val="00E60D06"/>
    <w:rsid w:val="00E611F2"/>
    <w:rsid w:val="00E73A78"/>
    <w:rsid w:val="00E8294C"/>
    <w:rsid w:val="00E83F66"/>
    <w:rsid w:val="00E92219"/>
    <w:rsid w:val="00E977F4"/>
    <w:rsid w:val="00EA1CFE"/>
    <w:rsid w:val="00EB620A"/>
    <w:rsid w:val="00EB7847"/>
    <w:rsid w:val="00EC3C3B"/>
    <w:rsid w:val="00EC7714"/>
    <w:rsid w:val="00EC7B25"/>
    <w:rsid w:val="00ED3C6F"/>
    <w:rsid w:val="00EE1816"/>
    <w:rsid w:val="00EE2D1B"/>
    <w:rsid w:val="00EE5F49"/>
    <w:rsid w:val="00EE6833"/>
    <w:rsid w:val="00EF6166"/>
    <w:rsid w:val="00F03542"/>
    <w:rsid w:val="00F06730"/>
    <w:rsid w:val="00F13EA6"/>
    <w:rsid w:val="00F15099"/>
    <w:rsid w:val="00F3590D"/>
    <w:rsid w:val="00F46469"/>
    <w:rsid w:val="00F46B66"/>
    <w:rsid w:val="00F76B92"/>
    <w:rsid w:val="00F915BE"/>
    <w:rsid w:val="00FA1653"/>
    <w:rsid w:val="00FB288E"/>
    <w:rsid w:val="00FC2EF0"/>
    <w:rsid w:val="00FC56CD"/>
    <w:rsid w:val="00FD02C2"/>
    <w:rsid w:val="00FD393A"/>
    <w:rsid w:val="00FD3FB7"/>
    <w:rsid w:val="00FD4F8A"/>
    <w:rsid w:val="00FD4FB3"/>
    <w:rsid w:val="00FE04B3"/>
    <w:rsid w:val="00FE182A"/>
    <w:rsid w:val="00FE766D"/>
    <w:rsid w:val="00FF489A"/>
    <w:rsid w:val="0CC10F0D"/>
    <w:rsid w:val="2B7D3C27"/>
    <w:rsid w:val="32BC3287"/>
    <w:rsid w:val="397228F1"/>
    <w:rsid w:val="3BE4213F"/>
    <w:rsid w:val="410F6713"/>
    <w:rsid w:val="48221986"/>
    <w:rsid w:val="4D4A4497"/>
    <w:rsid w:val="51134562"/>
    <w:rsid w:val="55C71224"/>
    <w:rsid w:val="5B48289B"/>
    <w:rsid w:val="5E457D25"/>
    <w:rsid w:val="60824919"/>
    <w:rsid w:val="64356146"/>
    <w:rsid w:val="661C05BA"/>
    <w:rsid w:val="692F601B"/>
    <w:rsid w:val="71641A7C"/>
    <w:rsid w:val="71BD515E"/>
    <w:rsid w:val="73410663"/>
    <w:rsid w:val="73770529"/>
    <w:rsid w:val="740C7A72"/>
    <w:rsid w:val="79AA6215"/>
    <w:rsid w:val="7E2C5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elations xmlns="http://www.yonyou.com/relation"/>
</file>

<file path=customXml/item2.xml><?xml version="1.0" encoding="utf-8"?>
<dataSourceCollection xmlns="http://www.yonyou.com/datasource"/>
</file>

<file path=customXml/itemProps1.xml><?xml version="1.0" encoding="utf-8"?>
<ds:datastoreItem xmlns:ds="http://schemas.openxmlformats.org/officeDocument/2006/customXml" ds:itemID="{E117F6EB-044C-4353-8144-877CA592DD9E}">
  <ds:schemaRefs/>
</ds:datastoreItem>
</file>

<file path=customXml/itemProps2.xml><?xml version="1.0" encoding="utf-8"?>
<ds:datastoreItem xmlns:ds="http://schemas.openxmlformats.org/officeDocument/2006/customXml" ds:itemID="{76D6358A-9D9C-4D4C-9F7F-A4B83E86026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2658</Words>
  <Characters>3317</Characters>
  <Lines>23</Lines>
  <Paragraphs>6</Paragraphs>
  <TotalTime>102</TotalTime>
  <ScaleCrop>false</ScaleCrop>
  <LinksUpToDate>false</LinksUpToDate>
  <CharactersWithSpaces>3327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2022-05-25T02:53:00Z</dcterms:created>
  <dc:creator>hsq</dc:creator>
  <cp:lastModifiedBy>黄舒倩</cp:lastModifiedBy>
  <cp:lastPrinted>2022-05-30T03:06:00Z</cp:lastPrinted>
  <dcterms:modified xsi:type="dcterms:W3CDTF">2026-06-09T09:30:47Z</dcterms:modified>
  <cp:revision>447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eyJoZGlkIjoiYjc3NTVmODk5OWI4YTU0YmU5MTlhYzJjMjBkNzFlNmEiLCJ1c2VySWQiOiIyNDMwNTgyMjAifQ==</vt:lpwstr>
  </property>
  <property fmtid="{D5CDD505-2E9C-101B-9397-08002B2CF9AE}" pid="3" name="KSOProductBuildVer">
    <vt:lpwstr>2052-12.1.0.26895</vt:lpwstr>
  </property>
  <property fmtid="{D5CDD505-2E9C-101B-9397-08002B2CF9AE}" pid="4" name="ICV">
    <vt:lpwstr>37737C4AC1B34D46AB562D8BBC55FD9B_13</vt:lpwstr>
  </property>
</Properties>
</file>