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9E9A54">
      <w:pPr>
        <w:autoSpaceDE w:val="0"/>
        <w:autoSpaceDN w:val="0"/>
        <w:adjustRightInd w:val="0"/>
        <w:spacing w:line="360" w:lineRule="auto"/>
        <w:jc w:val="left"/>
        <w:rPr>
          <w:rFonts w:hint="default" w:ascii="仿宋" w:hAnsi="仿宋" w:eastAsia="仿宋"/>
          <w:color w:val="000000"/>
          <w:sz w:val="28"/>
          <w:highlight w:val="none"/>
          <w:lang w:val="en-US" w:eastAsia="zh-CN"/>
        </w:rPr>
      </w:pPr>
      <w:r>
        <w:rPr>
          <w:rFonts w:hint="eastAsia" w:ascii="仿宋" w:hAnsi="仿宋" w:eastAsia="仿宋"/>
          <w:color w:val="000000"/>
          <w:sz w:val="28"/>
          <w:highlight w:val="none"/>
        </w:rPr>
        <w:t>证券代码：301178     证券简称：天亿马    公告编号：2026-0</w:t>
      </w:r>
      <w:r>
        <w:rPr>
          <w:rFonts w:hint="eastAsia" w:ascii="仿宋" w:hAnsi="仿宋" w:eastAsia="仿宋"/>
          <w:color w:val="000000"/>
          <w:sz w:val="28"/>
          <w:highlight w:val="none"/>
          <w:lang w:val="en-US" w:eastAsia="zh-CN"/>
        </w:rPr>
        <w:t>33</w:t>
      </w:r>
    </w:p>
    <w:p w14:paraId="567A7472">
      <w:pPr>
        <w:spacing w:line="360" w:lineRule="auto"/>
        <w:ind w:firstLine="720"/>
        <w:jc w:val="center"/>
        <w:rPr>
          <w:rFonts w:ascii="黑体" w:hAnsi="黑体" w:eastAsia="黑体"/>
          <w:sz w:val="36"/>
          <w:szCs w:val="36"/>
          <w:highlight w:val="none"/>
        </w:rPr>
      </w:pPr>
      <w:r>
        <w:rPr>
          <w:rFonts w:hint="eastAsia" w:ascii="黑体" w:hAnsi="黑体" w:eastAsia="黑体"/>
          <w:sz w:val="36"/>
          <w:szCs w:val="36"/>
          <w:highlight w:val="none"/>
        </w:rPr>
        <w:t>广东天亿马信息产业股份有限公司</w:t>
      </w:r>
    </w:p>
    <w:p w14:paraId="3E8DF45E">
      <w:pPr>
        <w:widowControl/>
        <w:ind w:firstLine="720"/>
        <w:jc w:val="center"/>
        <w:rPr>
          <w:rFonts w:ascii="黑体" w:hAnsi="黑体" w:eastAsia="黑体"/>
          <w:sz w:val="36"/>
          <w:szCs w:val="36"/>
          <w:highlight w:val="none"/>
        </w:rPr>
      </w:pPr>
      <w:r>
        <w:rPr>
          <w:rFonts w:ascii="黑体" w:hAnsi="宋体" w:eastAsia="黑体" w:cs="黑体"/>
          <w:color w:val="000000"/>
          <w:kern w:val="0"/>
          <w:sz w:val="36"/>
          <w:szCs w:val="36"/>
          <w:highlight w:val="none"/>
          <w:lang w:bidi="ar"/>
        </w:rPr>
        <w:t>关于</w:t>
      </w:r>
      <w:r>
        <w:rPr>
          <w:rFonts w:hint="eastAsia" w:ascii="黑体" w:hAnsi="宋体" w:eastAsia="黑体" w:cs="黑体"/>
          <w:color w:val="000000"/>
          <w:kern w:val="0"/>
          <w:sz w:val="36"/>
          <w:szCs w:val="36"/>
          <w:highlight w:val="none"/>
          <w:lang w:bidi="ar"/>
        </w:rPr>
        <w:t>使用</w:t>
      </w:r>
      <w:r>
        <w:rPr>
          <w:rFonts w:ascii="黑体" w:hAnsi="宋体" w:eastAsia="黑体" w:cs="黑体"/>
          <w:color w:val="000000"/>
          <w:kern w:val="0"/>
          <w:sz w:val="36"/>
          <w:szCs w:val="36"/>
          <w:highlight w:val="none"/>
          <w:lang w:bidi="ar"/>
        </w:rPr>
        <w:t>部分募集资金（含超募资金）</w:t>
      </w:r>
      <w:r>
        <w:rPr>
          <w:rFonts w:hint="eastAsia" w:ascii="黑体" w:hAnsi="宋体" w:eastAsia="黑体" w:cs="黑体"/>
          <w:color w:val="000000"/>
          <w:kern w:val="0"/>
          <w:sz w:val="36"/>
          <w:szCs w:val="36"/>
          <w:highlight w:val="none"/>
          <w:lang w:bidi="ar"/>
        </w:rPr>
        <w:t>进行现金管理及到期赎回的进展公告</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49389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jc w:val="center"/>
        </w:trPr>
        <w:tc>
          <w:tcPr>
            <w:tcW w:w="8522" w:type="dxa"/>
            <w:tcBorders>
              <w:top w:val="single" w:color="auto" w:sz="4" w:space="0"/>
              <w:left w:val="single" w:color="auto" w:sz="4" w:space="0"/>
              <w:bottom w:val="single" w:color="auto" w:sz="4" w:space="0"/>
              <w:right w:val="single" w:color="auto" w:sz="4" w:space="0"/>
            </w:tcBorders>
          </w:tcPr>
          <w:p w14:paraId="5C4B34AA">
            <w:pPr>
              <w:widowControl/>
              <w:spacing w:line="440" w:lineRule="exact"/>
              <w:ind w:firstLine="560" w:firstLineChars="200"/>
              <w:rPr>
                <w:rFonts w:ascii="楷体" w:hAnsi="楷体" w:eastAsia="楷体" w:cs="宋体"/>
                <w:color w:val="000000"/>
                <w:kern w:val="0"/>
                <w:sz w:val="28"/>
                <w:highlight w:val="none"/>
              </w:rPr>
            </w:pPr>
            <w:r>
              <w:rPr>
                <w:rFonts w:hint="eastAsia" w:ascii="楷体" w:hAnsi="楷体" w:eastAsia="楷体" w:cs="宋体"/>
                <w:color w:val="000000"/>
                <w:kern w:val="0"/>
                <w:sz w:val="28"/>
                <w:highlight w:val="none"/>
              </w:rPr>
              <w:t>本公司及董事会全体成员保证信息披露内容的真实、准确和完整，没有虚假记载、误导性陈述或重大遗漏。</w:t>
            </w:r>
          </w:p>
        </w:tc>
      </w:tr>
    </w:tbl>
    <w:p w14:paraId="02392CD4">
      <w:pPr>
        <w:rPr>
          <w:highlight w:val="none"/>
        </w:rPr>
      </w:pPr>
    </w:p>
    <w:p w14:paraId="6971B778">
      <w:pPr>
        <w:spacing w:line="360" w:lineRule="auto"/>
        <w:ind w:firstLine="560" w:firstLineChars="200"/>
        <w:jc w:val="left"/>
        <w:rPr>
          <w:rFonts w:ascii="仿宋" w:hAnsi="仿宋" w:eastAsia="仿宋"/>
          <w:bCs/>
          <w:color w:val="000000"/>
          <w:sz w:val="28"/>
          <w:highlight w:val="none"/>
        </w:rPr>
      </w:pPr>
      <w:r>
        <w:rPr>
          <w:rFonts w:hint="eastAsia" w:ascii="仿宋" w:hAnsi="仿宋" w:eastAsia="仿宋"/>
          <w:bCs/>
          <w:color w:val="000000"/>
          <w:sz w:val="28"/>
          <w:highlight w:val="none"/>
        </w:rPr>
        <w:t>广东天亿马信息产业股份有限公司（以下简称“公司”“天亿马”）</w:t>
      </w:r>
      <w:r>
        <w:rPr>
          <w:rFonts w:hint="eastAsia" w:ascii="仿宋" w:hAnsi="仿宋" w:eastAsia="仿宋"/>
          <w:sz w:val="28"/>
          <w:szCs w:val="28"/>
          <w:highlight w:val="none"/>
        </w:rPr>
        <w:t>于2026年2月13日召开第四届董事会第四次会议、第四届董事会审计委员会第五次会议</w:t>
      </w:r>
      <w:r>
        <w:rPr>
          <w:rFonts w:hint="eastAsia" w:ascii="仿宋" w:hAnsi="仿宋" w:eastAsia="仿宋"/>
          <w:bCs/>
          <w:color w:val="000000"/>
          <w:sz w:val="28"/>
          <w:highlight w:val="none"/>
        </w:rPr>
        <w:t>，另于2026年3月2日召开2026年第一次临时股东会，审议通过了《关于使用部分闲置募集资金（含超募资金）进行现金管理的议案》，同意公司使用不超过人民币1亿元（含本数）的闲置募集资金（含超募资金及进行现金管理后所产生的利息）进行现金管理，用于投资安全性高、流动性好且投资期限不超过12个月的产品，使用期限为自股东会审议通过之日起12个月内。在上述额度和期限范围内，资金可循环滚动使用。公司保荐机构五矿证券有限公司发表了同意意见。具体内容详见公司披露于巨潮资讯网（www.cninfo.com.cn）等法定信息披露媒体的相关公告。</w:t>
      </w:r>
    </w:p>
    <w:p w14:paraId="7419505F">
      <w:pPr>
        <w:spacing w:line="360" w:lineRule="auto"/>
        <w:ind w:firstLine="560" w:firstLineChars="200"/>
        <w:jc w:val="left"/>
        <w:rPr>
          <w:rFonts w:ascii="仿宋" w:hAnsi="仿宋" w:eastAsia="仿宋"/>
          <w:bCs/>
          <w:color w:val="000000"/>
          <w:sz w:val="28"/>
          <w:highlight w:val="none"/>
        </w:rPr>
      </w:pPr>
      <w:r>
        <w:rPr>
          <w:rFonts w:hint="eastAsia" w:ascii="仿宋" w:hAnsi="仿宋" w:eastAsia="仿宋"/>
          <w:bCs/>
          <w:color w:val="000000"/>
          <w:sz w:val="28"/>
          <w:highlight w:val="none"/>
        </w:rPr>
        <w:t>公司近日部分现金管理产品到期，并使用部分闲置募集资金办理了现金管理，具体情况如下：</w:t>
      </w:r>
    </w:p>
    <w:p w14:paraId="6E3CC4FC">
      <w:pPr>
        <w:spacing w:line="360" w:lineRule="auto"/>
        <w:ind w:firstLine="562"/>
        <w:jc w:val="left"/>
        <w:outlineLvl w:val="0"/>
        <w:rPr>
          <w:rFonts w:ascii="仿宋" w:hAnsi="仿宋" w:eastAsia="仿宋"/>
          <w:b/>
          <w:color w:val="000000"/>
          <w:sz w:val="28"/>
          <w:highlight w:val="none"/>
        </w:rPr>
      </w:pPr>
      <w:r>
        <w:rPr>
          <w:rFonts w:hint="eastAsia" w:ascii="仿宋" w:hAnsi="仿宋" w:eastAsia="仿宋"/>
          <w:b/>
          <w:color w:val="000000"/>
          <w:sz w:val="28"/>
          <w:highlight w:val="none"/>
        </w:rPr>
        <w:t>一、本次部分闲置募集资金（含超募资金）进行现金管理的实施情况</w:t>
      </w:r>
    </w:p>
    <w:tbl>
      <w:tblPr>
        <w:tblStyle w:val="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4"/>
        <w:gridCol w:w="660"/>
        <w:gridCol w:w="2125"/>
        <w:gridCol w:w="660"/>
        <w:gridCol w:w="660"/>
        <w:gridCol w:w="916"/>
        <w:gridCol w:w="1050"/>
        <w:gridCol w:w="950"/>
        <w:gridCol w:w="1057"/>
      </w:tblGrid>
      <w:tr w14:paraId="16AF3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1" w:type="pct"/>
            <w:vAlign w:val="center"/>
          </w:tcPr>
          <w:p w14:paraId="547DED73">
            <w:pPr>
              <w:spacing w:line="360" w:lineRule="auto"/>
              <w:jc w:val="center"/>
              <w:rPr>
                <w:rFonts w:ascii="仿宋" w:hAnsi="仿宋" w:eastAsia="仿宋"/>
                <w:b/>
                <w:color w:val="000000"/>
                <w:szCs w:val="15"/>
                <w:highlight w:val="none"/>
              </w:rPr>
            </w:pPr>
            <w:r>
              <w:rPr>
                <w:rFonts w:hint="eastAsia" w:ascii="仿宋" w:hAnsi="仿宋" w:eastAsia="仿宋"/>
                <w:b/>
                <w:color w:val="000000"/>
                <w:szCs w:val="15"/>
                <w:highlight w:val="none"/>
              </w:rPr>
              <w:t>序号</w:t>
            </w:r>
          </w:p>
        </w:tc>
        <w:tc>
          <w:tcPr>
            <w:tcW w:w="388" w:type="pct"/>
            <w:vAlign w:val="center"/>
          </w:tcPr>
          <w:p w14:paraId="42DC58F7">
            <w:pPr>
              <w:spacing w:line="360" w:lineRule="auto"/>
              <w:jc w:val="center"/>
              <w:rPr>
                <w:rFonts w:ascii="仿宋" w:hAnsi="仿宋" w:eastAsia="仿宋"/>
                <w:b/>
                <w:color w:val="000000"/>
                <w:szCs w:val="15"/>
                <w:highlight w:val="none"/>
              </w:rPr>
            </w:pPr>
            <w:r>
              <w:rPr>
                <w:rFonts w:hint="eastAsia" w:ascii="仿宋" w:hAnsi="仿宋" w:eastAsia="仿宋"/>
                <w:b/>
                <w:color w:val="000000"/>
                <w:szCs w:val="15"/>
                <w:highlight w:val="none"/>
              </w:rPr>
              <w:t>购买主体</w:t>
            </w:r>
          </w:p>
        </w:tc>
        <w:tc>
          <w:tcPr>
            <w:tcW w:w="1247" w:type="pct"/>
            <w:vAlign w:val="center"/>
          </w:tcPr>
          <w:p w14:paraId="7E87BC22">
            <w:pPr>
              <w:spacing w:line="360" w:lineRule="auto"/>
              <w:jc w:val="center"/>
              <w:rPr>
                <w:rFonts w:ascii="仿宋" w:hAnsi="仿宋" w:eastAsia="仿宋"/>
                <w:b/>
                <w:color w:val="000000"/>
                <w:szCs w:val="15"/>
                <w:highlight w:val="none"/>
              </w:rPr>
            </w:pPr>
            <w:r>
              <w:rPr>
                <w:rFonts w:hint="eastAsia" w:ascii="仿宋" w:hAnsi="仿宋" w:eastAsia="仿宋"/>
                <w:b/>
                <w:color w:val="000000"/>
                <w:szCs w:val="15"/>
                <w:highlight w:val="none"/>
              </w:rPr>
              <w:t>受托方</w:t>
            </w:r>
          </w:p>
        </w:tc>
        <w:tc>
          <w:tcPr>
            <w:tcW w:w="387" w:type="pct"/>
          </w:tcPr>
          <w:p w14:paraId="545FA625">
            <w:pPr>
              <w:spacing w:line="360" w:lineRule="auto"/>
              <w:jc w:val="center"/>
              <w:rPr>
                <w:rFonts w:ascii="仿宋" w:hAnsi="仿宋" w:eastAsia="仿宋"/>
                <w:b/>
                <w:color w:val="000000"/>
                <w:szCs w:val="15"/>
                <w:highlight w:val="none"/>
              </w:rPr>
            </w:pPr>
            <w:r>
              <w:rPr>
                <w:rFonts w:hint="eastAsia" w:ascii="仿宋" w:hAnsi="仿宋" w:eastAsia="仿宋"/>
                <w:b/>
                <w:color w:val="000000"/>
                <w:szCs w:val="15"/>
                <w:highlight w:val="none"/>
              </w:rPr>
              <w:t>产品类型</w:t>
            </w:r>
          </w:p>
        </w:tc>
        <w:tc>
          <w:tcPr>
            <w:tcW w:w="387" w:type="pct"/>
          </w:tcPr>
          <w:p w14:paraId="790261C2">
            <w:pPr>
              <w:spacing w:line="360" w:lineRule="auto"/>
              <w:jc w:val="center"/>
              <w:rPr>
                <w:rFonts w:ascii="仿宋" w:hAnsi="仿宋" w:eastAsia="仿宋"/>
                <w:b/>
                <w:color w:val="000000"/>
                <w:szCs w:val="15"/>
                <w:highlight w:val="none"/>
              </w:rPr>
            </w:pPr>
            <w:r>
              <w:rPr>
                <w:rFonts w:hint="eastAsia" w:ascii="仿宋" w:hAnsi="仿宋" w:eastAsia="仿宋"/>
                <w:b/>
                <w:color w:val="000000"/>
                <w:szCs w:val="15"/>
                <w:highlight w:val="none"/>
              </w:rPr>
              <w:t>产品名称</w:t>
            </w:r>
          </w:p>
        </w:tc>
        <w:tc>
          <w:tcPr>
            <w:tcW w:w="537" w:type="pct"/>
            <w:vAlign w:val="center"/>
          </w:tcPr>
          <w:p w14:paraId="66D45645">
            <w:pPr>
              <w:spacing w:line="360" w:lineRule="auto"/>
              <w:jc w:val="center"/>
              <w:rPr>
                <w:rFonts w:ascii="仿宋" w:hAnsi="仿宋" w:eastAsia="仿宋"/>
                <w:b/>
                <w:color w:val="000000"/>
                <w:szCs w:val="15"/>
                <w:highlight w:val="none"/>
              </w:rPr>
            </w:pPr>
            <w:r>
              <w:rPr>
                <w:rFonts w:hint="eastAsia" w:ascii="仿宋" w:hAnsi="仿宋" w:eastAsia="仿宋"/>
                <w:b/>
                <w:color w:val="000000"/>
                <w:szCs w:val="15"/>
                <w:highlight w:val="none"/>
              </w:rPr>
              <w:t>金额</w:t>
            </w:r>
          </w:p>
          <w:p w14:paraId="4F68B407">
            <w:pPr>
              <w:spacing w:line="360" w:lineRule="auto"/>
              <w:jc w:val="center"/>
              <w:rPr>
                <w:rFonts w:ascii="仿宋" w:hAnsi="仿宋" w:eastAsia="仿宋"/>
                <w:b/>
                <w:color w:val="000000"/>
                <w:szCs w:val="15"/>
                <w:highlight w:val="none"/>
              </w:rPr>
            </w:pPr>
            <w:r>
              <w:rPr>
                <w:rFonts w:hint="eastAsia" w:ascii="仿宋" w:hAnsi="仿宋" w:eastAsia="仿宋"/>
                <w:b/>
                <w:color w:val="000000"/>
                <w:szCs w:val="15"/>
                <w:highlight w:val="none"/>
              </w:rPr>
              <w:t>（万元）</w:t>
            </w:r>
          </w:p>
        </w:tc>
        <w:tc>
          <w:tcPr>
            <w:tcW w:w="616" w:type="pct"/>
          </w:tcPr>
          <w:p w14:paraId="31480953">
            <w:pPr>
              <w:spacing w:line="360" w:lineRule="auto"/>
              <w:jc w:val="center"/>
              <w:rPr>
                <w:rFonts w:ascii="仿宋" w:hAnsi="仿宋" w:eastAsia="仿宋"/>
                <w:b/>
                <w:color w:val="000000"/>
                <w:szCs w:val="15"/>
                <w:highlight w:val="none"/>
              </w:rPr>
            </w:pPr>
            <w:r>
              <w:rPr>
                <w:rFonts w:hint="eastAsia" w:ascii="仿宋" w:hAnsi="仿宋" w:eastAsia="仿宋"/>
                <w:b/>
                <w:color w:val="000000"/>
                <w:szCs w:val="15"/>
                <w:highlight w:val="none"/>
              </w:rPr>
              <w:t>起始时间</w:t>
            </w:r>
          </w:p>
        </w:tc>
        <w:tc>
          <w:tcPr>
            <w:tcW w:w="557" w:type="pct"/>
          </w:tcPr>
          <w:p w14:paraId="48976752">
            <w:pPr>
              <w:spacing w:line="360" w:lineRule="auto"/>
              <w:jc w:val="center"/>
              <w:rPr>
                <w:rFonts w:ascii="仿宋" w:hAnsi="仿宋" w:eastAsia="仿宋"/>
                <w:b/>
                <w:color w:val="000000"/>
                <w:szCs w:val="15"/>
                <w:highlight w:val="none"/>
              </w:rPr>
            </w:pPr>
            <w:r>
              <w:rPr>
                <w:rFonts w:hint="eastAsia" w:ascii="仿宋" w:hAnsi="仿宋" w:eastAsia="仿宋"/>
                <w:b/>
                <w:color w:val="000000"/>
                <w:szCs w:val="15"/>
                <w:highlight w:val="none"/>
              </w:rPr>
              <w:t>到期日期</w:t>
            </w:r>
          </w:p>
        </w:tc>
        <w:tc>
          <w:tcPr>
            <w:tcW w:w="620" w:type="pct"/>
          </w:tcPr>
          <w:p w14:paraId="12AF6564">
            <w:pPr>
              <w:spacing w:line="360" w:lineRule="auto"/>
              <w:jc w:val="center"/>
              <w:rPr>
                <w:rFonts w:ascii="仿宋" w:hAnsi="仿宋" w:eastAsia="仿宋"/>
                <w:b/>
                <w:color w:val="000000"/>
                <w:szCs w:val="15"/>
                <w:highlight w:val="none"/>
              </w:rPr>
            </w:pPr>
            <w:r>
              <w:rPr>
                <w:rFonts w:hint="eastAsia" w:ascii="仿宋" w:hAnsi="仿宋" w:eastAsia="仿宋"/>
                <w:b/>
                <w:color w:val="000000"/>
                <w:szCs w:val="15"/>
                <w:highlight w:val="none"/>
              </w:rPr>
              <w:t>预测年化收益率</w:t>
            </w:r>
          </w:p>
        </w:tc>
      </w:tr>
      <w:tr w14:paraId="5BF15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trPr>
        <w:tc>
          <w:tcPr>
            <w:tcW w:w="261" w:type="pct"/>
            <w:shd w:val="clear" w:color="auto" w:fill="auto"/>
            <w:vAlign w:val="center"/>
          </w:tcPr>
          <w:p w14:paraId="1E3E0C6C">
            <w:pPr>
              <w:widowControl/>
              <w:jc w:val="center"/>
              <w:rPr>
                <w:rFonts w:eastAsia="仿宋"/>
                <w:kern w:val="0"/>
                <w:sz w:val="20"/>
                <w:highlight w:val="none"/>
              </w:rPr>
            </w:pPr>
            <w:bookmarkStart w:id="0" w:name="_Hlk223969926"/>
            <w:r>
              <w:rPr>
                <w:rFonts w:hint="eastAsia" w:eastAsia="仿宋"/>
                <w:kern w:val="0"/>
                <w:sz w:val="20"/>
                <w:highlight w:val="none"/>
              </w:rPr>
              <w:t>1</w:t>
            </w:r>
          </w:p>
        </w:tc>
        <w:tc>
          <w:tcPr>
            <w:tcW w:w="388" w:type="pct"/>
            <w:shd w:val="clear" w:color="auto" w:fill="auto"/>
            <w:vAlign w:val="center"/>
          </w:tcPr>
          <w:p w14:paraId="4D6F59C2">
            <w:pPr>
              <w:jc w:val="center"/>
              <w:rPr>
                <w:rFonts w:eastAsia="仿宋"/>
                <w:bCs/>
                <w:sz w:val="20"/>
                <w:highlight w:val="none"/>
              </w:rPr>
            </w:pPr>
            <w:r>
              <w:rPr>
                <w:rFonts w:eastAsia="仿宋"/>
                <w:bCs/>
                <w:sz w:val="20"/>
                <w:highlight w:val="none"/>
              </w:rPr>
              <w:t>天亿马</w:t>
            </w:r>
          </w:p>
        </w:tc>
        <w:tc>
          <w:tcPr>
            <w:tcW w:w="1247" w:type="pct"/>
            <w:shd w:val="clear" w:color="auto" w:fill="auto"/>
            <w:vAlign w:val="center"/>
          </w:tcPr>
          <w:p w14:paraId="43D34F1A">
            <w:pPr>
              <w:widowControl/>
              <w:jc w:val="center"/>
              <w:rPr>
                <w:rFonts w:eastAsia="仿宋"/>
                <w:kern w:val="0"/>
                <w:sz w:val="20"/>
                <w:highlight w:val="none"/>
              </w:rPr>
            </w:pPr>
            <w:r>
              <w:rPr>
                <w:rFonts w:hint="eastAsia" w:ascii="仿宋" w:hAnsi="仿宋" w:eastAsia="仿宋"/>
                <w:color w:val="000000"/>
                <w:sz w:val="20"/>
                <w:highlight w:val="none"/>
              </w:rPr>
              <w:t>南洋商业银行（中国）有限公司</w:t>
            </w:r>
            <w:bookmarkStart w:id="1" w:name="OLE_LINK60"/>
            <w:bookmarkStart w:id="2" w:name="OLE_LINK61"/>
            <w:r>
              <w:rPr>
                <w:rFonts w:hint="eastAsia" w:ascii="仿宋" w:hAnsi="仿宋" w:eastAsia="仿宋"/>
                <w:color w:val="000000"/>
                <w:sz w:val="20"/>
                <w:highlight w:val="none"/>
              </w:rPr>
              <w:t>汕头分行</w:t>
            </w:r>
            <w:bookmarkEnd w:id="1"/>
            <w:bookmarkEnd w:id="2"/>
          </w:p>
        </w:tc>
        <w:tc>
          <w:tcPr>
            <w:tcW w:w="387" w:type="pct"/>
            <w:shd w:val="clear" w:color="auto" w:fill="auto"/>
            <w:vAlign w:val="center"/>
          </w:tcPr>
          <w:p w14:paraId="1C8E7A4E">
            <w:pPr>
              <w:jc w:val="center"/>
              <w:rPr>
                <w:rFonts w:eastAsia="仿宋"/>
                <w:kern w:val="0"/>
                <w:sz w:val="20"/>
                <w:highlight w:val="none"/>
              </w:rPr>
            </w:pPr>
            <w:r>
              <w:rPr>
                <w:rFonts w:hint="eastAsia" w:eastAsia="仿宋"/>
                <w:kern w:val="0"/>
                <w:sz w:val="20"/>
                <w:highlight w:val="none"/>
              </w:rPr>
              <w:t>保本型</w:t>
            </w:r>
          </w:p>
        </w:tc>
        <w:tc>
          <w:tcPr>
            <w:tcW w:w="387" w:type="pct"/>
            <w:shd w:val="clear" w:color="auto" w:fill="auto"/>
            <w:vAlign w:val="center"/>
          </w:tcPr>
          <w:p w14:paraId="20F6BE5B">
            <w:pPr>
              <w:jc w:val="center"/>
              <w:rPr>
                <w:rFonts w:eastAsia="仿宋"/>
                <w:bCs/>
                <w:sz w:val="20"/>
                <w:highlight w:val="none"/>
              </w:rPr>
            </w:pPr>
            <w:r>
              <w:rPr>
                <w:rFonts w:hint="eastAsia" w:eastAsia="仿宋"/>
                <w:bCs/>
                <w:sz w:val="20"/>
                <w:highlight w:val="none"/>
              </w:rPr>
              <w:t>定期存款</w:t>
            </w:r>
          </w:p>
        </w:tc>
        <w:tc>
          <w:tcPr>
            <w:tcW w:w="537" w:type="pct"/>
            <w:vAlign w:val="center"/>
          </w:tcPr>
          <w:p w14:paraId="72C1339F">
            <w:pPr>
              <w:widowControl/>
              <w:jc w:val="center"/>
              <w:rPr>
                <w:rFonts w:eastAsia="仿宋"/>
                <w:kern w:val="0"/>
                <w:sz w:val="20"/>
                <w:highlight w:val="none"/>
              </w:rPr>
            </w:pPr>
            <w:r>
              <w:rPr>
                <w:rFonts w:hint="eastAsia" w:eastAsia="仿宋"/>
                <w:kern w:val="0"/>
                <w:sz w:val="20"/>
                <w:highlight w:val="none"/>
              </w:rPr>
              <w:t>5,000.00</w:t>
            </w:r>
          </w:p>
        </w:tc>
        <w:tc>
          <w:tcPr>
            <w:tcW w:w="616" w:type="pct"/>
            <w:shd w:val="clear" w:color="auto" w:fill="auto"/>
            <w:vAlign w:val="center"/>
          </w:tcPr>
          <w:p w14:paraId="2D4F04B9">
            <w:pPr>
              <w:widowControl/>
              <w:jc w:val="center"/>
              <w:rPr>
                <w:rFonts w:eastAsia="仿宋"/>
                <w:kern w:val="0"/>
                <w:sz w:val="20"/>
                <w:highlight w:val="none"/>
              </w:rPr>
            </w:pPr>
            <w:r>
              <w:rPr>
                <w:rFonts w:hint="eastAsia" w:eastAsia="仿宋"/>
                <w:kern w:val="0"/>
                <w:sz w:val="20"/>
                <w:highlight w:val="none"/>
              </w:rPr>
              <w:t>2026-6-9</w:t>
            </w:r>
          </w:p>
        </w:tc>
        <w:tc>
          <w:tcPr>
            <w:tcW w:w="557" w:type="pct"/>
            <w:shd w:val="clear" w:color="auto" w:fill="auto"/>
            <w:vAlign w:val="center"/>
          </w:tcPr>
          <w:p w14:paraId="4B74FFC7">
            <w:pPr>
              <w:widowControl/>
              <w:jc w:val="center"/>
              <w:rPr>
                <w:rFonts w:eastAsia="仿宋"/>
                <w:kern w:val="0"/>
                <w:sz w:val="20"/>
                <w:highlight w:val="none"/>
              </w:rPr>
            </w:pPr>
            <w:r>
              <w:rPr>
                <w:rFonts w:hint="eastAsia" w:eastAsia="仿宋"/>
                <w:kern w:val="0"/>
                <w:sz w:val="20"/>
                <w:highlight w:val="none"/>
              </w:rPr>
              <w:t>2026-9-9</w:t>
            </w:r>
          </w:p>
        </w:tc>
        <w:tc>
          <w:tcPr>
            <w:tcW w:w="620" w:type="pct"/>
            <w:shd w:val="clear" w:color="auto" w:fill="auto"/>
            <w:vAlign w:val="center"/>
          </w:tcPr>
          <w:p w14:paraId="62855593">
            <w:pPr>
              <w:widowControl/>
              <w:jc w:val="center"/>
              <w:rPr>
                <w:rFonts w:eastAsia="仿宋"/>
                <w:kern w:val="0"/>
                <w:sz w:val="20"/>
                <w:highlight w:val="none"/>
              </w:rPr>
            </w:pPr>
            <w:r>
              <w:rPr>
                <w:rFonts w:hint="eastAsia" w:eastAsia="仿宋"/>
                <w:kern w:val="0"/>
                <w:sz w:val="20"/>
                <w:highlight w:val="none"/>
              </w:rPr>
              <w:t>1.7%</w:t>
            </w:r>
          </w:p>
        </w:tc>
      </w:tr>
      <w:tr w14:paraId="6CC91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1" w:type="pct"/>
            <w:shd w:val="clear" w:color="auto" w:fill="auto"/>
            <w:vAlign w:val="center"/>
          </w:tcPr>
          <w:p w14:paraId="77059977">
            <w:pPr>
              <w:widowControl/>
              <w:jc w:val="center"/>
              <w:rPr>
                <w:rFonts w:eastAsia="仿宋"/>
                <w:kern w:val="0"/>
                <w:sz w:val="20"/>
                <w:highlight w:val="none"/>
              </w:rPr>
            </w:pPr>
            <w:r>
              <w:rPr>
                <w:rFonts w:hint="eastAsia" w:eastAsia="仿宋"/>
                <w:kern w:val="0"/>
                <w:sz w:val="20"/>
                <w:highlight w:val="none"/>
              </w:rPr>
              <w:t>2</w:t>
            </w:r>
          </w:p>
        </w:tc>
        <w:tc>
          <w:tcPr>
            <w:tcW w:w="388" w:type="pct"/>
            <w:shd w:val="clear" w:color="auto" w:fill="auto"/>
            <w:vAlign w:val="center"/>
          </w:tcPr>
          <w:p w14:paraId="5461C2EA">
            <w:pPr>
              <w:jc w:val="center"/>
              <w:rPr>
                <w:sz w:val="20"/>
                <w:highlight w:val="none"/>
              </w:rPr>
            </w:pPr>
            <w:r>
              <w:rPr>
                <w:rFonts w:eastAsia="仿宋"/>
                <w:bCs/>
                <w:sz w:val="20"/>
                <w:highlight w:val="none"/>
              </w:rPr>
              <w:t>天亿马</w:t>
            </w:r>
          </w:p>
        </w:tc>
        <w:tc>
          <w:tcPr>
            <w:tcW w:w="1247" w:type="pct"/>
            <w:shd w:val="clear" w:color="auto" w:fill="auto"/>
            <w:vAlign w:val="center"/>
          </w:tcPr>
          <w:p w14:paraId="108C6795">
            <w:pPr>
              <w:widowControl/>
              <w:jc w:val="center"/>
              <w:rPr>
                <w:rFonts w:eastAsia="仿宋"/>
                <w:kern w:val="0"/>
                <w:sz w:val="20"/>
                <w:highlight w:val="none"/>
              </w:rPr>
            </w:pPr>
            <w:r>
              <w:rPr>
                <w:rFonts w:hint="eastAsia" w:eastAsia="仿宋"/>
                <w:kern w:val="0"/>
                <w:sz w:val="20"/>
                <w:highlight w:val="none"/>
              </w:rPr>
              <w:t>兴业银行股份有限公司汕头分行</w:t>
            </w:r>
          </w:p>
        </w:tc>
        <w:tc>
          <w:tcPr>
            <w:tcW w:w="387" w:type="pct"/>
            <w:shd w:val="clear" w:color="auto" w:fill="auto"/>
            <w:vAlign w:val="center"/>
          </w:tcPr>
          <w:p w14:paraId="097BF331">
            <w:pPr>
              <w:jc w:val="center"/>
              <w:rPr>
                <w:rFonts w:eastAsia="仿宋"/>
                <w:kern w:val="0"/>
                <w:sz w:val="20"/>
                <w:highlight w:val="none"/>
              </w:rPr>
            </w:pPr>
            <w:bookmarkStart w:id="3" w:name="OLE_LINK22"/>
            <w:bookmarkStart w:id="4" w:name="OLE_LINK45"/>
            <w:r>
              <w:rPr>
                <w:rFonts w:hint="eastAsia" w:eastAsia="仿宋"/>
                <w:kern w:val="0"/>
                <w:sz w:val="20"/>
                <w:highlight w:val="none"/>
              </w:rPr>
              <w:t>保本型</w:t>
            </w:r>
            <w:bookmarkEnd w:id="3"/>
            <w:bookmarkEnd w:id="4"/>
          </w:p>
        </w:tc>
        <w:tc>
          <w:tcPr>
            <w:tcW w:w="387" w:type="pct"/>
            <w:shd w:val="clear" w:color="auto" w:fill="auto"/>
            <w:vAlign w:val="center"/>
          </w:tcPr>
          <w:p w14:paraId="204A8F06">
            <w:pPr>
              <w:jc w:val="center"/>
              <w:rPr>
                <w:rFonts w:eastAsia="仿宋"/>
                <w:bCs/>
                <w:sz w:val="20"/>
                <w:highlight w:val="none"/>
              </w:rPr>
            </w:pPr>
            <w:bookmarkStart w:id="5" w:name="OLE_LINK23"/>
            <w:bookmarkStart w:id="6" w:name="OLE_LINK24"/>
            <w:r>
              <w:rPr>
                <w:rFonts w:hint="eastAsia" w:eastAsia="仿宋"/>
                <w:bCs/>
                <w:sz w:val="20"/>
                <w:highlight w:val="none"/>
              </w:rPr>
              <w:t>大额存单</w:t>
            </w:r>
            <w:bookmarkEnd w:id="5"/>
            <w:bookmarkEnd w:id="6"/>
          </w:p>
        </w:tc>
        <w:tc>
          <w:tcPr>
            <w:tcW w:w="537" w:type="pct"/>
            <w:vAlign w:val="center"/>
          </w:tcPr>
          <w:p w14:paraId="383107FF">
            <w:pPr>
              <w:widowControl/>
              <w:jc w:val="center"/>
              <w:rPr>
                <w:rFonts w:eastAsia="仿宋"/>
                <w:kern w:val="0"/>
                <w:sz w:val="20"/>
                <w:highlight w:val="none"/>
              </w:rPr>
            </w:pPr>
            <w:bookmarkStart w:id="7" w:name="OLE_LINK31"/>
            <w:bookmarkStart w:id="8" w:name="OLE_LINK32"/>
            <w:r>
              <w:rPr>
                <w:rFonts w:hint="eastAsia"/>
                <w:color w:val="000000"/>
                <w:sz w:val="20"/>
                <w:highlight w:val="none"/>
              </w:rPr>
              <w:t>2,000.00</w:t>
            </w:r>
            <w:bookmarkEnd w:id="7"/>
            <w:bookmarkEnd w:id="8"/>
          </w:p>
        </w:tc>
        <w:tc>
          <w:tcPr>
            <w:tcW w:w="616" w:type="pct"/>
            <w:shd w:val="clear" w:color="auto" w:fill="auto"/>
            <w:vAlign w:val="center"/>
          </w:tcPr>
          <w:p w14:paraId="13D8C322">
            <w:pPr>
              <w:widowControl/>
              <w:jc w:val="center"/>
              <w:rPr>
                <w:rFonts w:eastAsia="仿宋"/>
                <w:kern w:val="0"/>
                <w:sz w:val="20"/>
                <w:highlight w:val="none"/>
              </w:rPr>
            </w:pPr>
            <w:r>
              <w:rPr>
                <w:rFonts w:hint="eastAsia" w:eastAsia="仿宋"/>
                <w:kern w:val="0"/>
                <w:sz w:val="20"/>
                <w:highlight w:val="none"/>
              </w:rPr>
              <w:t>2026-6-10</w:t>
            </w:r>
          </w:p>
        </w:tc>
        <w:tc>
          <w:tcPr>
            <w:tcW w:w="557" w:type="pct"/>
            <w:shd w:val="clear" w:color="auto" w:fill="auto"/>
            <w:vAlign w:val="center"/>
          </w:tcPr>
          <w:p w14:paraId="6DA11387">
            <w:pPr>
              <w:widowControl/>
              <w:jc w:val="center"/>
              <w:rPr>
                <w:rFonts w:hint="default" w:eastAsia="仿宋"/>
                <w:kern w:val="0"/>
                <w:sz w:val="20"/>
                <w:highlight w:val="none"/>
                <w:lang w:val="en-US" w:eastAsia="zh-CN"/>
              </w:rPr>
            </w:pPr>
            <w:r>
              <w:rPr>
                <w:rFonts w:hint="eastAsia" w:eastAsia="仿宋"/>
                <w:kern w:val="0"/>
                <w:sz w:val="20"/>
                <w:highlight w:val="none"/>
                <w:lang w:val="en-US" w:eastAsia="zh-CN"/>
              </w:rPr>
              <w:t>存期三个月</w:t>
            </w:r>
          </w:p>
        </w:tc>
        <w:tc>
          <w:tcPr>
            <w:tcW w:w="620" w:type="pct"/>
            <w:shd w:val="clear" w:color="auto" w:fill="auto"/>
            <w:vAlign w:val="center"/>
          </w:tcPr>
          <w:p w14:paraId="6F8F792E">
            <w:pPr>
              <w:widowControl/>
              <w:jc w:val="center"/>
              <w:rPr>
                <w:rFonts w:eastAsia="仿宋"/>
                <w:kern w:val="0"/>
                <w:sz w:val="20"/>
                <w:highlight w:val="none"/>
              </w:rPr>
            </w:pPr>
            <w:r>
              <w:rPr>
                <w:rFonts w:hint="eastAsia" w:eastAsia="仿宋"/>
                <w:kern w:val="0"/>
                <w:sz w:val="20"/>
                <w:highlight w:val="none"/>
              </w:rPr>
              <w:t>1.1%</w:t>
            </w:r>
          </w:p>
        </w:tc>
      </w:tr>
      <w:tr w14:paraId="71191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1" w:type="pct"/>
            <w:shd w:val="clear" w:color="auto" w:fill="auto"/>
            <w:vAlign w:val="center"/>
          </w:tcPr>
          <w:p w14:paraId="4BB51A07">
            <w:pPr>
              <w:widowControl/>
              <w:jc w:val="center"/>
              <w:rPr>
                <w:rFonts w:eastAsia="仿宋"/>
                <w:kern w:val="0"/>
                <w:sz w:val="20"/>
                <w:highlight w:val="none"/>
              </w:rPr>
            </w:pPr>
            <w:r>
              <w:rPr>
                <w:rFonts w:hint="eastAsia" w:eastAsia="仿宋"/>
                <w:kern w:val="0"/>
                <w:sz w:val="20"/>
                <w:highlight w:val="none"/>
              </w:rPr>
              <w:t>3</w:t>
            </w:r>
          </w:p>
        </w:tc>
        <w:tc>
          <w:tcPr>
            <w:tcW w:w="388" w:type="pct"/>
            <w:shd w:val="clear" w:color="auto" w:fill="auto"/>
            <w:vAlign w:val="center"/>
          </w:tcPr>
          <w:p w14:paraId="7DB45827">
            <w:pPr>
              <w:jc w:val="center"/>
              <w:rPr>
                <w:rFonts w:eastAsia="仿宋"/>
                <w:bCs/>
                <w:sz w:val="20"/>
                <w:highlight w:val="none"/>
              </w:rPr>
            </w:pPr>
            <w:r>
              <w:rPr>
                <w:rFonts w:eastAsia="仿宋"/>
                <w:bCs/>
                <w:sz w:val="20"/>
                <w:highlight w:val="none"/>
              </w:rPr>
              <w:t>天亿马</w:t>
            </w:r>
          </w:p>
        </w:tc>
        <w:tc>
          <w:tcPr>
            <w:tcW w:w="1247" w:type="pct"/>
            <w:shd w:val="clear" w:color="auto" w:fill="auto"/>
            <w:vAlign w:val="center"/>
          </w:tcPr>
          <w:p w14:paraId="0AA6D9AA">
            <w:pPr>
              <w:widowControl/>
              <w:jc w:val="center"/>
              <w:rPr>
                <w:rFonts w:eastAsia="仿宋"/>
                <w:kern w:val="0"/>
                <w:sz w:val="20"/>
                <w:highlight w:val="none"/>
              </w:rPr>
            </w:pPr>
            <w:r>
              <w:rPr>
                <w:rFonts w:hint="eastAsia" w:eastAsia="仿宋"/>
                <w:kern w:val="0"/>
                <w:sz w:val="20"/>
                <w:highlight w:val="none"/>
              </w:rPr>
              <w:t>兴业银行股份有限公司汕头分行</w:t>
            </w:r>
          </w:p>
        </w:tc>
        <w:tc>
          <w:tcPr>
            <w:tcW w:w="387" w:type="pct"/>
            <w:shd w:val="clear" w:color="auto" w:fill="auto"/>
            <w:vAlign w:val="center"/>
          </w:tcPr>
          <w:p w14:paraId="3DF90E39">
            <w:pPr>
              <w:jc w:val="center"/>
              <w:rPr>
                <w:rFonts w:eastAsia="仿宋"/>
                <w:kern w:val="0"/>
                <w:sz w:val="20"/>
                <w:highlight w:val="none"/>
              </w:rPr>
            </w:pPr>
            <w:r>
              <w:rPr>
                <w:rFonts w:hint="eastAsia" w:eastAsia="仿宋"/>
                <w:kern w:val="0"/>
                <w:sz w:val="20"/>
                <w:highlight w:val="none"/>
              </w:rPr>
              <w:t>保本型</w:t>
            </w:r>
          </w:p>
        </w:tc>
        <w:tc>
          <w:tcPr>
            <w:tcW w:w="387" w:type="pct"/>
            <w:shd w:val="clear" w:color="auto" w:fill="auto"/>
            <w:vAlign w:val="center"/>
          </w:tcPr>
          <w:p w14:paraId="16A374C8">
            <w:pPr>
              <w:jc w:val="center"/>
              <w:rPr>
                <w:rFonts w:eastAsia="仿宋"/>
                <w:bCs/>
                <w:sz w:val="20"/>
                <w:highlight w:val="none"/>
              </w:rPr>
            </w:pPr>
            <w:r>
              <w:rPr>
                <w:rFonts w:hint="eastAsia" w:eastAsia="仿宋"/>
                <w:bCs/>
                <w:sz w:val="20"/>
                <w:highlight w:val="none"/>
              </w:rPr>
              <w:t>大额存单</w:t>
            </w:r>
          </w:p>
        </w:tc>
        <w:tc>
          <w:tcPr>
            <w:tcW w:w="537" w:type="pct"/>
            <w:vAlign w:val="center"/>
          </w:tcPr>
          <w:p w14:paraId="186B0361">
            <w:pPr>
              <w:widowControl/>
              <w:jc w:val="center"/>
              <w:rPr>
                <w:rFonts w:eastAsia="仿宋"/>
                <w:kern w:val="0"/>
                <w:sz w:val="20"/>
                <w:highlight w:val="none"/>
              </w:rPr>
            </w:pPr>
            <w:r>
              <w:rPr>
                <w:rFonts w:hint="eastAsia"/>
                <w:color w:val="000000"/>
                <w:sz w:val="20"/>
                <w:highlight w:val="none"/>
              </w:rPr>
              <w:t>2,000.00</w:t>
            </w:r>
          </w:p>
        </w:tc>
        <w:tc>
          <w:tcPr>
            <w:tcW w:w="616" w:type="pct"/>
            <w:shd w:val="clear" w:color="auto" w:fill="auto"/>
            <w:vAlign w:val="center"/>
          </w:tcPr>
          <w:p w14:paraId="4CEF4737">
            <w:pPr>
              <w:widowControl/>
              <w:jc w:val="center"/>
              <w:rPr>
                <w:rFonts w:eastAsia="仿宋"/>
                <w:kern w:val="0"/>
                <w:sz w:val="20"/>
                <w:highlight w:val="none"/>
              </w:rPr>
            </w:pPr>
            <w:r>
              <w:rPr>
                <w:rFonts w:hint="eastAsia" w:eastAsia="仿宋"/>
                <w:kern w:val="0"/>
                <w:sz w:val="20"/>
                <w:highlight w:val="none"/>
              </w:rPr>
              <w:t>2026-6-10</w:t>
            </w:r>
          </w:p>
        </w:tc>
        <w:tc>
          <w:tcPr>
            <w:tcW w:w="557" w:type="pct"/>
            <w:shd w:val="clear" w:color="auto" w:fill="auto"/>
            <w:vAlign w:val="center"/>
          </w:tcPr>
          <w:p w14:paraId="128BE0B9">
            <w:pPr>
              <w:widowControl/>
              <w:jc w:val="center"/>
              <w:rPr>
                <w:rFonts w:hint="default" w:eastAsia="仿宋"/>
                <w:kern w:val="0"/>
                <w:sz w:val="20"/>
                <w:highlight w:val="none"/>
                <w:lang w:val="en-US" w:eastAsia="zh-CN"/>
              </w:rPr>
            </w:pPr>
            <w:r>
              <w:rPr>
                <w:rFonts w:hint="eastAsia" w:eastAsia="仿宋"/>
                <w:kern w:val="0"/>
                <w:sz w:val="20"/>
                <w:highlight w:val="none"/>
                <w:lang w:val="en-US" w:eastAsia="zh-CN"/>
              </w:rPr>
              <w:t>存期三个月</w:t>
            </w:r>
          </w:p>
        </w:tc>
        <w:tc>
          <w:tcPr>
            <w:tcW w:w="620" w:type="pct"/>
            <w:shd w:val="clear" w:color="auto" w:fill="auto"/>
            <w:vAlign w:val="center"/>
          </w:tcPr>
          <w:p w14:paraId="1B38E796">
            <w:pPr>
              <w:widowControl/>
              <w:jc w:val="center"/>
              <w:rPr>
                <w:rFonts w:eastAsia="仿宋"/>
                <w:kern w:val="0"/>
                <w:sz w:val="20"/>
                <w:highlight w:val="none"/>
              </w:rPr>
            </w:pPr>
            <w:r>
              <w:rPr>
                <w:rFonts w:hint="eastAsia" w:eastAsia="仿宋"/>
                <w:kern w:val="0"/>
                <w:sz w:val="20"/>
                <w:highlight w:val="none"/>
              </w:rPr>
              <w:t>1.1%</w:t>
            </w:r>
          </w:p>
        </w:tc>
      </w:tr>
      <w:bookmarkEnd w:id="0"/>
    </w:tbl>
    <w:p w14:paraId="3EACCCE6">
      <w:pPr>
        <w:spacing w:line="360" w:lineRule="auto"/>
        <w:ind w:firstLine="560" w:firstLineChars="200"/>
        <w:jc w:val="left"/>
        <w:rPr>
          <w:rFonts w:ascii="仿宋" w:hAnsi="仿宋" w:eastAsia="仿宋"/>
          <w:bCs/>
          <w:color w:val="000000"/>
          <w:sz w:val="28"/>
          <w:szCs w:val="28"/>
          <w:highlight w:val="none"/>
        </w:rPr>
      </w:pPr>
      <w:r>
        <w:rPr>
          <w:rFonts w:hint="eastAsia" w:ascii="仿宋" w:hAnsi="仿宋" w:eastAsia="仿宋"/>
          <w:bCs/>
          <w:color w:val="000000"/>
          <w:sz w:val="28"/>
          <w:szCs w:val="28"/>
          <w:highlight w:val="none"/>
        </w:rPr>
        <w:t>公司与上述机构不存在关联关系。</w:t>
      </w:r>
    </w:p>
    <w:p w14:paraId="178F7C9A">
      <w:pPr>
        <w:numPr>
          <w:ilvl w:val="0"/>
          <w:numId w:val="1"/>
        </w:numPr>
        <w:spacing w:line="360" w:lineRule="auto"/>
        <w:ind w:firstLine="562"/>
        <w:jc w:val="left"/>
        <w:outlineLvl w:val="0"/>
        <w:rPr>
          <w:rFonts w:ascii="仿宋" w:hAnsi="仿宋" w:eastAsia="仿宋"/>
          <w:b/>
          <w:color w:val="000000"/>
          <w:sz w:val="28"/>
          <w:highlight w:val="none"/>
        </w:rPr>
      </w:pPr>
      <w:r>
        <w:rPr>
          <w:rFonts w:hint="eastAsia" w:ascii="仿宋" w:hAnsi="仿宋" w:eastAsia="仿宋"/>
          <w:b/>
          <w:color w:val="000000"/>
          <w:sz w:val="28"/>
          <w:highlight w:val="none"/>
        </w:rPr>
        <w:t>本次部分现金管理产品到期赎回情况</w:t>
      </w:r>
    </w:p>
    <w:tbl>
      <w:tblPr>
        <w:tblStyle w:val="8"/>
        <w:tblW w:w="10915" w:type="dxa"/>
        <w:tblInd w:w="-11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5"/>
        <w:gridCol w:w="709"/>
        <w:gridCol w:w="1985"/>
        <w:gridCol w:w="992"/>
        <w:gridCol w:w="851"/>
        <w:gridCol w:w="1276"/>
        <w:gridCol w:w="1134"/>
        <w:gridCol w:w="1275"/>
        <w:gridCol w:w="1134"/>
        <w:gridCol w:w="1134"/>
      </w:tblGrid>
      <w:tr w14:paraId="45F1D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trPr>
        <w:tc>
          <w:tcPr>
            <w:tcW w:w="425" w:type="dxa"/>
            <w:noWrap/>
            <w:vAlign w:val="center"/>
          </w:tcPr>
          <w:p w14:paraId="32482008">
            <w:pPr>
              <w:jc w:val="center"/>
              <w:rPr>
                <w:rFonts w:eastAsia="仿宋"/>
                <w:b/>
                <w:kern w:val="0"/>
                <w:sz w:val="20"/>
                <w:highlight w:val="none"/>
              </w:rPr>
            </w:pPr>
            <w:r>
              <w:rPr>
                <w:rFonts w:eastAsia="仿宋"/>
                <w:b/>
                <w:kern w:val="0"/>
                <w:sz w:val="20"/>
                <w:highlight w:val="none"/>
              </w:rPr>
              <w:t>序号</w:t>
            </w:r>
          </w:p>
        </w:tc>
        <w:tc>
          <w:tcPr>
            <w:tcW w:w="709" w:type="dxa"/>
            <w:noWrap/>
            <w:vAlign w:val="center"/>
          </w:tcPr>
          <w:p w14:paraId="41E58B6F">
            <w:pPr>
              <w:jc w:val="center"/>
              <w:rPr>
                <w:rFonts w:eastAsia="仿宋"/>
                <w:b/>
                <w:kern w:val="0"/>
                <w:sz w:val="20"/>
                <w:highlight w:val="none"/>
              </w:rPr>
            </w:pPr>
            <w:r>
              <w:rPr>
                <w:rFonts w:eastAsia="仿宋"/>
                <w:b/>
                <w:kern w:val="0"/>
                <w:sz w:val="20"/>
                <w:highlight w:val="none"/>
              </w:rPr>
              <w:t>购买主体</w:t>
            </w:r>
          </w:p>
        </w:tc>
        <w:tc>
          <w:tcPr>
            <w:tcW w:w="1985" w:type="dxa"/>
            <w:noWrap/>
            <w:vAlign w:val="center"/>
          </w:tcPr>
          <w:p w14:paraId="5D2F1A7B">
            <w:pPr>
              <w:jc w:val="center"/>
              <w:rPr>
                <w:rFonts w:eastAsia="仿宋"/>
                <w:b/>
                <w:kern w:val="0"/>
                <w:sz w:val="20"/>
                <w:highlight w:val="none"/>
              </w:rPr>
            </w:pPr>
            <w:r>
              <w:rPr>
                <w:rFonts w:eastAsia="仿宋"/>
                <w:b/>
                <w:kern w:val="0"/>
                <w:sz w:val="20"/>
                <w:highlight w:val="none"/>
              </w:rPr>
              <w:t>受托方</w:t>
            </w:r>
          </w:p>
        </w:tc>
        <w:tc>
          <w:tcPr>
            <w:tcW w:w="992" w:type="dxa"/>
            <w:vAlign w:val="center"/>
          </w:tcPr>
          <w:p w14:paraId="045FCF54">
            <w:pPr>
              <w:jc w:val="center"/>
              <w:rPr>
                <w:rFonts w:eastAsia="仿宋"/>
                <w:b/>
                <w:kern w:val="0"/>
                <w:sz w:val="20"/>
                <w:highlight w:val="none"/>
              </w:rPr>
            </w:pPr>
            <w:r>
              <w:rPr>
                <w:rFonts w:eastAsia="仿宋"/>
                <w:b/>
                <w:kern w:val="0"/>
                <w:sz w:val="20"/>
                <w:highlight w:val="none"/>
              </w:rPr>
              <w:t>产品类型</w:t>
            </w:r>
          </w:p>
        </w:tc>
        <w:tc>
          <w:tcPr>
            <w:tcW w:w="851" w:type="dxa"/>
          </w:tcPr>
          <w:p w14:paraId="17B5819E">
            <w:pPr>
              <w:jc w:val="center"/>
              <w:rPr>
                <w:rFonts w:eastAsia="仿宋"/>
                <w:b/>
                <w:kern w:val="0"/>
                <w:sz w:val="20"/>
                <w:highlight w:val="none"/>
              </w:rPr>
            </w:pPr>
            <w:r>
              <w:rPr>
                <w:rFonts w:hint="eastAsia" w:ascii="仿宋" w:hAnsi="仿宋" w:eastAsia="仿宋"/>
                <w:b/>
                <w:color w:val="000000"/>
                <w:szCs w:val="15"/>
                <w:highlight w:val="none"/>
              </w:rPr>
              <w:t>产品名称</w:t>
            </w:r>
          </w:p>
        </w:tc>
        <w:tc>
          <w:tcPr>
            <w:tcW w:w="1276" w:type="dxa"/>
            <w:vAlign w:val="center"/>
          </w:tcPr>
          <w:p w14:paraId="5C04AA0E">
            <w:pPr>
              <w:spacing w:line="360" w:lineRule="auto"/>
              <w:jc w:val="center"/>
              <w:rPr>
                <w:rFonts w:ascii="仿宋" w:hAnsi="仿宋" w:eastAsia="仿宋"/>
                <w:b/>
                <w:color w:val="000000"/>
                <w:szCs w:val="15"/>
                <w:highlight w:val="none"/>
              </w:rPr>
            </w:pPr>
            <w:r>
              <w:rPr>
                <w:rFonts w:hint="eastAsia" w:ascii="仿宋" w:hAnsi="仿宋" w:eastAsia="仿宋"/>
                <w:b/>
                <w:color w:val="000000"/>
                <w:szCs w:val="15"/>
                <w:highlight w:val="none"/>
              </w:rPr>
              <w:t>金额</w:t>
            </w:r>
          </w:p>
          <w:p w14:paraId="293A4824">
            <w:pPr>
              <w:jc w:val="center"/>
              <w:rPr>
                <w:rFonts w:eastAsia="仿宋"/>
                <w:b/>
                <w:kern w:val="0"/>
                <w:sz w:val="20"/>
                <w:highlight w:val="none"/>
              </w:rPr>
            </w:pPr>
            <w:r>
              <w:rPr>
                <w:rFonts w:hint="eastAsia" w:ascii="仿宋" w:hAnsi="仿宋" w:eastAsia="仿宋"/>
                <w:b/>
                <w:color w:val="000000"/>
                <w:szCs w:val="15"/>
                <w:highlight w:val="none"/>
              </w:rPr>
              <w:t>（万元）</w:t>
            </w:r>
          </w:p>
        </w:tc>
        <w:tc>
          <w:tcPr>
            <w:tcW w:w="1134" w:type="dxa"/>
            <w:noWrap/>
            <w:vAlign w:val="center"/>
          </w:tcPr>
          <w:p w14:paraId="7320DE82">
            <w:pPr>
              <w:jc w:val="center"/>
              <w:rPr>
                <w:rFonts w:eastAsia="仿宋"/>
                <w:b/>
                <w:kern w:val="0"/>
                <w:sz w:val="20"/>
                <w:highlight w:val="none"/>
              </w:rPr>
            </w:pPr>
            <w:r>
              <w:rPr>
                <w:rFonts w:eastAsia="仿宋"/>
                <w:b/>
                <w:kern w:val="0"/>
                <w:sz w:val="20"/>
                <w:highlight w:val="none"/>
              </w:rPr>
              <w:t>起始日期</w:t>
            </w:r>
          </w:p>
        </w:tc>
        <w:tc>
          <w:tcPr>
            <w:tcW w:w="1275" w:type="dxa"/>
            <w:shd w:val="clear" w:color="auto" w:fill="auto"/>
            <w:noWrap/>
            <w:vAlign w:val="center"/>
          </w:tcPr>
          <w:p w14:paraId="191F9C19">
            <w:pPr>
              <w:jc w:val="center"/>
              <w:rPr>
                <w:rFonts w:eastAsia="仿宋"/>
                <w:b/>
                <w:kern w:val="0"/>
                <w:sz w:val="20"/>
                <w:highlight w:val="none"/>
              </w:rPr>
            </w:pPr>
            <w:r>
              <w:rPr>
                <w:rFonts w:eastAsia="仿宋"/>
                <w:b/>
                <w:kern w:val="0"/>
                <w:sz w:val="20"/>
                <w:highlight w:val="none"/>
              </w:rPr>
              <w:t>到期日期</w:t>
            </w:r>
          </w:p>
        </w:tc>
        <w:tc>
          <w:tcPr>
            <w:tcW w:w="1134" w:type="dxa"/>
            <w:shd w:val="clear" w:color="auto" w:fill="auto"/>
            <w:noWrap/>
            <w:vAlign w:val="center"/>
          </w:tcPr>
          <w:p w14:paraId="6B46DA71">
            <w:pPr>
              <w:jc w:val="center"/>
              <w:rPr>
                <w:rFonts w:eastAsia="仿宋"/>
                <w:b/>
                <w:kern w:val="0"/>
                <w:sz w:val="20"/>
                <w:highlight w:val="none"/>
              </w:rPr>
            </w:pPr>
            <w:r>
              <w:rPr>
                <w:rFonts w:eastAsia="仿宋"/>
                <w:b/>
                <w:kern w:val="0"/>
                <w:sz w:val="20"/>
                <w:highlight w:val="none"/>
              </w:rPr>
              <w:t>预期年化收益率</w:t>
            </w:r>
          </w:p>
        </w:tc>
        <w:tc>
          <w:tcPr>
            <w:tcW w:w="1134" w:type="dxa"/>
            <w:vAlign w:val="center"/>
          </w:tcPr>
          <w:p w14:paraId="0E394EA4">
            <w:pPr>
              <w:jc w:val="center"/>
              <w:rPr>
                <w:rFonts w:eastAsia="仿宋"/>
                <w:b/>
                <w:kern w:val="0"/>
                <w:sz w:val="20"/>
                <w:highlight w:val="none"/>
              </w:rPr>
            </w:pPr>
            <w:r>
              <w:rPr>
                <w:rFonts w:eastAsia="仿宋"/>
                <w:b/>
                <w:kern w:val="0"/>
                <w:sz w:val="20"/>
                <w:highlight w:val="none"/>
              </w:rPr>
              <w:t>实际损益</w:t>
            </w:r>
          </w:p>
          <w:p w14:paraId="3D49F337">
            <w:pPr>
              <w:jc w:val="center"/>
              <w:rPr>
                <w:rFonts w:eastAsia="仿宋"/>
                <w:b/>
                <w:kern w:val="0"/>
                <w:sz w:val="20"/>
                <w:highlight w:val="none"/>
              </w:rPr>
            </w:pPr>
            <w:r>
              <w:rPr>
                <w:rFonts w:eastAsia="仿宋"/>
                <w:b/>
                <w:kern w:val="0"/>
                <w:sz w:val="20"/>
                <w:highlight w:val="none"/>
              </w:rPr>
              <w:t>（元）</w:t>
            </w:r>
          </w:p>
        </w:tc>
      </w:tr>
      <w:tr w14:paraId="19AFD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5" w:type="dxa"/>
            <w:vAlign w:val="center"/>
          </w:tcPr>
          <w:p w14:paraId="77C4D6FE">
            <w:pPr>
              <w:widowControl/>
              <w:jc w:val="center"/>
              <w:rPr>
                <w:rFonts w:eastAsia="仿宋"/>
                <w:kern w:val="0"/>
                <w:sz w:val="20"/>
                <w:highlight w:val="none"/>
              </w:rPr>
            </w:pPr>
            <w:r>
              <w:rPr>
                <w:rFonts w:hint="eastAsia" w:eastAsia="仿宋"/>
                <w:kern w:val="0"/>
                <w:sz w:val="20"/>
                <w:highlight w:val="none"/>
              </w:rPr>
              <w:t>1</w:t>
            </w:r>
          </w:p>
        </w:tc>
        <w:tc>
          <w:tcPr>
            <w:tcW w:w="709" w:type="dxa"/>
            <w:shd w:val="clear" w:color="auto" w:fill="auto"/>
            <w:vAlign w:val="center"/>
          </w:tcPr>
          <w:p w14:paraId="50563F98">
            <w:pPr>
              <w:jc w:val="center"/>
              <w:rPr>
                <w:rFonts w:eastAsia="仿宋"/>
                <w:bCs/>
                <w:sz w:val="20"/>
                <w:highlight w:val="none"/>
              </w:rPr>
            </w:pPr>
            <w:r>
              <w:rPr>
                <w:rFonts w:eastAsia="仿宋"/>
                <w:bCs/>
                <w:sz w:val="20"/>
                <w:highlight w:val="none"/>
              </w:rPr>
              <w:t>天亿马</w:t>
            </w:r>
          </w:p>
        </w:tc>
        <w:tc>
          <w:tcPr>
            <w:tcW w:w="1985" w:type="dxa"/>
            <w:shd w:val="clear" w:color="auto" w:fill="auto"/>
            <w:vAlign w:val="center"/>
          </w:tcPr>
          <w:p w14:paraId="14A09FAD">
            <w:pPr>
              <w:widowControl/>
              <w:jc w:val="center"/>
              <w:rPr>
                <w:rFonts w:eastAsia="仿宋"/>
                <w:kern w:val="0"/>
                <w:sz w:val="20"/>
                <w:highlight w:val="none"/>
              </w:rPr>
            </w:pPr>
            <w:r>
              <w:rPr>
                <w:rFonts w:hint="eastAsia" w:ascii="仿宋" w:hAnsi="仿宋" w:eastAsia="仿宋"/>
                <w:color w:val="000000"/>
                <w:sz w:val="20"/>
                <w:highlight w:val="none"/>
              </w:rPr>
              <w:t>南洋商业银行（中国）有限公司汕头分行</w:t>
            </w:r>
          </w:p>
        </w:tc>
        <w:tc>
          <w:tcPr>
            <w:tcW w:w="992" w:type="dxa"/>
            <w:shd w:val="clear" w:color="auto" w:fill="auto"/>
            <w:vAlign w:val="center"/>
          </w:tcPr>
          <w:p w14:paraId="32AA7E54">
            <w:pPr>
              <w:jc w:val="center"/>
              <w:rPr>
                <w:rFonts w:eastAsia="仿宋"/>
                <w:kern w:val="0"/>
                <w:sz w:val="20"/>
                <w:highlight w:val="none"/>
              </w:rPr>
            </w:pPr>
            <w:r>
              <w:rPr>
                <w:rFonts w:hint="eastAsia" w:eastAsia="仿宋"/>
                <w:kern w:val="0"/>
                <w:sz w:val="20"/>
                <w:highlight w:val="none"/>
              </w:rPr>
              <w:t>保本型</w:t>
            </w:r>
          </w:p>
        </w:tc>
        <w:tc>
          <w:tcPr>
            <w:tcW w:w="851" w:type="dxa"/>
            <w:vAlign w:val="center"/>
          </w:tcPr>
          <w:p w14:paraId="420C2CC5">
            <w:pPr>
              <w:jc w:val="center"/>
              <w:rPr>
                <w:rFonts w:hint="eastAsia" w:eastAsia="仿宋"/>
                <w:bCs/>
                <w:sz w:val="20"/>
                <w:highlight w:val="none"/>
              </w:rPr>
            </w:pPr>
            <w:r>
              <w:rPr>
                <w:rFonts w:hint="eastAsia" w:eastAsia="仿宋"/>
                <w:bCs/>
                <w:sz w:val="20"/>
                <w:highlight w:val="none"/>
              </w:rPr>
              <w:t>定期存款</w:t>
            </w:r>
          </w:p>
        </w:tc>
        <w:tc>
          <w:tcPr>
            <w:tcW w:w="1276" w:type="dxa"/>
            <w:vAlign w:val="center"/>
          </w:tcPr>
          <w:p w14:paraId="681E5CC1">
            <w:pPr>
              <w:jc w:val="center"/>
              <w:rPr>
                <w:rFonts w:hint="eastAsia" w:eastAsia="仿宋"/>
                <w:bCs/>
                <w:sz w:val="20"/>
                <w:highlight w:val="none"/>
              </w:rPr>
            </w:pPr>
            <w:r>
              <w:rPr>
                <w:rFonts w:hint="eastAsia" w:eastAsia="仿宋"/>
                <w:kern w:val="0"/>
                <w:sz w:val="20"/>
                <w:highlight w:val="none"/>
              </w:rPr>
              <w:t>5,000.00</w:t>
            </w:r>
          </w:p>
        </w:tc>
        <w:tc>
          <w:tcPr>
            <w:tcW w:w="1134" w:type="dxa"/>
            <w:shd w:val="clear" w:color="auto" w:fill="auto"/>
            <w:vAlign w:val="center"/>
          </w:tcPr>
          <w:p w14:paraId="7CC55798">
            <w:pPr>
              <w:widowControl/>
              <w:jc w:val="center"/>
              <w:rPr>
                <w:rFonts w:eastAsia="仿宋"/>
                <w:kern w:val="0"/>
                <w:sz w:val="20"/>
                <w:highlight w:val="none"/>
              </w:rPr>
            </w:pPr>
            <w:r>
              <w:rPr>
                <w:rFonts w:hint="eastAsia" w:eastAsia="仿宋"/>
                <w:kern w:val="0"/>
                <w:sz w:val="20"/>
                <w:highlight w:val="none"/>
              </w:rPr>
              <w:t>2026-3-9</w:t>
            </w:r>
          </w:p>
        </w:tc>
        <w:tc>
          <w:tcPr>
            <w:tcW w:w="1275" w:type="dxa"/>
            <w:vAlign w:val="center"/>
          </w:tcPr>
          <w:p w14:paraId="163D97CD">
            <w:pPr>
              <w:widowControl/>
              <w:jc w:val="center"/>
              <w:rPr>
                <w:rFonts w:eastAsia="仿宋"/>
                <w:kern w:val="0"/>
                <w:sz w:val="20"/>
                <w:highlight w:val="none"/>
              </w:rPr>
            </w:pPr>
            <w:r>
              <w:rPr>
                <w:rFonts w:hint="eastAsia" w:eastAsia="仿宋"/>
                <w:kern w:val="0"/>
                <w:sz w:val="20"/>
                <w:highlight w:val="none"/>
              </w:rPr>
              <w:t>2026-6-9</w:t>
            </w:r>
          </w:p>
        </w:tc>
        <w:tc>
          <w:tcPr>
            <w:tcW w:w="1134" w:type="dxa"/>
            <w:shd w:val="clear" w:color="auto" w:fill="auto"/>
            <w:vAlign w:val="center"/>
          </w:tcPr>
          <w:p w14:paraId="708F74DB">
            <w:pPr>
              <w:widowControl/>
              <w:jc w:val="center"/>
              <w:rPr>
                <w:rFonts w:eastAsia="仿宋"/>
                <w:kern w:val="0"/>
                <w:sz w:val="20"/>
                <w:highlight w:val="none"/>
              </w:rPr>
            </w:pPr>
            <w:r>
              <w:rPr>
                <w:rFonts w:hint="eastAsia" w:eastAsia="仿宋"/>
                <w:kern w:val="0"/>
                <w:sz w:val="20"/>
                <w:highlight w:val="none"/>
              </w:rPr>
              <w:t>1.7%</w:t>
            </w:r>
          </w:p>
        </w:tc>
        <w:tc>
          <w:tcPr>
            <w:tcW w:w="1134" w:type="dxa"/>
            <w:shd w:val="clear" w:color="auto" w:fill="auto"/>
            <w:vAlign w:val="center"/>
          </w:tcPr>
          <w:p w14:paraId="07F9D2B9">
            <w:pPr>
              <w:widowControl/>
              <w:jc w:val="center"/>
              <w:rPr>
                <w:rFonts w:eastAsia="仿宋"/>
                <w:kern w:val="0"/>
                <w:sz w:val="20"/>
                <w:highlight w:val="none"/>
              </w:rPr>
            </w:pPr>
            <w:r>
              <w:rPr>
                <w:rFonts w:eastAsia="仿宋"/>
                <w:kern w:val="0"/>
                <w:sz w:val="20"/>
                <w:highlight w:val="none"/>
              </w:rPr>
              <w:t>212</w:t>
            </w:r>
            <w:r>
              <w:rPr>
                <w:rFonts w:hint="eastAsia" w:eastAsia="仿宋"/>
                <w:kern w:val="0"/>
                <w:sz w:val="20"/>
                <w:highlight w:val="none"/>
              </w:rPr>
              <w:t>,</w:t>
            </w:r>
            <w:r>
              <w:rPr>
                <w:rFonts w:eastAsia="仿宋"/>
                <w:kern w:val="0"/>
                <w:sz w:val="20"/>
                <w:highlight w:val="none"/>
              </w:rPr>
              <w:t>500</w:t>
            </w:r>
          </w:p>
        </w:tc>
      </w:tr>
      <w:tr w14:paraId="559D6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5" w:type="dxa"/>
            <w:vAlign w:val="center"/>
          </w:tcPr>
          <w:p w14:paraId="6F54BB5B">
            <w:pPr>
              <w:widowControl/>
              <w:jc w:val="center"/>
              <w:rPr>
                <w:rFonts w:eastAsia="仿宋"/>
                <w:kern w:val="0"/>
                <w:sz w:val="20"/>
                <w:highlight w:val="none"/>
              </w:rPr>
            </w:pPr>
            <w:r>
              <w:rPr>
                <w:rFonts w:hint="eastAsia" w:eastAsia="仿宋"/>
                <w:kern w:val="0"/>
                <w:sz w:val="20"/>
                <w:highlight w:val="none"/>
              </w:rPr>
              <w:t>2</w:t>
            </w:r>
          </w:p>
        </w:tc>
        <w:tc>
          <w:tcPr>
            <w:tcW w:w="709" w:type="dxa"/>
            <w:shd w:val="clear" w:color="auto" w:fill="auto"/>
            <w:vAlign w:val="center"/>
          </w:tcPr>
          <w:p w14:paraId="27960568">
            <w:pPr>
              <w:jc w:val="center"/>
              <w:rPr>
                <w:rFonts w:eastAsia="仿宋"/>
                <w:bCs/>
                <w:sz w:val="20"/>
                <w:highlight w:val="none"/>
              </w:rPr>
            </w:pPr>
            <w:r>
              <w:rPr>
                <w:rFonts w:eastAsia="仿宋"/>
                <w:bCs/>
                <w:sz w:val="20"/>
                <w:highlight w:val="none"/>
              </w:rPr>
              <w:t>天亿马</w:t>
            </w:r>
          </w:p>
        </w:tc>
        <w:tc>
          <w:tcPr>
            <w:tcW w:w="1985" w:type="dxa"/>
            <w:shd w:val="clear" w:color="auto" w:fill="auto"/>
            <w:vAlign w:val="center"/>
          </w:tcPr>
          <w:p w14:paraId="71ED5236">
            <w:pPr>
              <w:widowControl/>
              <w:jc w:val="center"/>
              <w:rPr>
                <w:rFonts w:eastAsia="仿宋"/>
                <w:kern w:val="0"/>
                <w:sz w:val="20"/>
                <w:highlight w:val="none"/>
              </w:rPr>
            </w:pPr>
            <w:r>
              <w:rPr>
                <w:rFonts w:hint="eastAsia" w:eastAsia="仿宋"/>
                <w:kern w:val="0"/>
                <w:sz w:val="20"/>
                <w:highlight w:val="none"/>
              </w:rPr>
              <w:t>兴业银行股份有限公司汕头分行</w:t>
            </w:r>
          </w:p>
        </w:tc>
        <w:tc>
          <w:tcPr>
            <w:tcW w:w="992" w:type="dxa"/>
            <w:shd w:val="clear" w:color="auto" w:fill="auto"/>
            <w:vAlign w:val="center"/>
          </w:tcPr>
          <w:p w14:paraId="24DF6FC5">
            <w:pPr>
              <w:jc w:val="center"/>
              <w:rPr>
                <w:rFonts w:eastAsia="仿宋"/>
                <w:kern w:val="0"/>
                <w:sz w:val="20"/>
                <w:highlight w:val="none"/>
              </w:rPr>
            </w:pPr>
            <w:r>
              <w:rPr>
                <w:rFonts w:hint="eastAsia" w:eastAsia="仿宋"/>
                <w:kern w:val="0"/>
                <w:sz w:val="20"/>
                <w:highlight w:val="none"/>
              </w:rPr>
              <w:t>保本型</w:t>
            </w:r>
          </w:p>
        </w:tc>
        <w:tc>
          <w:tcPr>
            <w:tcW w:w="851" w:type="dxa"/>
            <w:vAlign w:val="center"/>
          </w:tcPr>
          <w:p w14:paraId="7AB18B8F">
            <w:pPr>
              <w:jc w:val="center"/>
              <w:rPr>
                <w:rFonts w:hint="eastAsia" w:eastAsia="仿宋"/>
                <w:bCs/>
                <w:sz w:val="20"/>
                <w:highlight w:val="none"/>
              </w:rPr>
            </w:pPr>
            <w:r>
              <w:rPr>
                <w:rFonts w:hint="eastAsia" w:eastAsia="仿宋"/>
                <w:bCs/>
                <w:sz w:val="20"/>
                <w:highlight w:val="none"/>
              </w:rPr>
              <w:t>大额存单</w:t>
            </w:r>
          </w:p>
        </w:tc>
        <w:tc>
          <w:tcPr>
            <w:tcW w:w="1276" w:type="dxa"/>
            <w:vAlign w:val="center"/>
          </w:tcPr>
          <w:p w14:paraId="0843E85C">
            <w:pPr>
              <w:jc w:val="center"/>
              <w:rPr>
                <w:rFonts w:hint="eastAsia" w:eastAsia="仿宋"/>
                <w:bCs/>
                <w:sz w:val="20"/>
                <w:highlight w:val="none"/>
              </w:rPr>
            </w:pPr>
            <w:r>
              <w:rPr>
                <w:rFonts w:hint="eastAsia"/>
                <w:color w:val="000000"/>
                <w:sz w:val="20"/>
                <w:highlight w:val="none"/>
              </w:rPr>
              <w:t>2,000.00</w:t>
            </w:r>
          </w:p>
        </w:tc>
        <w:tc>
          <w:tcPr>
            <w:tcW w:w="1134" w:type="dxa"/>
            <w:shd w:val="clear" w:color="auto" w:fill="auto"/>
            <w:vAlign w:val="center"/>
          </w:tcPr>
          <w:p w14:paraId="780FEF2D">
            <w:pPr>
              <w:widowControl/>
              <w:jc w:val="center"/>
              <w:rPr>
                <w:rFonts w:eastAsia="仿宋"/>
                <w:kern w:val="0"/>
                <w:sz w:val="20"/>
                <w:highlight w:val="none"/>
              </w:rPr>
            </w:pPr>
            <w:r>
              <w:rPr>
                <w:rFonts w:hint="eastAsia" w:eastAsia="仿宋"/>
                <w:kern w:val="0"/>
                <w:sz w:val="20"/>
                <w:highlight w:val="none"/>
              </w:rPr>
              <w:t>2026-3-9</w:t>
            </w:r>
          </w:p>
        </w:tc>
        <w:tc>
          <w:tcPr>
            <w:tcW w:w="1275" w:type="dxa"/>
            <w:vAlign w:val="center"/>
          </w:tcPr>
          <w:p w14:paraId="27E16B2E">
            <w:pPr>
              <w:widowControl/>
              <w:jc w:val="center"/>
              <w:rPr>
                <w:rFonts w:eastAsia="仿宋"/>
                <w:kern w:val="0"/>
                <w:sz w:val="20"/>
                <w:highlight w:val="none"/>
              </w:rPr>
            </w:pPr>
            <w:r>
              <w:rPr>
                <w:rFonts w:hint="eastAsia" w:eastAsia="仿宋"/>
                <w:kern w:val="0"/>
                <w:sz w:val="20"/>
                <w:highlight w:val="none"/>
              </w:rPr>
              <w:t>2026-6-9</w:t>
            </w:r>
          </w:p>
        </w:tc>
        <w:tc>
          <w:tcPr>
            <w:tcW w:w="1134" w:type="dxa"/>
            <w:shd w:val="clear" w:color="auto" w:fill="auto"/>
            <w:vAlign w:val="center"/>
          </w:tcPr>
          <w:p w14:paraId="60C7F020">
            <w:pPr>
              <w:widowControl/>
              <w:jc w:val="center"/>
              <w:rPr>
                <w:rFonts w:eastAsia="仿宋"/>
                <w:kern w:val="0"/>
                <w:sz w:val="20"/>
                <w:highlight w:val="none"/>
              </w:rPr>
            </w:pPr>
            <w:r>
              <w:rPr>
                <w:rFonts w:hint="eastAsia" w:eastAsia="仿宋"/>
                <w:kern w:val="0"/>
                <w:sz w:val="20"/>
                <w:highlight w:val="none"/>
              </w:rPr>
              <w:t>1.1%</w:t>
            </w:r>
          </w:p>
        </w:tc>
        <w:tc>
          <w:tcPr>
            <w:tcW w:w="1134" w:type="dxa"/>
            <w:shd w:val="clear" w:color="auto" w:fill="auto"/>
            <w:vAlign w:val="center"/>
          </w:tcPr>
          <w:p w14:paraId="31CC8AED">
            <w:pPr>
              <w:widowControl/>
              <w:jc w:val="center"/>
              <w:rPr>
                <w:rFonts w:hint="default" w:eastAsia="仿宋"/>
                <w:kern w:val="0"/>
                <w:sz w:val="20"/>
                <w:highlight w:val="none"/>
                <w:lang w:val="en-US" w:eastAsia="zh-CN"/>
              </w:rPr>
            </w:pPr>
            <w:r>
              <w:rPr>
                <w:rFonts w:hint="eastAsia" w:eastAsia="仿宋"/>
                <w:kern w:val="0"/>
                <w:sz w:val="20"/>
                <w:highlight w:val="none"/>
                <w:lang w:val="en-US" w:eastAsia="zh-CN"/>
              </w:rPr>
              <w:t>55,000</w:t>
            </w:r>
          </w:p>
        </w:tc>
      </w:tr>
      <w:tr w14:paraId="7B4C6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5" w:type="dxa"/>
            <w:vAlign w:val="center"/>
          </w:tcPr>
          <w:p w14:paraId="4099DBB3">
            <w:pPr>
              <w:widowControl/>
              <w:jc w:val="center"/>
              <w:rPr>
                <w:rFonts w:eastAsia="仿宋"/>
                <w:kern w:val="0"/>
                <w:sz w:val="20"/>
                <w:highlight w:val="none"/>
              </w:rPr>
            </w:pPr>
            <w:r>
              <w:rPr>
                <w:rFonts w:hint="eastAsia" w:eastAsia="仿宋"/>
                <w:kern w:val="0"/>
                <w:sz w:val="20"/>
                <w:highlight w:val="none"/>
              </w:rPr>
              <w:t>3</w:t>
            </w:r>
          </w:p>
        </w:tc>
        <w:tc>
          <w:tcPr>
            <w:tcW w:w="709" w:type="dxa"/>
            <w:shd w:val="clear" w:color="auto" w:fill="auto"/>
            <w:vAlign w:val="center"/>
          </w:tcPr>
          <w:p w14:paraId="32256AC7">
            <w:pPr>
              <w:jc w:val="center"/>
              <w:rPr>
                <w:rFonts w:eastAsia="仿宋"/>
                <w:bCs/>
                <w:sz w:val="20"/>
                <w:highlight w:val="none"/>
              </w:rPr>
            </w:pPr>
            <w:r>
              <w:rPr>
                <w:rFonts w:eastAsia="仿宋"/>
                <w:bCs/>
                <w:sz w:val="20"/>
                <w:highlight w:val="none"/>
              </w:rPr>
              <w:t>天亿马</w:t>
            </w:r>
          </w:p>
        </w:tc>
        <w:tc>
          <w:tcPr>
            <w:tcW w:w="1985" w:type="dxa"/>
            <w:shd w:val="clear" w:color="auto" w:fill="auto"/>
            <w:vAlign w:val="center"/>
          </w:tcPr>
          <w:p w14:paraId="7BBE263C">
            <w:pPr>
              <w:widowControl/>
              <w:jc w:val="center"/>
              <w:rPr>
                <w:rFonts w:eastAsia="仿宋"/>
                <w:kern w:val="0"/>
                <w:sz w:val="20"/>
                <w:highlight w:val="none"/>
              </w:rPr>
            </w:pPr>
            <w:r>
              <w:rPr>
                <w:rFonts w:hint="eastAsia" w:eastAsia="仿宋"/>
                <w:kern w:val="0"/>
                <w:sz w:val="20"/>
                <w:highlight w:val="none"/>
              </w:rPr>
              <w:t>兴业银行股份有限公司汕头分行</w:t>
            </w:r>
          </w:p>
        </w:tc>
        <w:tc>
          <w:tcPr>
            <w:tcW w:w="992" w:type="dxa"/>
            <w:shd w:val="clear" w:color="auto" w:fill="auto"/>
            <w:vAlign w:val="center"/>
          </w:tcPr>
          <w:p w14:paraId="748C2D9C">
            <w:pPr>
              <w:jc w:val="center"/>
              <w:rPr>
                <w:rFonts w:eastAsia="仿宋"/>
                <w:kern w:val="0"/>
                <w:sz w:val="20"/>
                <w:highlight w:val="none"/>
              </w:rPr>
            </w:pPr>
            <w:r>
              <w:rPr>
                <w:rFonts w:hint="eastAsia" w:eastAsia="仿宋"/>
                <w:kern w:val="0"/>
                <w:sz w:val="20"/>
                <w:highlight w:val="none"/>
              </w:rPr>
              <w:t>保本型</w:t>
            </w:r>
          </w:p>
        </w:tc>
        <w:tc>
          <w:tcPr>
            <w:tcW w:w="851" w:type="dxa"/>
            <w:vAlign w:val="center"/>
          </w:tcPr>
          <w:p w14:paraId="1AC0F25E">
            <w:pPr>
              <w:jc w:val="center"/>
              <w:rPr>
                <w:rFonts w:hint="eastAsia" w:eastAsia="仿宋"/>
                <w:bCs/>
                <w:sz w:val="20"/>
                <w:highlight w:val="none"/>
              </w:rPr>
            </w:pPr>
            <w:r>
              <w:rPr>
                <w:rFonts w:hint="eastAsia" w:eastAsia="仿宋"/>
                <w:bCs/>
                <w:sz w:val="20"/>
                <w:highlight w:val="none"/>
              </w:rPr>
              <w:t>大额存单</w:t>
            </w:r>
          </w:p>
        </w:tc>
        <w:tc>
          <w:tcPr>
            <w:tcW w:w="1276" w:type="dxa"/>
            <w:vAlign w:val="center"/>
          </w:tcPr>
          <w:p w14:paraId="771EB246">
            <w:pPr>
              <w:jc w:val="center"/>
              <w:rPr>
                <w:rFonts w:hint="eastAsia" w:eastAsia="仿宋"/>
                <w:bCs/>
                <w:sz w:val="20"/>
                <w:highlight w:val="none"/>
              </w:rPr>
            </w:pPr>
            <w:r>
              <w:rPr>
                <w:rFonts w:hint="eastAsia"/>
                <w:color w:val="000000"/>
                <w:sz w:val="20"/>
                <w:highlight w:val="none"/>
              </w:rPr>
              <w:t>2,000.00</w:t>
            </w:r>
          </w:p>
        </w:tc>
        <w:tc>
          <w:tcPr>
            <w:tcW w:w="1134" w:type="dxa"/>
            <w:shd w:val="clear" w:color="auto" w:fill="auto"/>
            <w:vAlign w:val="center"/>
          </w:tcPr>
          <w:p w14:paraId="56B6BD11">
            <w:pPr>
              <w:widowControl/>
              <w:jc w:val="center"/>
              <w:rPr>
                <w:rFonts w:eastAsia="仿宋"/>
                <w:kern w:val="0"/>
                <w:sz w:val="20"/>
                <w:highlight w:val="none"/>
              </w:rPr>
            </w:pPr>
            <w:r>
              <w:rPr>
                <w:rFonts w:hint="eastAsia" w:eastAsia="仿宋"/>
                <w:kern w:val="0"/>
                <w:sz w:val="20"/>
                <w:highlight w:val="none"/>
              </w:rPr>
              <w:t>2026-3-9</w:t>
            </w:r>
          </w:p>
        </w:tc>
        <w:tc>
          <w:tcPr>
            <w:tcW w:w="1275" w:type="dxa"/>
            <w:vAlign w:val="center"/>
          </w:tcPr>
          <w:p w14:paraId="16E13E3A">
            <w:pPr>
              <w:widowControl/>
              <w:jc w:val="center"/>
              <w:rPr>
                <w:rFonts w:eastAsia="仿宋"/>
                <w:kern w:val="0"/>
                <w:sz w:val="20"/>
                <w:highlight w:val="none"/>
              </w:rPr>
            </w:pPr>
            <w:r>
              <w:rPr>
                <w:rFonts w:hint="eastAsia" w:eastAsia="仿宋"/>
                <w:kern w:val="0"/>
                <w:sz w:val="20"/>
                <w:highlight w:val="none"/>
              </w:rPr>
              <w:t>2026-6-9</w:t>
            </w:r>
          </w:p>
        </w:tc>
        <w:tc>
          <w:tcPr>
            <w:tcW w:w="1134" w:type="dxa"/>
            <w:shd w:val="clear" w:color="auto" w:fill="auto"/>
            <w:vAlign w:val="center"/>
          </w:tcPr>
          <w:p w14:paraId="4EDA89ED">
            <w:pPr>
              <w:widowControl/>
              <w:jc w:val="center"/>
              <w:rPr>
                <w:rFonts w:eastAsia="仿宋"/>
                <w:kern w:val="0"/>
                <w:sz w:val="20"/>
                <w:highlight w:val="none"/>
              </w:rPr>
            </w:pPr>
            <w:r>
              <w:rPr>
                <w:rFonts w:hint="eastAsia" w:eastAsia="仿宋"/>
                <w:kern w:val="0"/>
                <w:sz w:val="20"/>
                <w:highlight w:val="none"/>
              </w:rPr>
              <w:t>1.1%</w:t>
            </w:r>
          </w:p>
        </w:tc>
        <w:tc>
          <w:tcPr>
            <w:tcW w:w="1134" w:type="dxa"/>
            <w:shd w:val="clear" w:color="auto" w:fill="auto"/>
            <w:vAlign w:val="center"/>
          </w:tcPr>
          <w:p w14:paraId="005CA448">
            <w:pPr>
              <w:widowControl/>
              <w:jc w:val="center"/>
              <w:rPr>
                <w:rFonts w:hint="default" w:eastAsia="仿宋"/>
                <w:kern w:val="0"/>
                <w:sz w:val="20"/>
                <w:highlight w:val="none"/>
                <w:lang w:val="en-US" w:eastAsia="zh-CN"/>
              </w:rPr>
            </w:pPr>
            <w:r>
              <w:rPr>
                <w:rFonts w:hint="eastAsia" w:eastAsia="仿宋"/>
                <w:kern w:val="0"/>
                <w:sz w:val="20"/>
                <w:highlight w:val="none"/>
                <w:lang w:val="en-US" w:eastAsia="zh-CN"/>
              </w:rPr>
              <w:t>55,000</w:t>
            </w:r>
          </w:p>
        </w:tc>
      </w:tr>
    </w:tbl>
    <w:p w14:paraId="6D8720E4">
      <w:pPr>
        <w:spacing w:line="360" w:lineRule="auto"/>
        <w:ind w:firstLine="562"/>
        <w:jc w:val="left"/>
        <w:outlineLvl w:val="0"/>
        <w:rPr>
          <w:rFonts w:ascii="仿宋" w:hAnsi="仿宋" w:eastAsia="仿宋"/>
          <w:b/>
          <w:color w:val="000000"/>
          <w:sz w:val="28"/>
          <w:highlight w:val="none"/>
        </w:rPr>
      </w:pPr>
      <w:r>
        <w:rPr>
          <w:rFonts w:hint="eastAsia" w:ascii="仿宋" w:hAnsi="仿宋" w:eastAsia="仿宋"/>
          <w:b/>
          <w:color w:val="000000"/>
          <w:sz w:val="28"/>
          <w:highlight w:val="none"/>
        </w:rPr>
        <w:t>三、投资风险及风险控制措施</w:t>
      </w:r>
    </w:p>
    <w:p w14:paraId="5379D91C">
      <w:pPr>
        <w:spacing w:line="360" w:lineRule="auto"/>
        <w:ind w:firstLine="560" w:firstLineChars="200"/>
        <w:jc w:val="left"/>
        <w:outlineLvl w:val="1"/>
        <w:rPr>
          <w:rFonts w:ascii="仿宋" w:hAnsi="仿宋" w:eastAsia="仿宋"/>
          <w:bCs/>
          <w:color w:val="000000"/>
          <w:sz w:val="28"/>
          <w:highlight w:val="none"/>
        </w:rPr>
      </w:pPr>
      <w:r>
        <w:rPr>
          <w:rFonts w:ascii="仿宋" w:hAnsi="仿宋" w:eastAsia="仿宋"/>
          <w:bCs/>
          <w:color w:val="000000"/>
          <w:sz w:val="28"/>
          <w:highlight w:val="none"/>
        </w:rPr>
        <w:t>（一）投资风险分析</w:t>
      </w:r>
    </w:p>
    <w:p w14:paraId="6BD88FBE">
      <w:pPr>
        <w:spacing w:line="360" w:lineRule="auto"/>
        <w:ind w:left="141" w:leftChars="67" w:firstLine="420" w:firstLineChars="150"/>
        <w:rPr>
          <w:rFonts w:ascii="仿宋" w:hAnsi="仿宋" w:eastAsia="仿宋"/>
          <w:bCs/>
          <w:color w:val="000000"/>
          <w:sz w:val="28"/>
          <w:highlight w:val="none"/>
        </w:rPr>
      </w:pPr>
      <w:r>
        <w:rPr>
          <w:rFonts w:ascii="仿宋" w:hAnsi="仿宋" w:eastAsia="仿宋"/>
          <w:bCs/>
          <w:color w:val="000000"/>
          <w:sz w:val="28"/>
          <w:highlight w:val="none"/>
        </w:rPr>
        <w:t>尽管公司选择安全性高、流动性好的低风险投资品种现金管理产品，但鉴于金融市场受宏观经济的影响较大，公司将根据经济形势以及金融市场的变化适时适量介入，不排除该项投资受市场波动的影响导致实际收益不可预期的风险。</w:t>
      </w:r>
      <w:r>
        <w:rPr>
          <w:rFonts w:hint="eastAsia" w:ascii="仿宋" w:hAnsi="仿宋" w:eastAsia="仿宋"/>
          <w:bCs/>
          <w:color w:val="000000"/>
          <w:sz w:val="28"/>
          <w:highlight w:val="none"/>
        </w:rPr>
        <w:t xml:space="preserve"> </w:t>
      </w:r>
    </w:p>
    <w:p w14:paraId="76F0EE5C">
      <w:pPr>
        <w:numPr>
          <w:ilvl w:val="0"/>
          <w:numId w:val="2"/>
        </w:numPr>
        <w:spacing w:line="360" w:lineRule="auto"/>
        <w:ind w:firstLine="560" w:firstLineChars="200"/>
        <w:jc w:val="left"/>
        <w:outlineLvl w:val="1"/>
        <w:rPr>
          <w:rFonts w:ascii="仿宋" w:hAnsi="仿宋" w:eastAsia="仿宋"/>
          <w:bCs/>
          <w:color w:val="000000"/>
          <w:sz w:val="28"/>
          <w:highlight w:val="none"/>
        </w:rPr>
      </w:pPr>
      <w:r>
        <w:rPr>
          <w:rFonts w:ascii="仿宋" w:hAnsi="仿宋" w:eastAsia="仿宋"/>
          <w:bCs/>
          <w:color w:val="000000"/>
          <w:sz w:val="28"/>
          <w:highlight w:val="none"/>
        </w:rPr>
        <w:t>风险控制措施</w:t>
      </w:r>
    </w:p>
    <w:p w14:paraId="45E2A242">
      <w:pPr>
        <w:spacing w:line="360" w:lineRule="auto"/>
        <w:ind w:left="141" w:leftChars="67" w:firstLine="420" w:firstLineChars="150"/>
        <w:rPr>
          <w:rFonts w:ascii="仿宋" w:hAnsi="仿宋" w:eastAsia="仿宋"/>
          <w:bCs/>
          <w:color w:val="000000"/>
          <w:sz w:val="28"/>
          <w:highlight w:val="none"/>
        </w:rPr>
      </w:pPr>
      <w:r>
        <w:rPr>
          <w:rFonts w:hint="eastAsia" w:ascii="仿宋" w:hAnsi="仿宋" w:eastAsia="仿宋"/>
          <w:bCs/>
          <w:color w:val="000000"/>
          <w:sz w:val="28"/>
          <w:highlight w:val="none"/>
        </w:rPr>
        <w:t>1.</w:t>
      </w:r>
      <w:r>
        <w:rPr>
          <w:rFonts w:ascii="仿宋" w:hAnsi="仿宋" w:eastAsia="仿宋"/>
          <w:bCs/>
          <w:color w:val="000000"/>
          <w:sz w:val="28"/>
          <w:highlight w:val="none"/>
        </w:rPr>
        <w:t>公司将严格遵守审慎投资原则，选择低风险投资品种，不得将募集资金用于其他证券投资，不得购买股票及其衍生品和无担保债券为投资标的的银行理财产品等。</w:t>
      </w:r>
    </w:p>
    <w:p w14:paraId="2A61F016">
      <w:pPr>
        <w:spacing w:line="360" w:lineRule="auto"/>
        <w:ind w:left="141" w:leftChars="67" w:firstLine="420" w:firstLineChars="150"/>
        <w:rPr>
          <w:rFonts w:ascii="仿宋" w:hAnsi="仿宋" w:eastAsia="仿宋"/>
          <w:bCs/>
          <w:color w:val="000000"/>
          <w:sz w:val="28"/>
          <w:highlight w:val="none"/>
        </w:rPr>
      </w:pPr>
      <w:r>
        <w:rPr>
          <w:rFonts w:hint="eastAsia" w:ascii="仿宋" w:hAnsi="仿宋" w:eastAsia="仿宋"/>
          <w:bCs/>
          <w:color w:val="000000"/>
          <w:sz w:val="28"/>
          <w:highlight w:val="none"/>
        </w:rPr>
        <w:t>2.</w:t>
      </w:r>
      <w:r>
        <w:rPr>
          <w:rFonts w:ascii="仿宋" w:hAnsi="仿宋" w:eastAsia="仿宋"/>
          <w:bCs/>
          <w:color w:val="000000"/>
          <w:sz w:val="28"/>
          <w:highlight w:val="none"/>
        </w:rPr>
        <w:t>公司财务部门将及时分析和跟踪理财产品投向。在上述理财产品理财期间，公司将与相关金融机构保持密切联系，及时跟踪理财资金的运作情况，加强风险控制和监督，严格</w:t>
      </w:r>
      <w:r>
        <w:rPr>
          <w:rFonts w:hint="eastAsia" w:ascii="仿宋" w:hAnsi="仿宋" w:eastAsia="仿宋"/>
          <w:bCs/>
          <w:color w:val="000000"/>
          <w:sz w:val="28"/>
          <w:highlight w:val="none"/>
        </w:rPr>
        <w:t>保证</w:t>
      </w:r>
      <w:r>
        <w:rPr>
          <w:rFonts w:ascii="仿宋" w:hAnsi="仿宋" w:eastAsia="仿宋"/>
          <w:bCs/>
          <w:color w:val="000000"/>
          <w:sz w:val="28"/>
          <w:highlight w:val="none"/>
        </w:rPr>
        <w:t>资金的安全。</w:t>
      </w:r>
    </w:p>
    <w:p w14:paraId="23531E09">
      <w:pPr>
        <w:spacing w:line="360" w:lineRule="auto"/>
        <w:ind w:left="141" w:leftChars="67" w:firstLine="420" w:firstLineChars="150"/>
        <w:rPr>
          <w:rFonts w:ascii="仿宋" w:hAnsi="仿宋" w:eastAsia="仿宋"/>
          <w:bCs/>
          <w:color w:val="000000"/>
          <w:sz w:val="28"/>
          <w:highlight w:val="none"/>
        </w:rPr>
      </w:pPr>
      <w:r>
        <w:rPr>
          <w:rFonts w:ascii="仿宋" w:hAnsi="仿宋" w:eastAsia="仿宋"/>
          <w:bCs/>
          <w:color w:val="000000"/>
          <w:sz w:val="28"/>
          <w:highlight w:val="none"/>
        </w:rPr>
        <w:t>3.公司审计部门对理财资金使用和保管情况进行日常监督，定期对理财资金使用情况进行审计、核实。</w:t>
      </w:r>
    </w:p>
    <w:p w14:paraId="17EFA1B1">
      <w:pPr>
        <w:ind w:firstLine="560" w:firstLineChars="200"/>
        <w:rPr>
          <w:rFonts w:ascii="仿宋" w:hAnsi="仿宋" w:eastAsia="仿宋"/>
          <w:sz w:val="28"/>
          <w:highlight w:val="none"/>
        </w:rPr>
      </w:pPr>
      <w:r>
        <w:rPr>
          <w:rFonts w:hint="eastAsia" w:ascii="仿宋" w:hAnsi="仿宋" w:eastAsia="仿宋"/>
          <w:sz w:val="28"/>
          <w:highlight w:val="none"/>
        </w:rPr>
        <w:t>4.公司董事会审计委员会、独立董事有权对资金使用情况进行监督与核查，必要时可以聘请专业机构进行审计。</w:t>
      </w:r>
    </w:p>
    <w:p w14:paraId="53CB87D1">
      <w:pPr>
        <w:spacing w:line="360" w:lineRule="auto"/>
        <w:ind w:left="141" w:leftChars="67" w:firstLine="420" w:firstLineChars="150"/>
        <w:rPr>
          <w:rFonts w:ascii="仿宋" w:hAnsi="仿宋" w:eastAsia="仿宋"/>
          <w:bCs/>
          <w:color w:val="000000"/>
          <w:sz w:val="28"/>
          <w:highlight w:val="none"/>
        </w:rPr>
      </w:pPr>
      <w:r>
        <w:rPr>
          <w:rFonts w:ascii="仿宋" w:hAnsi="仿宋" w:eastAsia="仿宋"/>
          <w:bCs/>
          <w:color w:val="000000"/>
          <w:sz w:val="28"/>
          <w:highlight w:val="none"/>
        </w:rPr>
        <w:t>5.公司将依据深圳证券交易所的相关规定，及时做好相关信息披露工作。</w:t>
      </w:r>
    </w:p>
    <w:p w14:paraId="2264C0AC">
      <w:pPr>
        <w:spacing w:line="360" w:lineRule="auto"/>
        <w:ind w:firstLine="562"/>
        <w:jc w:val="left"/>
        <w:outlineLvl w:val="0"/>
        <w:rPr>
          <w:rFonts w:ascii="仿宋" w:hAnsi="仿宋" w:eastAsia="仿宋"/>
          <w:b/>
          <w:color w:val="000000"/>
          <w:sz w:val="28"/>
          <w:highlight w:val="none"/>
        </w:rPr>
      </w:pPr>
      <w:r>
        <w:rPr>
          <w:rFonts w:hint="eastAsia" w:ascii="仿宋" w:hAnsi="仿宋" w:eastAsia="仿宋"/>
          <w:b/>
          <w:color w:val="000000"/>
          <w:sz w:val="28"/>
          <w:highlight w:val="none"/>
        </w:rPr>
        <w:t>四、本次现金管理事项对公司的影响</w:t>
      </w:r>
    </w:p>
    <w:p w14:paraId="7F422F6C">
      <w:pPr>
        <w:spacing w:line="360" w:lineRule="auto"/>
        <w:ind w:firstLine="560" w:firstLineChars="200"/>
        <w:jc w:val="left"/>
        <w:rPr>
          <w:rFonts w:ascii="仿宋" w:hAnsi="仿宋" w:eastAsia="仿宋"/>
          <w:bCs/>
          <w:color w:val="000000"/>
          <w:sz w:val="28"/>
          <w:highlight w:val="none"/>
        </w:rPr>
      </w:pPr>
      <w:r>
        <w:rPr>
          <w:rFonts w:ascii="仿宋" w:hAnsi="仿宋" w:eastAsia="仿宋"/>
          <w:bCs/>
          <w:color w:val="000000"/>
          <w:sz w:val="28"/>
          <w:highlight w:val="none"/>
        </w:rPr>
        <w:t>公司使用部分闲置募集资金进行现金管理，是在确保不影响公司正常经营和募集资金投资计划正常进行的前提下开展的，不会影响公司募集资金投资项目建设和主营业务的正常开展，不存在变相改变募集资金用途的情况，不存在损害公司和股东利益的情形。</w:t>
      </w:r>
    </w:p>
    <w:p w14:paraId="43A4D2A4">
      <w:pPr>
        <w:spacing w:line="360" w:lineRule="auto"/>
        <w:ind w:firstLine="560" w:firstLineChars="200"/>
        <w:jc w:val="left"/>
        <w:rPr>
          <w:rFonts w:ascii="仿宋" w:hAnsi="仿宋" w:eastAsia="仿宋"/>
          <w:bCs/>
          <w:color w:val="000000"/>
          <w:sz w:val="28"/>
          <w:highlight w:val="none"/>
        </w:rPr>
      </w:pPr>
      <w:r>
        <w:rPr>
          <w:rFonts w:ascii="仿宋" w:hAnsi="仿宋" w:eastAsia="仿宋"/>
          <w:bCs/>
          <w:color w:val="000000"/>
          <w:sz w:val="28"/>
          <w:highlight w:val="none"/>
        </w:rPr>
        <w:t>通过对部分暂时闲置募集资金进行适度、适时的现金管理，可以提高资金的使用效率，为公司和股东获取更多投资回报。</w:t>
      </w:r>
    </w:p>
    <w:p w14:paraId="0E8362D8">
      <w:pPr>
        <w:spacing w:line="360" w:lineRule="auto"/>
        <w:ind w:firstLine="562"/>
        <w:jc w:val="left"/>
        <w:outlineLvl w:val="0"/>
        <w:rPr>
          <w:rFonts w:ascii="仿宋" w:hAnsi="仿宋" w:eastAsia="仿宋"/>
          <w:b/>
          <w:color w:val="000000"/>
          <w:sz w:val="28"/>
          <w:highlight w:val="none"/>
        </w:rPr>
      </w:pPr>
      <w:r>
        <w:rPr>
          <w:rFonts w:hint="eastAsia" w:ascii="仿宋" w:hAnsi="仿宋" w:eastAsia="仿宋"/>
          <w:b/>
          <w:color w:val="000000"/>
          <w:sz w:val="28"/>
          <w:highlight w:val="none"/>
        </w:rPr>
        <w:t>五、最近十二个月公司使用闲置募集资金（含超募资金）进行现金管理的情况</w:t>
      </w:r>
    </w:p>
    <w:p w14:paraId="5DDC5FB4">
      <w:pPr>
        <w:spacing w:line="360" w:lineRule="auto"/>
        <w:ind w:firstLine="560" w:firstLineChars="200"/>
        <w:jc w:val="left"/>
        <w:rPr>
          <w:rFonts w:ascii="仿宋" w:hAnsi="仿宋" w:eastAsia="仿宋"/>
          <w:bCs/>
          <w:color w:val="000000"/>
          <w:sz w:val="28"/>
          <w:highlight w:val="none"/>
        </w:rPr>
      </w:pPr>
      <w:r>
        <w:rPr>
          <w:rFonts w:ascii="仿宋" w:hAnsi="仿宋" w:eastAsia="仿宋"/>
          <w:bCs/>
          <w:color w:val="000000"/>
          <w:sz w:val="28"/>
          <w:highlight w:val="none"/>
        </w:rPr>
        <w:t>截至本公告披露日，公司最近十二个月累计使用闲置募集资金进行现金管理的未到期余额（含本次）为人民币</w:t>
      </w:r>
      <w:r>
        <w:rPr>
          <w:rFonts w:hint="eastAsia" w:ascii="仿宋" w:hAnsi="仿宋" w:eastAsia="仿宋"/>
          <w:bCs/>
          <w:sz w:val="28"/>
          <w:highlight w:val="none"/>
        </w:rPr>
        <w:t>9,000</w:t>
      </w:r>
      <w:r>
        <w:rPr>
          <w:rFonts w:ascii="仿宋" w:hAnsi="仿宋" w:eastAsia="仿宋"/>
          <w:bCs/>
          <w:sz w:val="28"/>
          <w:highlight w:val="none"/>
        </w:rPr>
        <w:t>.0</w:t>
      </w:r>
      <w:r>
        <w:rPr>
          <w:rFonts w:hint="eastAsia" w:ascii="仿宋" w:hAnsi="仿宋" w:eastAsia="仿宋"/>
          <w:bCs/>
          <w:sz w:val="28"/>
          <w:highlight w:val="none"/>
        </w:rPr>
        <w:t>0</w:t>
      </w:r>
      <w:r>
        <w:rPr>
          <w:rFonts w:ascii="仿宋" w:hAnsi="仿宋" w:eastAsia="仿宋"/>
          <w:bCs/>
          <w:color w:val="000000"/>
          <w:sz w:val="28"/>
          <w:highlight w:val="none"/>
        </w:rPr>
        <w:t>万元，未超过股东会对使用闲置募集资金进行现金管理的授权额度，具体如下：</w:t>
      </w:r>
    </w:p>
    <w:tbl>
      <w:tblPr>
        <w:tblStyle w:val="8"/>
        <w:tblW w:w="11151" w:type="dxa"/>
        <w:tblInd w:w="-11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5"/>
        <w:gridCol w:w="709"/>
        <w:gridCol w:w="1276"/>
        <w:gridCol w:w="993"/>
        <w:gridCol w:w="1701"/>
        <w:gridCol w:w="1134"/>
        <w:gridCol w:w="992"/>
        <w:gridCol w:w="992"/>
        <w:gridCol w:w="1134"/>
        <w:gridCol w:w="1228"/>
        <w:gridCol w:w="567"/>
      </w:tblGrid>
      <w:tr w14:paraId="38401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trPr>
        <w:tc>
          <w:tcPr>
            <w:tcW w:w="425" w:type="dxa"/>
            <w:noWrap/>
            <w:vAlign w:val="center"/>
          </w:tcPr>
          <w:p w14:paraId="79FAC0FB">
            <w:pPr>
              <w:jc w:val="center"/>
              <w:rPr>
                <w:rFonts w:eastAsia="仿宋"/>
                <w:b/>
                <w:kern w:val="0"/>
                <w:sz w:val="20"/>
                <w:highlight w:val="none"/>
              </w:rPr>
            </w:pPr>
            <w:r>
              <w:rPr>
                <w:rFonts w:eastAsia="仿宋"/>
                <w:b/>
                <w:kern w:val="0"/>
                <w:sz w:val="20"/>
                <w:highlight w:val="none"/>
              </w:rPr>
              <w:t>序号</w:t>
            </w:r>
          </w:p>
        </w:tc>
        <w:tc>
          <w:tcPr>
            <w:tcW w:w="709" w:type="dxa"/>
            <w:noWrap/>
            <w:vAlign w:val="center"/>
          </w:tcPr>
          <w:p w14:paraId="23CA68C7">
            <w:pPr>
              <w:jc w:val="center"/>
              <w:rPr>
                <w:rFonts w:eastAsia="仿宋"/>
                <w:b/>
                <w:kern w:val="0"/>
                <w:sz w:val="20"/>
                <w:highlight w:val="none"/>
              </w:rPr>
            </w:pPr>
            <w:r>
              <w:rPr>
                <w:rFonts w:eastAsia="仿宋"/>
                <w:b/>
                <w:kern w:val="0"/>
                <w:sz w:val="20"/>
                <w:highlight w:val="none"/>
              </w:rPr>
              <w:t>购买主体</w:t>
            </w:r>
          </w:p>
        </w:tc>
        <w:tc>
          <w:tcPr>
            <w:tcW w:w="1276" w:type="dxa"/>
            <w:noWrap/>
            <w:vAlign w:val="center"/>
          </w:tcPr>
          <w:p w14:paraId="27225D0E">
            <w:pPr>
              <w:jc w:val="center"/>
              <w:rPr>
                <w:rFonts w:eastAsia="仿宋"/>
                <w:b/>
                <w:kern w:val="0"/>
                <w:sz w:val="20"/>
                <w:highlight w:val="none"/>
              </w:rPr>
            </w:pPr>
            <w:r>
              <w:rPr>
                <w:rFonts w:eastAsia="仿宋"/>
                <w:b/>
                <w:kern w:val="0"/>
                <w:sz w:val="20"/>
                <w:highlight w:val="none"/>
              </w:rPr>
              <w:t>受托方</w:t>
            </w:r>
          </w:p>
        </w:tc>
        <w:tc>
          <w:tcPr>
            <w:tcW w:w="993" w:type="dxa"/>
            <w:vAlign w:val="center"/>
          </w:tcPr>
          <w:p w14:paraId="6C58B5DA">
            <w:pPr>
              <w:jc w:val="center"/>
              <w:rPr>
                <w:rFonts w:eastAsia="仿宋"/>
                <w:b/>
                <w:kern w:val="0"/>
                <w:sz w:val="20"/>
                <w:highlight w:val="none"/>
              </w:rPr>
            </w:pPr>
            <w:r>
              <w:rPr>
                <w:rFonts w:eastAsia="仿宋"/>
                <w:b/>
                <w:kern w:val="0"/>
                <w:sz w:val="20"/>
                <w:highlight w:val="none"/>
              </w:rPr>
              <w:t>产品类型</w:t>
            </w:r>
          </w:p>
        </w:tc>
        <w:tc>
          <w:tcPr>
            <w:tcW w:w="1701" w:type="dxa"/>
            <w:noWrap/>
            <w:vAlign w:val="center"/>
          </w:tcPr>
          <w:p w14:paraId="22456F3F">
            <w:pPr>
              <w:jc w:val="center"/>
              <w:rPr>
                <w:rFonts w:eastAsia="仿宋"/>
                <w:b/>
                <w:kern w:val="0"/>
                <w:sz w:val="20"/>
                <w:highlight w:val="none"/>
              </w:rPr>
            </w:pPr>
            <w:r>
              <w:rPr>
                <w:rFonts w:eastAsia="仿宋"/>
                <w:b/>
                <w:kern w:val="0"/>
                <w:sz w:val="20"/>
                <w:highlight w:val="none"/>
              </w:rPr>
              <w:t>产品名称</w:t>
            </w:r>
          </w:p>
        </w:tc>
        <w:tc>
          <w:tcPr>
            <w:tcW w:w="1134" w:type="dxa"/>
            <w:noWrap/>
            <w:vAlign w:val="center"/>
          </w:tcPr>
          <w:p w14:paraId="5CC991E3">
            <w:pPr>
              <w:jc w:val="center"/>
              <w:rPr>
                <w:rFonts w:eastAsia="仿宋"/>
                <w:b/>
                <w:kern w:val="0"/>
                <w:sz w:val="20"/>
                <w:highlight w:val="none"/>
              </w:rPr>
            </w:pPr>
            <w:r>
              <w:rPr>
                <w:rFonts w:eastAsia="仿宋"/>
                <w:b/>
                <w:kern w:val="0"/>
                <w:sz w:val="20"/>
                <w:highlight w:val="none"/>
              </w:rPr>
              <w:t>购买金额</w:t>
            </w:r>
            <w:r>
              <w:rPr>
                <w:rFonts w:hint="eastAsia" w:eastAsia="仿宋"/>
                <w:b/>
                <w:kern w:val="0"/>
                <w:sz w:val="20"/>
                <w:highlight w:val="none"/>
              </w:rPr>
              <w:t>/账户余额</w:t>
            </w:r>
          </w:p>
          <w:p w14:paraId="3BEE8EAD">
            <w:pPr>
              <w:jc w:val="center"/>
              <w:rPr>
                <w:rFonts w:eastAsia="仿宋"/>
                <w:b/>
                <w:kern w:val="0"/>
                <w:sz w:val="20"/>
                <w:highlight w:val="none"/>
              </w:rPr>
            </w:pPr>
            <w:r>
              <w:rPr>
                <w:rFonts w:eastAsia="仿宋"/>
                <w:b/>
                <w:kern w:val="0"/>
                <w:sz w:val="20"/>
                <w:highlight w:val="none"/>
              </w:rPr>
              <w:t>（万元）</w:t>
            </w:r>
          </w:p>
        </w:tc>
        <w:tc>
          <w:tcPr>
            <w:tcW w:w="992" w:type="dxa"/>
            <w:noWrap/>
            <w:vAlign w:val="center"/>
          </w:tcPr>
          <w:p w14:paraId="49E45B30">
            <w:pPr>
              <w:jc w:val="center"/>
              <w:rPr>
                <w:rFonts w:eastAsia="仿宋"/>
                <w:b/>
                <w:kern w:val="0"/>
                <w:sz w:val="20"/>
                <w:highlight w:val="none"/>
              </w:rPr>
            </w:pPr>
            <w:r>
              <w:rPr>
                <w:rFonts w:eastAsia="仿宋"/>
                <w:b/>
                <w:kern w:val="0"/>
                <w:sz w:val="20"/>
                <w:highlight w:val="none"/>
              </w:rPr>
              <w:t>起始日期</w:t>
            </w:r>
          </w:p>
        </w:tc>
        <w:tc>
          <w:tcPr>
            <w:tcW w:w="992" w:type="dxa"/>
            <w:shd w:val="clear" w:color="auto" w:fill="auto"/>
            <w:noWrap/>
            <w:vAlign w:val="center"/>
          </w:tcPr>
          <w:p w14:paraId="588B2032">
            <w:pPr>
              <w:jc w:val="center"/>
              <w:rPr>
                <w:rFonts w:eastAsia="仿宋"/>
                <w:b/>
                <w:kern w:val="0"/>
                <w:sz w:val="20"/>
                <w:highlight w:val="none"/>
              </w:rPr>
            </w:pPr>
            <w:r>
              <w:rPr>
                <w:rFonts w:eastAsia="仿宋"/>
                <w:b/>
                <w:kern w:val="0"/>
                <w:sz w:val="20"/>
                <w:highlight w:val="none"/>
              </w:rPr>
              <w:t>到期日期</w:t>
            </w:r>
          </w:p>
        </w:tc>
        <w:tc>
          <w:tcPr>
            <w:tcW w:w="1134" w:type="dxa"/>
            <w:shd w:val="clear" w:color="auto" w:fill="auto"/>
            <w:noWrap/>
            <w:vAlign w:val="center"/>
          </w:tcPr>
          <w:p w14:paraId="6C5EFD3F">
            <w:pPr>
              <w:jc w:val="center"/>
              <w:rPr>
                <w:rFonts w:eastAsia="仿宋"/>
                <w:b/>
                <w:kern w:val="0"/>
                <w:sz w:val="20"/>
                <w:highlight w:val="none"/>
              </w:rPr>
            </w:pPr>
            <w:r>
              <w:rPr>
                <w:rFonts w:eastAsia="仿宋"/>
                <w:b/>
                <w:kern w:val="0"/>
                <w:sz w:val="20"/>
                <w:highlight w:val="none"/>
              </w:rPr>
              <w:t>预期年化收益率</w:t>
            </w:r>
          </w:p>
        </w:tc>
        <w:tc>
          <w:tcPr>
            <w:tcW w:w="1228" w:type="dxa"/>
            <w:vAlign w:val="center"/>
          </w:tcPr>
          <w:p w14:paraId="132646FC">
            <w:pPr>
              <w:jc w:val="center"/>
              <w:rPr>
                <w:rFonts w:eastAsia="仿宋"/>
                <w:b/>
                <w:kern w:val="0"/>
                <w:sz w:val="20"/>
                <w:highlight w:val="none"/>
              </w:rPr>
            </w:pPr>
            <w:r>
              <w:rPr>
                <w:rFonts w:eastAsia="仿宋"/>
                <w:b/>
                <w:kern w:val="0"/>
                <w:sz w:val="20"/>
                <w:highlight w:val="none"/>
              </w:rPr>
              <w:t>实际损益</w:t>
            </w:r>
          </w:p>
          <w:p w14:paraId="3E7DF701">
            <w:pPr>
              <w:jc w:val="center"/>
              <w:rPr>
                <w:rFonts w:eastAsia="仿宋"/>
                <w:b/>
                <w:kern w:val="0"/>
                <w:sz w:val="20"/>
                <w:highlight w:val="none"/>
              </w:rPr>
            </w:pPr>
            <w:r>
              <w:rPr>
                <w:rFonts w:eastAsia="仿宋"/>
                <w:b/>
                <w:kern w:val="0"/>
                <w:sz w:val="20"/>
                <w:highlight w:val="none"/>
              </w:rPr>
              <w:t>（元）</w:t>
            </w:r>
          </w:p>
        </w:tc>
        <w:tc>
          <w:tcPr>
            <w:tcW w:w="567" w:type="dxa"/>
            <w:vAlign w:val="center"/>
          </w:tcPr>
          <w:p w14:paraId="0179C9D1">
            <w:pPr>
              <w:jc w:val="center"/>
              <w:rPr>
                <w:rFonts w:eastAsia="仿宋"/>
                <w:b/>
                <w:kern w:val="0"/>
                <w:sz w:val="20"/>
                <w:highlight w:val="none"/>
              </w:rPr>
            </w:pPr>
            <w:r>
              <w:rPr>
                <w:rFonts w:eastAsia="仿宋"/>
                <w:b/>
                <w:kern w:val="0"/>
                <w:sz w:val="20"/>
                <w:highlight w:val="none"/>
              </w:rPr>
              <w:t>备注</w:t>
            </w:r>
          </w:p>
        </w:tc>
      </w:tr>
      <w:tr w14:paraId="4D993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425" w:type="dxa"/>
            <w:vAlign w:val="center"/>
          </w:tcPr>
          <w:p w14:paraId="5F26A892">
            <w:pPr>
              <w:widowControl/>
              <w:jc w:val="center"/>
              <w:rPr>
                <w:rFonts w:eastAsia="仿宋"/>
                <w:kern w:val="0"/>
                <w:sz w:val="20"/>
                <w:highlight w:val="none"/>
              </w:rPr>
            </w:pPr>
            <w:r>
              <w:rPr>
                <w:rFonts w:hint="eastAsia" w:eastAsia="仿宋"/>
                <w:kern w:val="0"/>
                <w:sz w:val="20"/>
                <w:highlight w:val="none"/>
              </w:rPr>
              <w:t>1</w:t>
            </w:r>
          </w:p>
        </w:tc>
        <w:tc>
          <w:tcPr>
            <w:tcW w:w="709" w:type="dxa"/>
            <w:vAlign w:val="center"/>
          </w:tcPr>
          <w:p w14:paraId="691DBFF4">
            <w:pPr>
              <w:jc w:val="center"/>
              <w:rPr>
                <w:rFonts w:eastAsia="仿宋"/>
                <w:bCs/>
                <w:sz w:val="20"/>
                <w:highlight w:val="none"/>
              </w:rPr>
            </w:pPr>
            <w:r>
              <w:rPr>
                <w:rFonts w:eastAsia="仿宋"/>
                <w:bCs/>
                <w:sz w:val="20"/>
                <w:highlight w:val="none"/>
              </w:rPr>
              <w:t>天亿马</w:t>
            </w:r>
          </w:p>
        </w:tc>
        <w:tc>
          <w:tcPr>
            <w:tcW w:w="1276" w:type="dxa"/>
            <w:vAlign w:val="center"/>
          </w:tcPr>
          <w:p w14:paraId="3559E874">
            <w:pPr>
              <w:widowControl/>
              <w:jc w:val="center"/>
              <w:rPr>
                <w:rFonts w:eastAsia="仿宋"/>
                <w:kern w:val="0"/>
                <w:sz w:val="20"/>
                <w:highlight w:val="none"/>
              </w:rPr>
            </w:pPr>
            <w:r>
              <w:rPr>
                <w:rFonts w:hint="eastAsia" w:eastAsia="仿宋"/>
                <w:kern w:val="0"/>
                <w:sz w:val="20"/>
                <w:highlight w:val="none"/>
              </w:rPr>
              <w:t>兴业银行汕头分行营业部</w:t>
            </w:r>
          </w:p>
        </w:tc>
        <w:tc>
          <w:tcPr>
            <w:tcW w:w="993" w:type="dxa"/>
            <w:vAlign w:val="center"/>
          </w:tcPr>
          <w:p w14:paraId="55378ACC">
            <w:pPr>
              <w:jc w:val="center"/>
              <w:rPr>
                <w:rFonts w:eastAsia="仿宋"/>
                <w:kern w:val="0"/>
                <w:sz w:val="20"/>
                <w:highlight w:val="none"/>
              </w:rPr>
            </w:pPr>
            <w:r>
              <w:rPr>
                <w:rFonts w:hint="eastAsia" w:eastAsia="仿宋"/>
                <w:kern w:val="0"/>
                <w:sz w:val="20"/>
                <w:highlight w:val="none"/>
              </w:rPr>
              <w:t>保本型</w:t>
            </w:r>
          </w:p>
        </w:tc>
        <w:tc>
          <w:tcPr>
            <w:tcW w:w="1701" w:type="dxa"/>
            <w:vAlign w:val="center"/>
          </w:tcPr>
          <w:p w14:paraId="4ED49A16">
            <w:pPr>
              <w:jc w:val="center"/>
              <w:rPr>
                <w:rFonts w:eastAsia="仿宋"/>
                <w:bCs/>
                <w:sz w:val="20"/>
                <w:highlight w:val="none"/>
              </w:rPr>
            </w:pPr>
            <w:r>
              <w:rPr>
                <w:rFonts w:hint="eastAsia" w:eastAsia="仿宋"/>
                <w:bCs/>
                <w:sz w:val="20"/>
                <w:highlight w:val="none"/>
              </w:rPr>
              <w:t>定期存款</w:t>
            </w:r>
          </w:p>
        </w:tc>
        <w:tc>
          <w:tcPr>
            <w:tcW w:w="1134" w:type="dxa"/>
            <w:vAlign w:val="center"/>
          </w:tcPr>
          <w:p w14:paraId="4D281FFF">
            <w:pPr>
              <w:jc w:val="center"/>
              <w:rPr>
                <w:rFonts w:eastAsia="仿宋"/>
                <w:bCs/>
                <w:sz w:val="20"/>
                <w:highlight w:val="none"/>
              </w:rPr>
            </w:pPr>
            <w:r>
              <w:rPr>
                <w:rFonts w:hint="eastAsia" w:eastAsia="仿宋"/>
                <w:bCs/>
                <w:sz w:val="20"/>
                <w:highlight w:val="none"/>
              </w:rPr>
              <w:t>3,200.00</w:t>
            </w:r>
          </w:p>
        </w:tc>
        <w:tc>
          <w:tcPr>
            <w:tcW w:w="992" w:type="dxa"/>
            <w:vAlign w:val="center"/>
          </w:tcPr>
          <w:p w14:paraId="176069F5">
            <w:pPr>
              <w:jc w:val="center"/>
              <w:rPr>
                <w:rFonts w:eastAsia="仿宋"/>
                <w:bCs/>
                <w:sz w:val="20"/>
                <w:highlight w:val="none"/>
              </w:rPr>
            </w:pPr>
            <w:r>
              <w:rPr>
                <w:rFonts w:hint="eastAsia" w:eastAsia="仿宋"/>
                <w:bCs/>
                <w:sz w:val="20"/>
                <w:highlight w:val="none"/>
              </w:rPr>
              <w:t>2024-12-31</w:t>
            </w:r>
          </w:p>
        </w:tc>
        <w:tc>
          <w:tcPr>
            <w:tcW w:w="992" w:type="dxa"/>
            <w:vAlign w:val="center"/>
          </w:tcPr>
          <w:p w14:paraId="68CD9A31">
            <w:pPr>
              <w:jc w:val="center"/>
              <w:rPr>
                <w:sz w:val="20"/>
                <w:highlight w:val="none"/>
              </w:rPr>
            </w:pPr>
            <w:r>
              <w:rPr>
                <w:rFonts w:hint="eastAsia" w:eastAsia="仿宋"/>
                <w:bCs/>
                <w:sz w:val="20"/>
                <w:highlight w:val="none"/>
              </w:rPr>
              <w:t>6个月</w:t>
            </w:r>
          </w:p>
        </w:tc>
        <w:tc>
          <w:tcPr>
            <w:tcW w:w="1134" w:type="dxa"/>
            <w:vAlign w:val="center"/>
          </w:tcPr>
          <w:p w14:paraId="32A140DD">
            <w:pPr>
              <w:jc w:val="center"/>
              <w:rPr>
                <w:rFonts w:eastAsia="仿宋"/>
                <w:bCs/>
                <w:sz w:val="20"/>
                <w:highlight w:val="none"/>
              </w:rPr>
            </w:pPr>
            <w:r>
              <w:rPr>
                <w:rFonts w:hint="eastAsia" w:eastAsia="仿宋"/>
                <w:bCs/>
                <w:sz w:val="20"/>
                <w:highlight w:val="none"/>
              </w:rPr>
              <w:t>1.55%</w:t>
            </w:r>
          </w:p>
        </w:tc>
        <w:tc>
          <w:tcPr>
            <w:tcW w:w="1228" w:type="dxa"/>
            <w:vAlign w:val="center"/>
          </w:tcPr>
          <w:p w14:paraId="6F4229CF">
            <w:pPr>
              <w:widowControl/>
              <w:jc w:val="center"/>
              <w:rPr>
                <w:rFonts w:eastAsia="仿宋"/>
                <w:kern w:val="0"/>
                <w:sz w:val="20"/>
                <w:highlight w:val="none"/>
              </w:rPr>
            </w:pPr>
            <w:r>
              <w:rPr>
                <w:rFonts w:hint="eastAsia" w:eastAsia="仿宋"/>
                <w:kern w:val="0"/>
                <w:sz w:val="20"/>
                <w:highlight w:val="none"/>
              </w:rPr>
              <w:t>248,000.00</w:t>
            </w:r>
          </w:p>
        </w:tc>
        <w:tc>
          <w:tcPr>
            <w:tcW w:w="567" w:type="dxa"/>
            <w:vAlign w:val="center"/>
          </w:tcPr>
          <w:p w14:paraId="584AEDFF">
            <w:pPr>
              <w:jc w:val="center"/>
              <w:rPr>
                <w:rFonts w:eastAsia="仿宋"/>
                <w:kern w:val="0"/>
                <w:sz w:val="20"/>
                <w:highlight w:val="none"/>
              </w:rPr>
            </w:pPr>
            <w:r>
              <w:rPr>
                <w:rFonts w:hint="eastAsia" w:eastAsia="仿宋"/>
                <w:kern w:val="0"/>
                <w:sz w:val="20"/>
                <w:highlight w:val="none"/>
              </w:rPr>
              <w:t>已到期</w:t>
            </w:r>
          </w:p>
        </w:tc>
      </w:tr>
      <w:tr w14:paraId="067E0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5" w:type="dxa"/>
            <w:vAlign w:val="center"/>
          </w:tcPr>
          <w:p w14:paraId="0AC45D5F">
            <w:pPr>
              <w:widowControl/>
              <w:jc w:val="center"/>
              <w:rPr>
                <w:rFonts w:eastAsia="仿宋"/>
                <w:kern w:val="0"/>
                <w:sz w:val="20"/>
                <w:highlight w:val="none"/>
              </w:rPr>
            </w:pPr>
            <w:r>
              <w:rPr>
                <w:rFonts w:hint="eastAsia" w:eastAsia="仿宋"/>
                <w:kern w:val="0"/>
                <w:sz w:val="20"/>
                <w:highlight w:val="none"/>
              </w:rPr>
              <w:t>2</w:t>
            </w:r>
          </w:p>
        </w:tc>
        <w:tc>
          <w:tcPr>
            <w:tcW w:w="709" w:type="dxa"/>
            <w:vAlign w:val="center"/>
          </w:tcPr>
          <w:p w14:paraId="2A3EBB3D">
            <w:pPr>
              <w:jc w:val="center"/>
              <w:rPr>
                <w:rFonts w:eastAsia="仿宋"/>
                <w:bCs/>
                <w:sz w:val="20"/>
                <w:highlight w:val="none"/>
              </w:rPr>
            </w:pPr>
            <w:r>
              <w:rPr>
                <w:rFonts w:eastAsia="仿宋"/>
                <w:bCs/>
                <w:sz w:val="20"/>
                <w:highlight w:val="none"/>
              </w:rPr>
              <w:t>天亿马</w:t>
            </w:r>
          </w:p>
        </w:tc>
        <w:tc>
          <w:tcPr>
            <w:tcW w:w="1276" w:type="dxa"/>
            <w:vAlign w:val="center"/>
          </w:tcPr>
          <w:p w14:paraId="43A1CFB4">
            <w:pPr>
              <w:widowControl/>
              <w:jc w:val="center"/>
              <w:rPr>
                <w:rFonts w:eastAsia="仿宋"/>
                <w:kern w:val="0"/>
                <w:sz w:val="20"/>
                <w:highlight w:val="none"/>
              </w:rPr>
            </w:pPr>
            <w:r>
              <w:rPr>
                <w:rFonts w:hint="eastAsia" w:eastAsia="仿宋"/>
                <w:kern w:val="0"/>
                <w:sz w:val="20"/>
                <w:highlight w:val="none"/>
              </w:rPr>
              <w:t>兴业银行汕头分行营业部</w:t>
            </w:r>
          </w:p>
        </w:tc>
        <w:tc>
          <w:tcPr>
            <w:tcW w:w="993" w:type="dxa"/>
            <w:vAlign w:val="center"/>
          </w:tcPr>
          <w:p w14:paraId="31A9FD3D">
            <w:pPr>
              <w:jc w:val="center"/>
              <w:rPr>
                <w:rFonts w:eastAsia="仿宋"/>
                <w:kern w:val="0"/>
                <w:sz w:val="20"/>
                <w:highlight w:val="none"/>
              </w:rPr>
            </w:pPr>
            <w:r>
              <w:rPr>
                <w:rFonts w:hint="eastAsia" w:eastAsia="仿宋"/>
                <w:kern w:val="0"/>
                <w:sz w:val="20"/>
                <w:highlight w:val="none"/>
              </w:rPr>
              <w:t>保本型</w:t>
            </w:r>
          </w:p>
        </w:tc>
        <w:tc>
          <w:tcPr>
            <w:tcW w:w="1701" w:type="dxa"/>
            <w:vAlign w:val="center"/>
          </w:tcPr>
          <w:p w14:paraId="6164E69F">
            <w:pPr>
              <w:jc w:val="center"/>
              <w:rPr>
                <w:rFonts w:eastAsia="仿宋"/>
                <w:bCs/>
                <w:sz w:val="20"/>
                <w:highlight w:val="none"/>
              </w:rPr>
            </w:pPr>
            <w:r>
              <w:rPr>
                <w:rFonts w:hint="eastAsia" w:eastAsia="仿宋"/>
                <w:bCs/>
                <w:sz w:val="20"/>
                <w:highlight w:val="none"/>
              </w:rPr>
              <w:t>定期存款</w:t>
            </w:r>
          </w:p>
        </w:tc>
        <w:tc>
          <w:tcPr>
            <w:tcW w:w="1134" w:type="dxa"/>
            <w:vAlign w:val="center"/>
          </w:tcPr>
          <w:p w14:paraId="76F05D51">
            <w:pPr>
              <w:jc w:val="center"/>
              <w:rPr>
                <w:rFonts w:eastAsia="仿宋"/>
                <w:bCs/>
                <w:sz w:val="20"/>
                <w:highlight w:val="none"/>
              </w:rPr>
            </w:pPr>
            <w:r>
              <w:rPr>
                <w:rFonts w:hint="eastAsia" w:eastAsia="仿宋"/>
                <w:bCs/>
                <w:sz w:val="20"/>
                <w:highlight w:val="none"/>
              </w:rPr>
              <w:t>1,800.00</w:t>
            </w:r>
          </w:p>
        </w:tc>
        <w:tc>
          <w:tcPr>
            <w:tcW w:w="992" w:type="dxa"/>
            <w:vAlign w:val="center"/>
          </w:tcPr>
          <w:p w14:paraId="7E38DA6B">
            <w:pPr>
              <w:jc w:val="center"/>
              <w:rPr>
                <w:rFonts w:eastAsia="仿宋"/>
                <w:bCs/>
                <w:sz w:val="20"/>
                <w:highlight w:val="none"/>
              </w:rPr>
            </w:pPr>
            <w:r>
              <w:rPr>
                <w:rFonts w:hint="eastAsia" w:eastAsia="仿宋"/>
                <w:bCs/>
                <w:sz w:val="20"/>
                <w:highlight w:val="none"/>
              </w:rPr>
              <w:t>2024-12-31</w:t>
            </w:r>
          </w:p>
        </w:tc>
        <w:tc>
          <w:tcPr>
            <w:tcW w:w="992" w:type="dxa"/>
            <w:vAlign w:val="center"/>
          </w:tcPr>
          <w:p w14:paraId="66202D96">
            <w:pPr>
              <w:jc w:val="center"/>
              <w:rPr>
                <w:sz w:val="20"/>
                <w:highlight w:val="none"/>
              </w:rPr>
            </w:pPr>
            <w:r>
              <w:rPr>
                <w:rFonts w:hint="eastAsia" w:eastAsia="仿宋"/>
                <w:bCs/>
                <w:sz w:val="20"/>
                <w:highlight w:val="none"/>
              </w:rPr>
              <w:t>6个月</w:t>
            </w:r>
          </w:p>
        </w:tc>
        <w:tc>
          <w:tcPr>
            <w:tcW w:w="1134" w:type="dxa"/>
            <w:vAlign w:val="center"/>
          </w:tcPr>
          <w:p w14:paraId="7B81B0ED">
            <w:pPr>
              <w:jc w:val="center"/>
              <w:rPr>
                <w:rFonts w:eastAsia="仿宋"/>
                <w:bCs/>
                <w:sz w:val="20"/>
                <w:highlight w:val="none"/>
              </w:rPr>
            </w:pPr>
            <w:r>
              <w:rPr>
                <w:rFonts w:hint="eastAsia" w:eastAsia="仿宋"/>
                <w:bCs/>
                <w:sz w:val="20"/>
                <w:highlight w:val="none"/>
              </w:rPr>
              <w:t>1.55%</w:t>
            </w:r>
          </w:p>
        </w:tc>
        <w:tc>
          <w:tcPr>
            <w:tcW w:w="1228" w:type="dxa"/>
            <w:vAlign w:val="center"/>
          </w:tcPr>
          <w:p w14:paraId="396D6158">
            <w:pPr>
              <w:widowControl/>
              <w:jc w:val="center"/>
              <w:rPr>
                <w:rFonts w:eastAsia="仿宋"/>
                <w:kern w:val="0"/>
                <w:sz w:val="20"/>
                <w:highlight w:val="none"/>
              </w:rPr>
            </w:pPr>
            <w:r>
              <w:rPr>
                <w:rFonts w:hint="eastAsia" w:eastAsia="仿宋"/>
                <w:kern w:val="0"/>
                <w:sz w:val="20"/>
                <w:highlight w:val="none"/>
              </w:rPr>
              <w:t>139,500.00</w:t>
            </w:r>
          </w:p>
        </w:tc>
        <w:tc>
          <w:tcPr>
            <w:tcW w:w="567" w:type="dxa"/>
            <w:vAlign w:val="center"/>
          </w:tcPr>
          <w:p w14:paraId="343C405D">
            <w:pPr>
              <w:jc w:val="center"/>
              <w:rPr>
                <w:rFonts w:eastAsia="仿宋"/>
                <w:kern w:val="0"/>
                <w:sz w:val="20"/>
                <w:highlight w:val="none"/>
              </w:rPr>
            </w:pPr>
            <w:r>
              <w:rPr>
                <w:rFonts w:hint="eastAsia" w:eastAsia="仿宋"/>
                <w:kern w:val="0"/>
                <w:sz w:val="20"/>
                <w:highlight w:val="none"/>
              </w:rPr>
              <w:t>已到期</w:t>
            </w:r>
          </w:p>
        </w:tc>
      </w:tr>
      <w:tr w14:paraId="12477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5" w:type="dxa"/>
            <w:vAlign w:val="center"/>
          </w:tcPr>
          <w:p w14:paraId="2D3865CE">
            <w:pPr>
              <w:widowControl/>
              <w:jc w:val="center"/>
              <w:rPr>
                <w:rFonts w:eastAsia="仿宋"/>
                <w:kern w:val="0"/>
                <w:sz w:val="20"/>
                <w:highlight w:val="none"/>
              </w:rPr>
            </w:pPr>
            <w:r>
              <w:rPr>
                <w:rFonts w:hint="eastAsia" w:eastAsia="仿宋"/>
                <w:kern w:val="0"/>
                <w:sz w:val="20"/>
                <w:highlight w:val="none"/>
              </w:rPr>
              <w:t>3</w:t>
            </w:r>
          </w:p>
        </w:tc>
        <w:tc>
          <w:tcPr>
            <w:tcW w:w="709" w:type="dxa"/>
            <w:vAlign w:val="center"/>
          </w:tcPr>
          <w:p w14:paraId="67A66434">
            <w:pPr>
              <w:jc w:val="center"/>
              <w:rPr>
                <w:sz w:val="20"/>
                <w:highlight w:val="none"/>
              </w:rPr>
            </w:pPr>
            <w:r>
              <w:rPr>
                <w:rFonts w:eastAsia="仿宋"/>
                <w:bCs/>
                <w:sz w:val="20"/>
                <w:highlight w:val="none"/>
              </w:rPr>
              <w:t>天亿马</w:t>
            </w:r>
          </w:p>
        </w:tc>
        <w:tc>
          <w:tcPr>
            <w:tcW w:w="1276" w:type="dxa"/>
            <w:vAlign w:val="center"/>
          </w:tcPr>
          <w:p w14:paraId="755F0CF5">
            <w:pPr>
              <w:widowControl/>
              <w:jc w:val="center"/>
              <w:rPr>
                <w:rFonts w:eastAsia="仿宋"/>
                <w:kern w:val="0"/>
                <w:sz w:val="20"/>
                <w:highlight w:val="none"/>
              </w:rPr>
            </w:pPr>
            <w:r>
              <w:rPr>
                <w:rFonts w:hint="eastAsia" w:eastAsia="仿宋"/>
                <w:kern w:val="0"/>
                <w:sz w:val="20"/>
                <w:highlight w:val="none"/>
              </w:rPr>
              <w:t>中信银行汕头分行</w:t>
            </w:r>
          </w:p>
        </w:tc>
        <w:tc>
          <w:tcPr>
            <w:tcW w:w="993" w:type="dxa"/>
            <w:vAlign w:val="center"/>
          </w:tcPr>
          <w:p w14:paraId="5A810CB0">
            <w:pPr>
              <w:jc w:val="center"/>
              <w:rPr>
                <w:rFonts w:eastAsia="仿宋"/>
                <w:kern w:val="0"/>
                <w:sz w:val="20"/>
                <w:highlight w:val="none"/>
              </w:rPr>
            </w:pPr>
            <w:r>
              <w:rPr>
                <w:rFonts w:hint="eastAsia" w:eastAsia="仿宋"/>
                <w:kern w:val="0"/>
                <w:sz w:val="20"/>
                <w:highlight w:val="none"/>
              </w:rPr>
              <w:t>保本型</w:t>
            </w:r>
          </w:p>
        </w:tc>
        <w:tc>
          <w:tcPr>
            <w:tcW w:w="1701" w:type="dxa"/>
            <w:vAlign w:val="center"/>
          </w:tcPr>
          <w:p w14:paraId="23D0952E">
            <w:pPr>
              <w:jc w:val="center"/>
              <w:rPr>
                <w:rFonts w:eastAsia="仿宋"/>
                <w:bCs/>
                <w:sz w:val="20"/>
                <w:highlight w:val="none"/>
              </w:rPr>
            </w:pPr>
            <w:r>
              <w:rPr>
                <w:rFonts w:hint="eastAsia" w:eastAsia="仿宋"/>
                <w:bCs/>
                <w:sz w:val="20"/>
                <w:highlight w:val="none"/>
              </w:rPr>
              <w:t>定期存款</w:t>
            </w:r>
          </w:p>
        </w:tc>
        <w:tc>
          <w:tcPr>
            <w:tcW w:w="1134" w:type="dxa"/>
            <w:vAlign w:val="center"/>
          </w:tcPr>
          <w:p w14:paraId="13F7C601">
            <w:pPr>
              <w:jc w:val="center"/>
              <w:rPr>
                <w:rFonts w:eastAsia="仿宋"/>
                <w:bCs/>
                <w:sz w:val="20"/>
                <w:highlight w:val="none"/>
              </w:rPr>
            </w:pPr>
            <w:r>
              <w:rPr>
                <w:rFonts w:hint="eastAsia" w:eastAsia="仿宋"/>
                <w:bCs/>
                <w:sz w:val="20"/>
                <w:highlight w:val="none"/>
              </w:rPr>
              <w:t>1,000.00</w:t>
            </w:r>
          </w:p>
        </w:tc>
        <w:tc>
          <w:tcPr>
            <w:tcW w:w="992" w:type="dxa"/>
            <w:vAlign w:val="center"/>
          </w:tcPr>
          <w:p w14:paraId="2373C1FF">
            <w:pPr>
              <w:jc w:val="center"/>
              <w:rPr>
                <w:rFonts w:eastAsia="仿宋"/>
                <w:bCs/>
                <w:sz w:val="20"/>
                <w:highlight w:val="none"/>
              </w:rPr>
            </w:pPr>
            <w:r>
              <w:rPr>
                <w:rFonts w:hint="eastAsia" w:eastAsia="仿宋"/>
                <w:bCs/>
                <w:sz w:val="20"/>
                <w:highlight w:val="none"/>
              </w:rPr>
              <w:t>2025-01-02</w:t>
            </w:r>
          </w:p>
        </w:tc>
        <w:tc>
          <w:tcPr>
            <w:tcW w:w="992" w:type="dxa"/>
            <w:vAlign w:val="center"/>
          </w:tcPr>
          <w:p w14:paraId="2AE61EDE">
            <w:pPr>
              <w:jc w:val="center"/>
              <w:rPr>
                <w:rFonts w:eastAsia="仿宋"/>
                <w:bCs/>
                <w:sz w:val="20"/>
                <w:highlight w:val="none"/>
              </w:rPr>
            </w:pPr>
            <w:r>
              <w:rPr>
                <w:rFonts w:hint="eastAsia" w:eastAsia="仿宋"/>
                <w:bCs/>
                <w:sz w:val="20"/>
                <w:highlight w:val="none"/>
              </w:rPr>
              <w:t>2025-07-14</w:t>
            </w:r>
          </w:p>
        </w:tc>
        <w:tc>
          <w:tcPr>
            <w:tcW w:w="1134" w:type="dxa"/>
            <w:vAlign w:val="center"/>
          </w:tcPr>
          <w:p w14:paraId="593AEC36">
            <w:pPr>
              <w:jc w:val="center"/>
              <w:rPr>
                <w:rFonts w:eastAsia="仿宋"/>
                <w:bCs/>
                <w:sz w:val="20"/>
                <w:highlight w:val="none"/>
              </w:rPr>
            </w:pPr>
            <w:r>
              <w:rPr>
                <w:rFonts w:hint="eastAsia" w:eastAsia="仿宋"/>
                <w:bCs/>
                <w:sz w:val="20"/>
                <w:highlight w:val="none"/>
              </w:rPr>
              <w:t>1.50%</w:t>
            </w:r>
          </w:p>
        </w:tc>
        <w:tc>
          <w:tcPr>
            <w:tcW w:w="1228" w:type="dxa"/>
            <w:vAlign w:val="center"/>
          </w:tcPr>
          <w:p w14:paraId="4484AAFC">
            <w:pPr>
              <w:widowControl/>
              <w:jc w:val="center"/>
              <w:rPr>
                <w:rFonts w:eastAsia="仿宋"/>
                <w:kern w:val="0"/>
                <w:sz w:val="20"/>
                <w:highlight w:val="none"/>
              </w:rPr>
            </w:pPr>
            <w:r>
              <w:rPr>
                <w:rFonts w:eastAsia="仿宋"/>
                <w:kern w:val="0"/>
                <w:sz w:val="20"/>
                <w:highlight w:val="none"/>
              </w:rPr>
              <w:t>75,166.67</w:t>
            </w:r>
          </w:p>
        </w:tc>
        <w:tc>
          <w:tcPr>
            <w:tcW w:w="567" w:type="dxa"/>
            <w:vAlign w:val="center"/>
          </w:tcPr>
          <w:p w14:paraId="30A05772">
            <w:pPr>
              <w:jc w:val="center"/>
              <w:rPr>
                <w:rFonts w:eastAsia="仿宋"/>
                <w:kern w:val="0"/>
                <w:sz w:val="20"/>
                <w:highlight w:val="none"/>
              </w:rPr>
            </w:pPr>
            <w:r>
              <w:rPr>
                <w:rFonts w:hint="eastAsia" w:eastAsia="仿宋"/>
                <w:kern w:val="0"/>
                <w:sz w:val="20"/>
                <w:highlight w:val="none"/>
              </w:rPr>
              <w:t>已到期</w:t>
            </w:r>
          </w:p>
        </w:tc>
      </w:tr>
      <w:tr w14:paraId="4E912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5" w:type="dxa"/>
            <w:vAlign w:val="center"/>
          </w:tcPr>
          <w:p w14:paraId="5AE0B031">
            <w:pPr>
              <w:widowControl/>
              <w:jc w:val="center"/>
              <w:rPr>
                <w:rFonts w:eastAsia="仿宋"/>
                <w:kern w:val="0"/>
                <w:sz w:val="20"/>
                <w:highlight w:val="none"/>
              </w:rPr>
            </w:pPr>
            <w:r>
              <w:rPr>
                <w:rFonts w:hint="eastAsia" w:eastAsia="仿宋"/>
                <w:kern w:val="0"/>
                <w:sz w:val="20"/>
                <w:highlight w:val="none"/>
              </w:rPr>
              <w:t>4</w:t>
            </w:r>
          </w:p>
        </w:tc>
        <w:tc>
          <w:tcPr>
            <w:tcW w:w="709" w:type="dxa"/>
          </w:tcPr>
          <w:p w14:paraId="78D43B0A">
            <w:pPr>
              <w:jc w:val="center"/>
              <w:rPr>
                <w:sz w:val="20"/>
                <w:highlight w:val="none"/>
              </w:rPr>
            </w:pPr>
            <w:r>
              <w:rPr>
                <w:rFonts w:eastAsia="仿宋"/>
                <w:bCs/>
                <w:sz w:val="20"/>
                <w:highlight w:val="none"/>
              </w:rPr>
              <w:t>天亿马</w:t>
            </w:r>
          </w:p>
        </w:tc>
        <w:tc>
          <w:tcPr>
            <w:tcW w:w="1276" w:type="dxa"/>
            <w:vAlign w:val="center"/>
          </w:tcPr>
          <w:p w14:paraId="00E9D66A">
            <w:pPr>
              <w:widowControl/>
              <w:jc w:val="center"/>
              <w:rPr>
                <w:rFonts w:eastAsia="仿宋"/>
                <w:kern w:val="0"/>
                <w:sz w:val="20"/>
                <w:highlight w:val="none"/>
              </w:rPr>
            </w:pPr>
            <w:r>
              <w:rPr>
                <w:rFonts w:hint="eastAsia" w:eastAsia="仿宋"/>
                <w:kern w:val="0"/>
                <w:sz w:val="20"/>
                <w:highlight w:val="none"/>
              </w:rPr>
              <w:t>南洋商业银行（中国）有限公司</w:t>
            </w:r>
          </w:p>
        </w:tc>
        <w:tc>
          <w:tcPr>
            <w:tcW w:w="993" w:type="dxa"/>
            <w:vAlign w:val="center"/>
          </w:tcPr>
          <w:p w14:paraId="25D343A7">
            <w:pPr>
              <w:jc w:val="center"/>
              <w:rPr>
                <w:rFonts w:eastAsia="仿宋"/>
                <w:kern w:val="0"/>
                <w:sz w:val="20"/>
                <w:highlight w:val="none"/>
              </w:rPr>
            </w:pPr>
            <w:r>
              <w:rPr>
                <w:rFonts w:hint="eastAsia" w:eastAsia="仿宋"/>
                <w:kern w:val="0"/>
                <w:sz w:val="20"/>
                <w:highlight w:val="none"/>
              </w:rPr>
              <w:t>保本型</w:t>
            </w:r>
          </w:p>
        </w:tc>
        <w:tc>
          <w:tcPr>
            <w:tcW w:w="1701" w:type="dxa"/>
            <w:vAlign w:val="center"/>
          </w:tcPr>
          <w:p w14:paraId="34D7186A">
            <w:pPr>
              <w:jc w:val="center"/>
              <w:rPr>
                <w:rFonts w:eastAsia="仿宋"/>
                <w:bCs/>
                <w:sz w:val="20"/>
                <w:highlight w:val="none"/>
              </w:rPr>
            </w:pPr>
            <w:r>
              <w:rPr>
                <w:rFonts w:hint="eastAsia" w:eastAsia="仿宋"/>
                <w:bCs/>
                <w:sz w:val="20"/>
                <w:highlight w:val="none"/>
              </w:rPr>
              <w:t>定期存款</w:t>
            </w:r>
          </w:p>
        </w:tc>
        <w:tc>
          <w:tcPr>
            <w:tcW w:w="1134" w:type="dxa"/>
            <w:vAlign w:val="center"/>
          </w:tcPr>
          <w:p w14:paraId="3AD06912">
            <w:pPr>
              <w:jc w:val="center"/>
              <w:rPr>
                <w:rFonts w:eastAsia="仿宋"/>
                <w:bCs/>
                <w:sz w:val="20"/>
                <w:highlight w:val="none"/>
              </w:rPr>
            </w:pPr>
            <w:r>
              <w:rPr>
                <w:rFonts w:hint="eastAsia" w:eastAsia="仿宋"/>
                <w:bCs/>
                <w:sz w:val="20"/>
                <w:highlight w:val="none"/>
              </w:rPr>
              <w:t>1,000.00</w:t>
            </w:r>
          </w:p>
        </w:tc>
        <w:tc>
          <w:tcPr>
            <w:tcW w:w="992" w:type="dxa"/>
            <w:vAlign w:val="center"/>
          </w:tcPr>
          <w:p w14:paraId="685BAF77">
            <w:pPr>
              <w:jc w:val="center"/>
              <w:rPr>
                <w:rFonts w:eastAsia="仿宋"/>
                <w:bCs/>
                <w:sz w:val="20"/>
                <w:highlight w:val="none"/>
              </w:rPr>
            </w:pPr>
            <w:r>
              <w:rPr>
                <w:rFonts w:hint="eastAsia" w:eastAsia="仿宋"/>
                <w:bCs/>
                <w:sz w:val="20"/>
                <w:highlight w:val="none"/>
              </w:rPr>
              <w:t>2025-01-03</w:t>
            </w:r>
          </w:p>
        </w:tc>
        <w:tc>
          <w:tcPr>
            <w:tcW w:w="992" w:type="dxa"/>
            <w:vAlign w:val="center"/>
          </w:tcPr>
          <w:p w14:paraId="20675B3F">
            <w:pPr>
              <w:jc w:val="center"/>
              <w:rPr>
                <w:rFonts w:eastAsia="仿宋"/>
                <w:bCs/>
                <w:sz w:val="20"/>
                <w:highlight w:val="none"/>
              </w:rPr>
            </w:pPr>
            <w:r>
              <w:rPr>
                <w:rFonts w:hint="eastAsia" w:eastAsia="仿宋"/>
                <w:bCs/>
                <w:sz w:val="20"/>
                <w:highlight w:val="none"/>
              </w:rPr>
              <w:t>2025-07-03</w:t>
            </w:r>
          </w:p>
        </w:tc>
        <w:tc>
          <w:tcPr>
            <w:tcW w:w="1134" w:type="dxa"/>
            <w:vAlign w:val="center"/>
          </w:tcPr>
          <w:p w14:paraId="382452C2">
            <w:pPr>
              <w:jc w:val="center"/>
              <w:rPr>
                <w:rFonts w:eastAsia="仿宋"/>
                <w:bCs/>
                <w:sz w:val="20"/>
                <w:highlight w:val="none"/>
              </w:rPr>
            </w:pPr>
            <w:r>
              <w:rPr>
                <w:rFonts w:hint="eastAsia" w:eastAsia="仿宋"/>
                <w:bCs/>
                <w:sz w:val="20"/>
                <w:highlight w:val="none"/>
              </w:rPr>
              <w:t>2.05%</w:t>
            </w:r>
          </w:p>
        </w:tc>
        <w:tc>
          <w:tcPr>
            <w:tcW w:w="1228" w:type="dxa"/>
            <w:vAlign w:val="center"/>
          </w:tcPr>
          <w:p w14:paraId="6487B244">
            <w:pPr>
              <w:widowControl/>
              <w:jc w:val="center"/>
              <w:rPr>
                <w:rFonts w:eastAsia="仿宋"/>
                <w:kern w:val="0"/>
                <w:sz w:val="20"/>
                <w:highlight w:val="none"/>
              </w:rPr>
            </w:pPr>
            <w:r>
              <w:rPr>
                <w:rFonts w:hint="eastAsia" w:eastAsia="仿宋"/>
                <w:kern w:val="0"/>
                <w:sz w:val="20"/>
                <w:highlight w:val="none"/>
              </w:rPr>
              <w:t>102,500.00</w:t>
            </w:r>
          </w:p>
        </w:tc>
        <w:tc>
          <w:tcPr>
            <w:tcW w:w="567" w:type="dxa"/>
            <w:vAlign w:val="center"/>
          </w:tcPr>
          <w:p w14:paraId="44CEDA15">
            <w:pPr>
              <w:jc w:val="center"/>
              <w:rPr>
                <w:rFonts w:eastAsia="仿宋"/>
                <w:kern w:val="0"/>
                <w:sz w:val="20"/>
                <w:highlight w:val="none"/>
              </w:rPr>
            </w:pPr>
            <w:r>
              <w:rPr>
                <w:rFonts w:hint="eastAsia" w:eastAsia="仿宋"/>
                <w:kern w:val="0"/>
                <w:sz w:val="20"/>
                <w:highlight w:val="none"/>
              </w:rPr>
              <w:t>已到期</w:t>
            </w:r>
          </w:p>
        </w:tc>
      </w:tr>
      <w:tr w14:paraId="68B03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5" w:type="dxa"/>
            <w:vAlign w:val="center"/>
          </w:tcPr>
          <w:p w14:paraId="31ED283C">
            <w:pPr>
              <w:widowControl/>
              <w:jc w:val="center"/>
              <w:rPr>
                <w:rFonts w:eastAsia="仿宋"/>
                <w:kern w:val="0"/>
                <w:sz w:val="20"/>
                <w:highlight w:val="none"/>
              </w:rPr>
            </w:pPr>
            <w:r>
              <w:rPr>
                <w:rFonts w:hint="eastAsia" w:eastAsia="仿宋"/>
                <w:kern w:val="0"/>
                <w:sz w:val="20"/>
                <w:highlight w:val="none"/>
              </w:rPr>
              <w:t>5</w:t>
            </w:r>
          </w:p>
        </w:tc>
        <w:tc>
          <w:tcPr>
            <w:tcW w:w="709" w:type="dxa"/>
            <w:vAlign w:val="center"/>
          </w:tcPr>
          <w:p w14:paraId="722D4FE6">
            <w:pPr>
              <w:widowControl/>
              <w:jc w:val="center"/>
              <w:rPr>
                <w:rFonts w:eastAsia="仿宋"/>
                <w:kern w:val="0"/>
                <w:sz w:val="20"/>
                <w:highlight w:val="none"/>
              </w:rPr>
            </w:pPr>
            <w:r>
              <w:rPr>
                <w:rFonts w:hint="eastAsia" w:eastAsia="仿宋"/>
                <w:kern w:val="0"/>
                <w:sz w:val="20"/>
                <w:highlight w:val="none"/>
              </w:rPr>
              <w:t>天亿马</w:t>
            </w:r>
          </w:p>
        </w:tc>
        <w:tc>
          <w:tcPr>
            <w:tcW w:w="1276" w:type="dxa"/>
            <w:vAlign w:val="center"/>
          </w:tcPr>
          <w:p w14:paraId="4F5F1D0B">
            <w:pPr>
              <w:widowControl/>
              <w:jc w:val="center"/>
              <w:rPr>
                <w:rFonts w:eastAsia="仿宋"/>
                <w:kern w:val="0"/>
                <w:sz w:val="20"/>
                <w:highlight w:val="none"/>
              </w:rPr>
            </w:pPr>
            <w:r>
              <w:rPr>
                <w:rFonts w:hint="eastAsia" w:eastAsia="仿宋"/>
                <w:kern w:val="0"/>
                <w:sz w:val="20"/>
                <w:highlight w:val="none"/>
              </w:rPr>
              <w:t>中国建设银行股份有限公司汕头潮南支行</w:t>
            </w:r>
          </w:p>
        </w:tc>
        <w:tc>
          <w:tcPr>
            <w:tcW w:w="993" w:type="dxa"/>
            <w:vAlign w:val="center"/>
          </w:tcPr>
          <w:p w14:paraId="0EEA1DD1">
            <w:pPr>
              <w:widowControl/>
              <w:jc w:val="center"/>
              <w:rPr>
                <w:rFonts w:eastAsia="仿宋"/>
                <w:kern w:val="0"/>
                <w:sz w:val="20"/>
                <w:highlight w:val="none"/>
              </w:rPr>
            </w:pPr>
            <w:r>
              <w:rPr>
                <w:rFonts w:hint="eastAsia" w:eastAsia="仿宋"/>
                <w:kern w:val="0"/>
                <w:sz w:val="20"/>
                <w:highlight w:val="none"/>
              </w:rPr>
              <w:t>保本型</w:t>
            </w:r>
          </w:p>
        </w:tc>
        <w:tc>
          <w:tcPr>
            <w:tcW w:w="1701" w:type="dxa"/>
            <w:vAlign w:val="center"/>
          </w:tcPr>
          <w:p w14:paraId="4686A734">
            <w:pPr>
              <w:widowControl/>
              <w:jc w:val="center"/>
              <w:rPr>
                <w:rFonts w:eastAsia="仿宋"/>
                <w:kern w:val="0"/>
                <w:sz w:val="20"/>
                <w:highlight w:val="none"/>
              </w:rPr>
            </w:pPr>
            <w:r>
              <w:rPr>
                <w:rFonts w:hint="eastAsia" w:eastAsia="仿宋"/>
                <w:kern w:val="0"/>
                <w:sz w:val="20"/>
                <w:highlight w:val="none"/>
              </w:rPr>
              <w:t>单位大额存单</w:t>
            </w:r>
          </w:p>
        </w:tc>
        <w:tc>
          <w:tcPr>
            <w:tcW w:w="1134" w:type="dxa"/>
            <w:vAlign w:val="center"/>
          </w:tcPr>
          <w:p w14:paraId="36C94C49">
            <w:pPr>
              <w:widowControl/>
              <w:jc w:val="center"/>
              <w:rPr>
                <w:rFonts w:eastAsia="仿宋"/>
                <w:kern w:val="0"/>
                <w:sz w:val="20"/>
                <w:highlight w:val="none"/>
              </w:rPr>
            </w:pPr>
            <w:r>
              <w:rPr>
                <w:rFonts w:hint="eastAsia" w:eastAsia="仿宋"/>
                <w:kern w:val="0"/>
                <w:sz w:val="20"/>
                <w:highlight w:val="none"/>
              </w:rPr>
              <w:t>2,000.00</w:t>
            </w:r>
          </w:p>
        </w:tc>
        <w:tc>
          <w:tcPr>
            <w:tcW w:w="992" w:type="dxa"/>
            <w:vAlign w:val="center"/>
          </w:tcPr>
          <w:p w14:paraId="6380508D">
            <w:pPr>
              <w:widowControl/>
              <w:jc w:val="center"/>
              <w:rPr>
                <w:rFonts w:eastAsia="仿宋"/>
                <w:kern w:val="0"/>
                <w:sz w:val="20"/>
                <w:highlight w:val="none"/>
              </w:rPr>
            </w:pPr>
            <w:r>
              <w:rPr>
                <w:rFonts w:hint="eastAsia" w:eastAsia="仿宋"/>
                <w:kern w:val="0"/>
                <w:sz w:val="20"/>
                <w:highlight w:val="none"/>
              </w:rPr>
              <w:t>2025-03-03</w:t>
            </w:r>
          </w:p>
        </w:tc>
        <w:tc>
          <w:tcPr>
            <w:tcW w:w="992" w:type="dxa"/>
            <w:vAlign w:val="center"/>
          </w:tcPr>
          <w:p w14:paraId="4C9F2EBA">
            <w:pPr>
              <w:widowControl/>
              <w:jc w:val="center"/>
              <w:rPr>
                <w:rFonts w:eastAsia="仿宋"/>
                <w:kern w:val="0"/>
                <w:sz w:val="20"/>
                <w:highlight w:val="none"/>
              </w:rPr>
            </w:pPr>
            <w:r>
              <w:rPr>
                <w:rFonts w:hint="eastAsia" w:eastAsia="仿宋"/>
                <w:kern w:val="0"/>
                <w:sz w:val="20"/>
                <w:highlight w:val="none"/>
              </w:rPr>
              <w:t>2025-12-03</w:t>
            </w:r>
          </w:p>
        </w:tc>
        <w:tc>
          <w:tcPr>
            <w:tcW w:w="1134" w:type="dxa"/>
            <w:vAlign w:val="center"/>
          </w:tcPr>
          <w:p w14:paraId="11D078EE">
            <w:pPr>
              <w:widowControl/>
              <w:jc w:val="center"/>
              <w:rPr>
                <w:rFonts w:eastAsia="仿宋"/>
                <w:kern w:val="0"/>
                <w:sz w:val="20"/>
                <w:highlight w:val="none"/>
              </w:rPr>
            </w:pPr>
            <w:r>
              <w:rPr>
                <w:rFonts w:hint="eastAsia" w:eastAsia="仿宋"/>
                <w:kern w:val="0"/>
                <w:sz w:val="20"/>
                <w:highlight w:val="none"/>
              </w:rPr>
              <w:t>1.35%</w:t>
            </w:r>
          </w:p>
        </w:tc>
        <w:tc>
          <w:tcPr>
            <w:tcW w:w="1228" w:type="dxa"/>
            <w:vAlign w:val="center"/>
          </w:tcPr>
          <w:p w14:paraId="05BBF065">
            <w:pPr>
              <w:widowControl/>
              <w:jc w:val="center"/>
              <w:rPr>
                <w:rFonts w:eastAsia="仿宋"/>
                <w:kern w:val="0"/>
                <w:sz w:val="20"/>
                <w:highlight w:val="none"/>
              </w:rPr>
            </w:pPr>
            <w:r>
              <w:rPr>
                <w:rFonts w:eastAsia="仿宋"/>
                <w:kern w:val="0"/>
                <w:sz w:val="20"/>
                <w:highlight w:val="none"/>
              </w:rPr>
              <w:t>203</w:t>
            </w:r>
            <w:r>
              <w:rPr>
                <w:rFonts w:hint="eastAsia" w:eastAsia="仿宋"/>
                <w:kern w:val="0"/>
                <w:sz w:val="20"/>
                <w:highlight w:val="none"/>
              </w:rPr>
              <w:t>,</w:t>
            </w:r>
            <w:r>
              <w:rPr>
                <w:rFonts w:eastAsia="仿宋"/>
                <w:kern w:val="0"/>
                <w:sz w:val="20"/>
                <w:highlight w:val="none"/>
              </w:rPr>
              <w:t>424.66</w:t>
            </w:r>
          </w:p>
        </w:tc>
        <w:tc>
          <w:tcPr>
            <w:tcW w:w="567" w:type="dxa"/>
            <w:vAlign w:val="center"/>
          </w:tcPr>
          <w:p w14:paraId="1602136F">
            <w:pPr>
              <w:widowControl/>
              <w:jc w:val="center"/>
              <w:rPr>
                <w:rFonts w:eastAsia="仿宋"/>
                <w:kern w:val="0"/>
                <w:sz w:val="20"/>
                <w:highlight w:val="none"/>
              </w:rPr>
            </w:pPr>
            <w:r>
              <w:rPr>
                <w:rFonts w:hint="eastAsia" w:eastAsia="仿宋"/>
                <w:kern w:val="0"/>
                <w:sz w:val="20"/>
                <w:highlight w:val="none"/>
              </w:rPr>
              <w:t>已赎回</w:t>
            </w:r>
          </w:p>
        </w:tc>
      </w:tr>
      <w:tr w14:paraId="328E6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5" w:type="dxa"/>
            <w:shd w:val="clear" w:color="auto" w:fill="auto"/>
            <w:vAlign w:val="center"/>
          </w:tcPr>
          <w:p w14:paraId="4BBD5A48">
            <w:pPr>
              <w:widowControl/>
              <w:jc w:val="center"/>
              <w:rPr>
                <w:rFonts w:eastAsia="仿宋"/>
                <w:kern w:val="0"/>
                <w:sz w:val="20"/>
                <w:highlight w:val="none"/>
              </w:rPr>
            </w:pPr>
            <w:r>
              <w:rPr>
                <w:rFonts w:hint="eastAsia" w:eastAsia="仿宋"/>
                <w:kern w:val="0"/>
                <w:sz w:val="20"/>
                <w:highlight w:val="none"/>
              </w:rPr>
              <w:t>6</w:t>
            </w:r>
          </w:p>
        </w:tc>
        <w:tc>
          <w:tcPr>
            <w:tcW w:w="709" w:type="dxa"/>
            <w:shd w:val="clear" w:color="auto" w:fill="auto"/>
          </w:tcPr>
          <w:p w14:paraId="3A3D6655">
            <w:pPr>
              <w:jc w:val="center"/>
              <w:rPr>
                <w:sz w:val="20"/>
                <w:highlight w:val="none"/>
              </w:rPr>
            </w:pPr>
            <w:r>
              <w:rPr>
                <w:rFonts w:eastAsia="仿宋"/>
                <w:bCs/>
                <w:sz w:val="20"/>
                <w:highlight w:val="none"/>
              </w:rPr>
              <w:t>天亿马</w:t>
            </w:r>
          </w:p>
        </w:tc>
        <w:tc>
          <w:tcPr>
            <w:tcW w:w="1276" w:type="dxa"/>
            <w:shd w:val="clear" w:color="auto" w:fill="auto"/>
            <w:vAlign w:val="center"/>
          </w:tcPr>
          <w:p w14:paraId="608B8D1D">
            <w:pPr>
              <w:widowControl/>
              <w:jc w:val="center"/>
              <w:rPr>
                <w:rFonts w:eastAsia="仿宋"/>
                <w:kern w:val="0"/>
                <w:sz w:val="20"/>
                <w:highlight w:val="none"/>
              </w:rPr>
            </w:pPr>
            <w:r>
              <w:rPr>
                <w:rFonts w:hint="eastAsia" w:eastAsia="仿宋"/>
                <w:kern w:val="0"/>
                <w:sz w:val="20"/>
                <w:highlight w:val="none"/>
              </w:rPr>
              <w:t>南洋商业银行（中国）有限公司</w:t>
            </w:r>
          </w:p>
        </w:tc>
        <w:tc>
          <w:tcPr>
            <w:tcW w:w="993" w:type="dxa"/>
            <w:shd w:val="clear" w:color="auto" w:fill="auto"/>
            <w:vAlign w:val="center"/>
          </w:tcPr>
          <w:p w14:paraId="64B18140">
            <w:pPr>
              <w:jc w:val="center"/>
              <w:rPr>
                <w:rFonts w:eastAsia="仿宋"/>
                <w:kern w:val="0"/>
                <w:sz w:val="20"/>
                <w:highlight w:val="none"/>
              </w:rPr>
            </w:pPr>
            <w:r>
              <w:rPr>
                <w:rFonts w:hint="eastAsia" w:eastAsia="仿宋"/>
                <w:kern w:val="0"/>
                <w:sz w:val="20"/>
                <w:highlight w:val="none"/>
              </w:rPr>
              <w:t>保本型</w:t>
            </w:r>
          </w:p>
        </w:tc>
        <w:tc>
          <w:tcPr>
            <w:tcW w:w="1701" w:type="dxa"/>
            <w:shd w:val="clear" w:color="auto" w:fill="auto"/>
            <w:vAlign w:val="center"/>
          </w:tcPr>
          <w:p w14:paraId="08B86DCA">
            <w:pPr>
              <w:jc w:val="center"/>
              <w:rPr>
                <w:rFonts w:eastAsia="仿宋"/>
                <w:bCs/>
                <w:sz w:val="20"/>
                <w:highlight w:val="none"/>
              </w:rPr>
            </w:pPr>
            <w:r>
              <w:rPr>
                <w:rFonts w:hint="eastAsia" w:eastAsia="仿宋"/>
                <w:bCs/>
                <w:sz w:val="20"/>
                <w:highlight w:val="none"/>
              </w:rPr>
              <w:t>定期存款</w:t>
            </w:r>
          </w:p>
        </w:tc>
        <w:tc>
          <w:tcPr>
            <w:tcW w:w="1134" w:type="dxa"/>
            <w:shd w:val="clear" w:color="auto" w:fill="auto"/>
            <w:vAlign w:val="center"/>
          </w:tcPr>
          <w:p w14:paraId="26588353">
            <w:pPr>
              <w:jc w:val="center"/>
              <w:rPr>
                <w:rFonts w:eastAsia="仿宋"/>
                <w:bCs/>
                <w:sz w:val="20"/>
                <w:highlight w:val="none"/>
              </w:rPr>
            </w:pPr>
            <w:r>
              <w:rPr>
                <w:rFonts w:hint="eastAsia" w:eastAsia="仿宋"/>
                <w:bCs/>
                <w:sz w:val="20"/>
                <w:highlight w:val="none"/>
              </w:rPr>
              <w:t>1,000.00</w:t>
            </w:r>
          </w:p>
        </w:tc>
        <w:tc>
          <w:tcPr>
            <w:tcW w:w="992" w:type="dxa"/>
            <w:shd w:val="clear" w:color="auto" w:fill="auto"/>
            <w:vAlign w:val="center"/>
          </w:tcPr>
          <w:p w14:paraId="2CB2CFAF">
            <w:pPr>
              <w:widowControl/>
              <w:jc w:val="center"/>
              <w:rPr>
                <w:rFonts w:eastAsia="仿宋"/>
                <w:kern w:val="0"/>
                <w:sz w:val="20"/>
                <w:highlight w:val="none"/>
              </w:rPr>
            </w:pPr>
            <w:r>
              <w:rPr>
                <w:rFonts w:hint="eastAsia" w:eastAsia="仿宋"/>
                <w:kern w:val="0"/>
                <w:sz w:val="20"/>
                <w:highlight w:val="none"/>
              </w:rPr>
              <w:t>2025-07-03</w:t>
            </w:r>
          </w:p>
        </w:tc>
        <w:tc>
          <w:tcPr>
            <w:tcW w:w="992" w:type="dxa"/>
            <w:shd w:val="clear" w:color="auto" w:fill="auto"/>
            <w:vAlign w:val="center"/>
          </w:tcPr>
          <w:p w14:paraId="62D63FD1">
            <w:pPr>
              <w:widowControl/>
              <w:jc w:val="center"/>
              <w:rPr>
                <w:rFonts w:eastAsia="仿宋"/>
                <w:kern w:val="0"/>
                <w:sz w:val="20"/>
                <w:highlight w:val="none"/>
              </w:rPr>
            </w:pPr>
            <w:r>
              <w:rPr>
                <w:rFonts w:hint="eastAsia" w:eastAsia="仿宋"/>
                <w:kern w:val="0"/>
                <w:sz w:val="20"/>
                <w:highlight w:val="none"/>
              </w:rPr>
              <w:t>2025-10-03</w:t>
            </w:r>
          </w:p>
        </w:tc>
        <w:tc>
          <w:tcPr>
            <w:tcW w:w="1134" w:type="dxa"/>
            <w:shd w:val="clear" w:color="auto" w:fill="auto"/>
            <w:vAlign w:val="center"/>
          </w:tcPr>
          <w:p w14:paraId="505B2D8F">
            <w:pPr>
              <w:widowControl/>
              <w:jc w:val="center"/>
              <w:rPr>
                <w:rFonts w:eastAsia="仿宋"/>
                <w:kern w:val="0"/>
                <w:sz w:val="20"/>
                <w:highlight w:val="none"/>
              </w:rPr>
            </w:pPr>
            <w:r>
              <w:rPr>
                <w:rFonts w:hint="eastAsia" w:eastAsia="仿宋"/>
                <w:kern w:val="0"/>
                <w:sz w:val="20"/>
                <w:highlight w:val="none"/>
              </w:rPr>
              <w:t>1.85%</w:t>
            </w:r>
          </w:p>
        </w:tc>
        <w:tc>
          <w:tcPr>
            <w:tcW w:w="1228" w:type="dxa"/>
            <w:shd w:val="clear" w:color="auto" w:fill="auto"/>
            <w:vAlign w:val="center"/>
          </w:tcPr>
          <w:p w14:paraId="54EFB1B9">
            <w:pPr>
              <w:widowControl/>
              <w:jc w:val="center"/>
              <w:rPr>
                <w:rFonts w:eastAsia="仿宋"/>
                <w:kern w:val="0"/>
                <w:sz w:val="20"/>
                <w:highlight w:val="none"/>
              </w:rPr>
            </w:pPr>
            <w:r>
              <w:rPr>
                <w:rFonts w:hint="eastAsia" w:eastAsia="仿宋"/>
                <w:kern w:val="0"/>
                <w:sz w:val="20"/>
                <w:highlight w:val="none"/>
              </w:rPr>
              <w:t>46,250.00</w:t>
            </w:r>
          </w:p>
        </w:tc>
        <w:tc>
          <w:tcPr>
            <w:tcW w:w="567" w:type="dxa"/>
            <w:shd w:val="clear" w:color="auto" w:fill="auto"/>
            <w:vAlign w:val="center"/>
          </w:tcPr>
          <w:p w14:paraId="0A81D9D5">
            <w:pPr>
              <w:widowControl/>
              <w:jc w:val="center"/>
              <w:rPr>
                <w:rFonts w:eastAsia="仿宋"/>
                <w:kern w:val="0"/>
                <w:sz w:val="20"/>
                <w:highlight w:val="none"/>
              </w:rPr>
            </w:pPr>
            <w:r>
              <w:rPr>
                <w:rFonts w:hint="eastAsia" w:eastAsia="仿宋"/>
                <w:kern w:val="0"/>
                <w:sz w:val="20"/>
                <w:highlight w:val="none"/>
              </w:rPr>
              <w:t>已赎回</w:t>
            </w:r>
          </w:p>
        </w:tc>
      </w:tr>
      <w:tr w14:paraId="3A38F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5" w:type="dxa"/>
            <w:shd w:val="clear" w:color="auto" w:fill="auto"/>
            <w:vAlign w:val="center"/>
          </w:tcPr>
          <w:p w14:paraId="1C55FD60">
            <w:pPr>
              <w:widowControl/>
              <w:jc w:val="center"/>
              <w:rPr>
                <w:rFonts w:eastAsia="仿宋"/>
                <w:kern w:val="0"/>
                <w:sz w:val="20"/>
                <w:highlight w:val="none"/>
              </w:rPr>
            </w:pPr>
            <w:r>
              <w:rPr>
                <w:rFonts w:hint="eastAsia" w:eastAsia="仿宋"/>
                <w:kern w:val="0"/>
                <w:sz w:val="20"/>
                <w:highlight w:val="none"/>
              </w:rPr>
              <w:t>7</w:t>
            </w:r>
          </w:p>
        </w:tc>
        <w:tc>
          <w:tcPr>
            <w:tcW w:w="709" w:type="dxa"/>
            <w:shd w:val="clear" w:color="auto" w:fill="auto"/>
            <w:vAlign w:val="center"/>
          </w:tcPr>
          <w:p w14:paraId="29E5FB02">
            <w:pPr>
              <w:jc w:val="center"/>
              <w:rPr>
                <w:rFonts w:eastAsia="仿宋"/>
                <w:bCs/>
                <w:sz w:val="20"/>
                <w:highlight w:val="none"/>
              </w:rPr>
            </w:pPr>
            <w:r>
              <w:rPr>
                <w:rFonts w:eastAsia="仿宋"/>
                <w:bCs/>
                <w:sz w:val="20"/>
                <w:highlight w:val="none"/>
              </w:rPr>
              <w:t>天亿马</w:t>
            </w:r>
          </w:p>
        </w:tc>
        <w:tc>
          <w:tcPr>
            <w:tcW w:w="1276" w:type="dxa"/>
            <w:shd w:val="clear" w:color="auto" w:fill="auto"/>
            <w:vAlign w:val="center"/>
          </w:tcPr>
          <w:p w14:paraId="76DB38DD">
            <w:pPr>
              <w:widowControl/>
              <w:jc w:val="center"/>
              <w:rPr>
                <w:rFonts w:eastAsia="仿宋"/>
                <w:kern w:val="0"/>
                <w:sz w:val="20"/>
                <w:highlight w:val="none"/>
              </w:rPr>
            </w:pPr>
            <w:r>
              <w:rPr>
                <w:rFonts w:hint="eastAsia" w:eastAsia="仿宋"/>
                <w:kern w:val="0"/>
                <w:sz w:val="20"/>
                <w:highlight w:val="none"/>
              </w:rPr>
              <w:t>兴业银行汕头分行营业部</w:t>
            </w:r>
          </w:p>
        </w:tc>
        <w:tc>
          <w:tcPr>
            <w:tcW w:w="993" w:type="dxa"/>
            <w:shd w:val="clear" w:color="auto" w:fill="auto"/>
            <w:vAlign w:val="center"/>
          </w:tcPr>
          <w:p w14:paraId="53217EE1">
            <w:pPr>
              <w:jc w:val="center"/>
              <w:rPr>
                <w:rFonts w:eastAsia="仿宋"/>
                <w:kern w:val="0"/>
                <w:sz w:val="20"/>
                <w:highlight w:val="none"/>
              </w:rPr>
            </w:pPr>
            <w:r>
              <w:rPr>
                <w:rFonts w:hint="eastAsia" w:eastAsia="仿宋"/>
                <w:kern w:val="0"/>
                <w:sz w:val="20"/>
                <w:highlight w:val="none"/>
              </w:rPr>
              <w:t>保本型</w:t>
            </w:r>
          </w:p>
        </w:tc>
        <w:tc>
          <w:tcPr>
            <w:tcW w:w="1701" w:type="dxa"/>
            <w:shd w:val="clear" w:color="auto" w:fill="auto"/>
            <w:vAlign w:val="center"/>
          </w:tcPr>
          <w:p w14:paraId="470D5CAC">
            <w:pPr>
              <w:jc w:val="center"/>
              <w:rPr>
                <w:rFonts w:eastAsia="仿宋"/>
                <w:bCs/>
                <w:sz w:val="20"/>
                <w:highlight w:val="none"/>
              </w:rPr>
            </w:pPr>
            <w:r>
              <w:rPr>
                <w:rFonts w:hint="eastAsia" w:eastAsia="仿宋"/>
                <w:bCs/>
                <w:sz w:val="20"/>
                <w:highlight w:val="none"/>
              </w:rPr>
              <w:t>定期存款</w:t>
            </w:r>
          </w:p>
        </w:tc>
        <w:tc>
          <w:tcPr>
            <w:tcW w:w="1134" w:type="dxa"/>
            <w:shd w:val="clear" w:color="auto" w:fill="auto"/>
            <w:vAlign w:val="center"/>
          </w:tcPr>
          <w:p w14:paraId="66A911A4">
            <w:pPr>
              <w:jc w:val="center"/>
              <w:rPr>
                <w:rFonts w:eastAsia="仿宋"/>
                <w:bCs/>
                <w:sz w:val="20"/>
                <w:highlight w:val="none"/>
              </w:rPr>
            </w:pPr>
            <w:r>
              <w:rPr>
                <w:rFonts w:hint="eastAsia" w:eastAsia="仿宋"/>
                <w:bCs/>
                <w:sz w:val="20"/>
                <w:highlight w:val="none"/>
              </w:rPr>
              <w:t>3,200.00</w:t>
            </w:r>
          </w:p>
        </w:tc>
        <w:tc>
          <w:tcPr>
            <w:tcW w:w="992" w:type="dxa"/>
            <w:shd w:val="clear" w:color="auto" w:fill="auto"/>
            <w:vAlign w:val="center"/>
          </w:tcPr>
          <w:p w14:paraId="7F16B4A3">
            <w:pPr>
              <w:widowControl/>
              <w:jc w:val="center"/>
              <w:rPr>
                <w:rFonts w:eastAsia="仿宋"/>
                <w:kern w:val="0"/>
                <w:sz w:val="20"/>
                <w:highlight w:val="none"/>
              </w:rPr>
            </w:pPr>
            <w:r>
              <w:rPr>
                <w:rFonts w:hint="eastAsia" w:eastAsia="仿宋"/>
                <w:kern w:val="0"/>
                <w:sz w:val="20"/>
                <w:highlight w:val="none"/>
              </w:rPr>
              <w:t>2025-07-04</w:t>
            </w:r>
          </w:p>
        </w:tc>
        <w:tc>
          <w:tcPr>
            <w:tcW w:w="992" w:type="dxa"/>
            <w:shd w:val="clear" w:color="auto" w:fill="auto"/>
            <w:vAlign w:val="center"/>
          </w:tcPr>
          <w:p w14:paraId="251CDF48">
            <w:pPr>
              <w:widowControl/>
              <w:jc w:val="center"/>
              <w:rPr>
                <w:rFonts w:eastAsia="仿宋"/>
                <w:kern w:val="0"/>
                <w:sz w:val="20"/>
                <w:highlight w:val="none"/>
              </w:rPr>
            </w:pPr>
            <w:r>
              <w:rPr>
                <w:rFonts w:hint="eastAsia" w:eastAsia="仿宋"/>
                <w:kern w:val="0"/>
                <w:sz w:val="20"/>
                <w:highlight w:val="none"/>
              </w:rPr>
              <w:t>3个月</w:t>
            </w:r>
          </w:p>
        </w:tc>
        <w:tc>
          <w:tcPr>
            <w:tcW w:w="1134" w:type="dxa"/>
            <w:shd w:val="clear" w:color="auto" w:fill="auto"/>
            <w:vAlign w:val="center"/>
          </w:tcPr>
          <w:p w14:paraId="5FAE8F9E">
            <w:pPr>
              <w:widowControl/>
              <w:jc w:val="center"/>
              <w:rPr>
                <w:rFonts w:eastAsia="仿宋"/>
                <w:kern w:val="0"/>
                <w:sz w:val="20"/>
                <w:highlight w:val="none"/>
              </w:rPr>
            </w:pPr>
            <w:r>
              <w:rPr>
                <w:rFonts w:hint="eastAsia" w:eastAsia="仿宋"/>
                <w:kern w:val="0"/>
                <w:sz w:val="20"/>
                <w:highlight w:val="none"/>
              </w:rPr>
              <w:t>1.10%</w:t>
            </w:r>
          </w:p>
        </w:tc>
        <w:tc>
          <w:tcPr>
            <w:tcW w:w="1228" w:type="dxa"/>
            <w:shd w:val="clear" w:color="auto" w:fill="auto"/>
            <w:vAlign w:val="center"/>
          </w:tcPr>
          <w:p w14:paraId="46C87EA8">
            <w:pPr>
              <w:widowControl/>
              <w:jc w:val="center"/>
              <w:rPr>
                <w:rFonts w:eastAsia="仿宋"/>
                <w:kern w:val="0"/>
                <w:sz w:val="20"/>
                <w:highlight w:val="none"/>
              </w:rPr>
            </w:pPr>
            <w:r>
              <w:rPr>
                <w:rFonts w:hint="eastAsia" w:eastAsia="仿宋"/>
                <w:kern w:val="0"/>
                <w:sz w:val="20"/>
                <w:highlight w:val="none"/>
              </w:rPr>
              <w:t>88,000.00</w:t>
            </w:r>
          </w:p>
        </w:tc>
        <w:tc>
          <w:tcPr>
            <w:tcW w:w="567" w:type="dxa"/>
            <w:shd w:val="clear" w:color="auto" w:fill="auto"/>
          </w:tcPr>
          <w:p w14:paraId="14AFE034">
            <w:pPr>
              <w:widowControl/>
              <w:jc w:val="center"/>
              <w:rPr>
                <w:rFonts w:eastAsia="仿宋"/>
                <w:kern w:val="0"/>
                <w:sz w:val="20"/>
                <w:highlight w:val="none"/>
              </w:rPr>
            </w:pPr>
            <w:r>
              <w:rPr>
                <w:rFonts w:hint="eastAsia" w:eastAsia="仿宋"/>
                <w:kern w:val="0"/>
                <w:sz w:val="20"/>
                <w:highlight w:val="none"/>
              </w:rPr>
              <w:t>已赎回</w:t>
            </w:r>
          </w:p>
        </w:tc>
      </w:tr>
      <w:tr w14:paraId="380A7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5" w:type="dxa"/>
            <w:shd w:val="clear" w:color="auto" w:fill="auto"/>
            <w:vAlign w:val="center"/>
          </w:tcPr>
          <w:p w14:paraId="3674C2C1">
            <w:pPr>
              <w:widowControl/>
              <w:jc w:val="center"/>
              <w:rPr>
                <w:rFonts w:eastAsia="仿宋"/>
                <w:kern w:val="0"/>
                <w:sz w:val="20"/>
                <w:highlight w:val="none"/>
              </w:rPr>
            </w:pPr>
            <w:r>
              <w:rPr>
                <w:rFonts w:hint="eastAsia" w:eastAsia="仿宋"/>
                <w:kern w:val="0"/>
                <w:sz w:val="20"/>
                <w:highlight w:val="none"/>
              </w:rPr>
              <w:t>8</w:t>
            </w:r>
          </w:p>
        </w:tc>
        <w:tc>
          <w:tcPr>
            <w:tcW w:w="709" w:type="dxa"/>
            <w:shd w:val="clear" w:color="auto" w:fill="auto"/>
            <w:vAlign w:val="center"/>
          </w:tcPr>
          <w:p w14:paraId="38604845">
            <w:pPr>
              <w:jc w:val="center"/>
              <w:rPr>
                <w:rFonts w:eastAsia="仿宋"/>
                <w:bCs/>
                <w:sz w:val="20"/>
                <w:highlight w:val="none"/>
              </w:rPr>
            </w:pPr>
            <w:r>
              <w:rPr>
                <w:rFonts w:eastAsia="仿宋"/>
                <w:bCs/>
                <w:sz w:val="20"/>
                <w:highlight w:val="none"/>
              </w:rPr>
              <w:t>天亿马</w:t>
            </w:r>
          </w:p>
        </w:tc>
        <w:tc>
          <w:tcPr>
            <w:tcW w:w="1276" w:type="dxa"/>
            <w:shd w:val="clear" w:color="auto" w:fill="auto"/>
            <w:vAlign w:val="center"/>
          </w:tcPr>
          <w:p w14:paraId="60C156F5">
            <w:pPr>
              <w:widowControl/>
              <w:jc w:val="center"/>
              <w:rPr>
                <w:rFonts w:eastAsia="仿宋"/>
                <w:kern w:val="0"/>
                <w:sz w:val="20"/>
                <w:highlight w:val="none"/>
              </w:rPr>
            </w:pPr>
            <w:r>
              <w:rPr>
                <w:rFonts w:hint="eastAsia" w:eastAsia="仿宋"/>
                <w:kern w:val="0"/>
                <w:sz w:val="20"/>
                <w:highlight w:val="none"/>
              </w:rPr>
              <w:t>兴业银行汕头分行营业部</w:t>
            </w:r>
          </w:p>
        </w:tc>
        <w:tc>
          <w:tcPr>
            <w:tcW w:w="993" w:type="dxa"/>
            <w:shd w:val="clear" w:color="auto" w:fill="auto"/>
            <w:vAlign w:val="center"/>
          </w:tcPr>
          <w:p w14:paraId="7431D150">
            <w:pPr>
              <w:jc w:val="center"/>
              <w:rPr>
                <w:rFonts w:eastAsia="仿宋"/>
                <w:kern w:val="0"/>
                <w:sz w:val="20"/>
                <w:highlight w:val="none"/>
              </w:rPr>
            </w:pPr>
            <w:r>
              <w:rPr>
                <w:rFonts w:hint="eastAsia" w:eastAsia="仿宋"/>
                <w:kern w:val="0"/>
                <w:sz w:val="20"/>
                <w:highlight w:val="none"/>
              </w:rPr>
              <w:t>保本型</w:t>
            </w:r>
          </w:p>
        </w:tc>
        <w:tc>
          <w:tcPr>
            <w:tcW w:w="1701" w:type="dxa"/>
            <w:shd w:val="clear" w:color="auto" w:fill="auto"/>
            <w:vAlign w:val="center"/>
          </w:tcPr>
          <w:p w14:paraId="3637E1E0">
            <w:pPr>
              <w:jc w:val="center"/>
              <w:rPr>
                <w:rFonts w:eastAsia="仿宋"/>
                <w:bCs/>
                <w:sz w:val="20"/>
                <w:highlight w:val="none"/>
              </w:rPr>
            </w:pPr>
            <w:r>
              <w:rPr>
                <w:rFonts w:hint="eastAsia" w:eastAsia="仿宋"/>
                <w:bCs/>
                <w:sz w:val="20"/>
                <w:highlight w:val="none"/>
              </w:rPr>
              <w:t>定期存款</w:t>
            </w:r>
          </w:p>
        </w:tc>
        <w:tc>
          <w:tcPr>
            <w:tcW w:w="1134" w:type="dxa"/>
            <w:shd w:val="clear" w:color="auto" w:fill="auto"/>
            <w:vAlign w:val="center"/>
          </w:tcPr>
          <w:p w14:paraId="18E112F0">
            <w:pPr>
              <w:jc w:val="center"/>
              <w:rPr>
                <w:rFonts w:eastAsia="仿宋"/>
                <w:bCs/>
                <w:sz w:val="20"/>
                <w:highlight w:val="none"/>
              </w:rPr>
            </w:pPr>
            <w:r>
              <w:rPr>
                <w:rFonts w:hint="eastAsia" w:eastAsia="仿宋"/>
                <w:bCs/>
                <w:sz w:val="20"/>
                <w:highlight w:val="none"/>
              </w:rPr>
              <w:t>1,800.00</w:t>
            </w:r>
          </w:p>
        </w:tc>
        <w:tc>
          <w:tcPr>
            <w:tcW w:w="992" w:type="dxa"/>
            <w:shd w:val="clear" w:color="auto" w:fill="auto"/>
            <w:vAlign w:val="center"/>
          </w:tcPr>
          <w:p w14:paraId="0DA03C62">
            <w:pPr>
              <w:widowControl/>
              <w:jc w:val="center"/>
              <w:rPr>
                <w:rFonts w:eastAsia="仿宋"/>
                <w:kern w:val="0"/>
                <w:sz w:val="20"/>
                <w:highlight w:val="none"/>
              </w:rPr>
            </w:pPr>
            <w:r>
              <w:rPr>
                <w:rFonts w:hint="eastAsia" w:eastAsia="仿宋"/>
                <w:kern w:val="0"/>
                <w:sz w:val="20"/>
                <w:highlight w:val="none"/>
              </w:rPr>
              <w:t>2025-07-04</w:t>
            </w:r>
          </w:p>
        </w:tc>
        <w:tc>
          <w:tcPr>
            <w:tcW w:w="992" w:type="dxa"/>
            <w:shd w:val="clear" w:color="auto" w:fill="auto"/>
            <w:vAlign w:val="center"/>
          </w:tcPr>
          <w:p w14:paraId="5739421C">
            <w:pPr>
              <w:widowControl/>
              <w:jc w:val="center"/>
              <w:rPr>
                <w:rFonts w:eastAsia="仿宋"/>
                <w:kern w:val="0"/>
                <w:sz w:val="20"/>
                <w:highlight w:val="none"/>
              </w:rPr>
            </w:pPr>
            <w:r>
              <w:rPr>
                <w:rFonts w:hint="eastAsia" w:eastAsia="仿宋"/>
                <w:kern w:val="0"/>
                <w:sz w:val="20"/>
                <w:highlight w:val="none"/>
              </w:rPr>
              <w:t>3个月</w:t>
            </w:r>
          </w:p>
        </w:tc>
        <w:tc>
          <w:tcPr>
            <w:tcW w:w="1134" w:type="dxa"/>
            <w:shd w:val="clear" w:color="auto" w:fill="auto"/>
            <w:vAlign w:val="center"/>
          </w:tcPr>
          <w:p w14:paraId="4AAA0317">
            <w:pPr>
              <w:widowControl/>
              <w:jc w:val="center"/>
              <w:rPr>
                <w:rFonts w:eastAsia="仿宋"/>
                <w:kern w:val="0"/>
                <w:sz w:val="20"/>
                <w:highlight w:val="none"/>
              </w:rPr>
            </w:pPr>
            <w:r>
              <w:rPr>
                <w:rFonts w:hint="eastAsia" w:eastAsia="仿宋"/>
                <w:kern w:val="0"/>
                <w:sz w:val="20"/>
                <w:highlight w:val="none"/>
              </w:rPr>
              <w:t>1.10%</w:t>
            </w:r>
          </w:p>
        </w:tc>
        <w:tc>
          <w:tcPr>
            <w:tcW w:w="1228" w:type="dxa"/>
            <w:shd w:val="clear" w:color="auto" w:fill="auto"/>
            <w:vAlign w:val="center"/>
          </w:tcPr>
          <w:p w14:paraId="774557CD">
            <w:pPr>
              <w:widowControl/>
              <w:jc w:val="center"/>
              <w:rPr>
                <w:rFonts w:eastAsia="仿宋"/>
                <w:kern w:val="0"/>
                <w:sz w:val="20"/>
                <w:highlight w:val="none"/>
              </w:rPr>
            </w:pPr>
            <w:r>
              <w:rPr>
                <w:rFonts w:hint="eastAsia" w:eastAsia="仿宋"/>
                <w:kern w:val="0"/>
                <w:sz w:val="20"/>
                <w:highlight w:val="none"/>
              </w:rPr>
              <w:t>49,500.00</w:t>
            </w:r>
          </w:p>
        </w:tc>
        <w:tc>
          <w:tcPr>
            <w:tcW w:w="567" w:type="dxa"/>
            <w:shd w:val="clear" w:color="auto" w:fill="auto"/>
          </w:tcPr>
          <w:p w14:paraId="3A465A7E">
            <w:pPr>
              <w:widowControl/>
              <w:jc w:val="center"/>
              <w:rPr>
                <w:rFonts w:eastAsia="仿宋"/>
                <w:kern w:val="0"/>
                <w:sz w:val="20"/>
                <w:highlight w:val="none"/>
              </w:rPr>
            </w:pPr>
            <w:r>
              <w:rPr>
                <w:rFonts w:hint="eastAsia" w:eastAsia="仿宋"/>
                <w:kern w:val="0"/>
                <w:sz w:val="20"/>
                <w:highlight w:val="none"/>
              </w:rPr>
              <w:t>已赎回</w:t>
            </w:r>
          </w:p>
        </w:tc>
      </w:tr>
      <w:tr w14:paraId="07566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5" w:type="dxa"/>
            <w:shd w:val="clear" w:color="auto" w:fill="auto"/>
            <w:vAlign w:val="center"/>
          </w:tcPr>
          <w:p w14:paraId="04ED9CC3">
            <w:pPr>
              <w:widowControl/>
              <w:jc w:val="center"/>
              <w:rPr>
                <w:rFonts w:eastAsia="仿宋"/>
                <w:kern w:val="0"/>
                <w:sz w:val="20"/>
                <w:highlight w:val="none"/>
              </w:rPr>
            </w:pPr>
            <w:r>
              <w:rPr>
                <w:rFonts w:hint="eastAsia" w:eastAsia="仿宋"/>
                <w:kern w:val="0"/>
                <w:sz w:val="20"/>
                <w:highlight w:val="none"/>
              </w:rPr>
              <w:t>9</w:t>
            </w:r>
          </w:p>
        </w:tc>
        <w:tc>
          <w:tcPr>
            <w:tcW w:w="709" w:type="dxa"/>
            <w:shd w:val="clear" w:color="auto" w:fill="auto"/>
            <w:vAlign w:val="center"/>
          </w:tcPr>
          <w:p w14:paraId="2AA3886F">
            <w:pPr>
              <w:jc w:val="center"/>
              <w:rPr>
                <w:rFonts w:eastAsia="仿宋"/>
                <w:bCs/>
                <w:sz w:val="20"/>
                <w:highlight w:val="none"/>
              </w:rPr>
            </w:pPr>
            <w:r>
              <w:rPr>
                <w:rFonts w:eastAsia="仿宋"/>
                <w:bCs/>
                <w:sz w:val="20"/>
                <w:highlight w:val="none"/>
              </w:rPr>
              <w:t>天亿马</w:t>
            </w:r>
          </w:p>
        </w:tc>
        <w:tc>
          <w:tcPr>
            <w:tcW w:w="1276" w:type="dxa"/>
            <w:shd w:val="clear" w:color="auto" w:fill="auto"/>
            <w:vAlign w:val="center"/>
          </w:tcPr>
          <w:p w14:paraId="5EB5C883">
            <w:pPr>
              <w:widowControl/>
              <w:jc w:val="center"/>
              <w:rPr>
                <w:rFonts w:eastAsia="仿宋"/>
                <w:kern w:val="0"/>
                <w:sz w:val="20"/>
                <w:highlight w:val="none"/>
              </w:rPr>
            </w:pPr>
            <w:r>
              <w:rPr>
                <w:rFonts w:hint="eastAsia" w:eastAsia="仿宋"/>
                <w:kern w:val="0"/>
                <w:sz w:val="20"/>
                <w:highlight w:val="none"/>
              </w:rPr>
              <w:t>中信银行汕头分行</w:t>
            </w:r>
          </w:p>
        </w:tc>
        <w:tc>
          <w:tcPr>
            <w:tcW w:w="993" w:type="dxa"/>
            <w:shd w:val="clear" w:color="auto" w:fill="auto"/>
            <w:vAlign w:val="center"/>
          </w:tcPr>
          <w:p w14:paraId="7EDA40A6">
            <w:pPr>
              <w:jc w:val="center"/>
              <w:rPr>
                <w:rFonts w:eastAsia="仿宋"/>
                <w:kern w:val="0"/>
                <w:sz w:val="20"/>
                <w:highlight w:val="none"/>
              </w:rPr>
            </w:pPr>
            <w:r>
              <w:rPr>
                <w:rFonts w:hint="eastAsia" w:eastAsia="仿宋"/>
                <w:kern w:val="0"/>
                <w:sz w:val="20"/>
                <w:highlight w:val="none"/>
              </w:rPr>
              <w:t>保本型</w:t>
            </w:r>
          </w:p>
        </w:tc>
        <w:tc>
          <w:tcPr>
            <w:tcW w:w="1701" w:type="dxa"/>
            <w:shd w:val="clear" w:color="auto" w:fill="auto"/>
            <w:vAlign w:val="center"/>
          </w:tcPr>
          <w:p w14:paraId="15EF1233">
            <w:pPr>
              <w:jc w:val="center"/>
              <w:rPr>
                <w:rFonts w:eastAsia="仿宋"/>
                <w:bCs/>
                <w:sz w:val="20"/>
                <w:highlight w:val="none"/>
              </w:rPr>
            </w:pPr>
            <w:r>
              <w:rPr>
                <w:rFonts w:hint="eastAsia" w:eastAsia="仿宋"/>
                <w:bCs/>
                <w:sz w:val="20"/>
                <w:highlight w:val="none"/>
              </w:rPr>
              <w:t>定期存款</w:t>
            </w:r>
          </w:p>
        </w:tc>
        <w:tc>
          <w:tcPr>
            <w:tcW w:w="1134" w:type="dxa"/>
            <w:shd w:val="clear" w:color="auto" w:fill="auto"/>
            <w:vAlign w:val="center"/>
          </w:tcPr>
          <w:p w14:paraId="0F99E59A">
            <w:pPr>
              <w:jc w:val="center"/>
              <w:rPr>
                <w:rFonts w:eastAsia="仿宋"/>
                <w:bCs/>
                <w:sz w:val="20"/>
                <w:highlight w:val="none"/>
              </w:rPr>
            </w:pPr>
            <w:r>
              <w:rPr>
                <w:rFonts w:hint="eastAsia" w:eastAsia="仿宋"/>
                <w:bCs/>
                <w:sz w:val="20"/>
                <w:highlight w:val="none"/>
              </w:rPr>
              <w:t>1,000.00</w:t>
            </w:r>
          </w:p>
        </w:tc>
        <w:tc>
          <w:tcPr>
            <w:tcW w:w="992" w:type="dxa"/>
            <w:shd w:val="clear" w:color="auto" w:fill="auto"/>
            <w:vAlign w:val="center"/>
          </w:tcPr>
          <w:p w14:paraId="1E0A0BD4">
            <w:pPr>
              <w:widowControl/>
              <w:jc w:val="center"/>
              <w:rPr>
                <w:rFonts w:eastAsia="仿宋"/>
                <w:kern w:val="0"/>
                <w:sz w:val="20"/>
                <w:highlight w:val="none"/>
              </w:rPr>
            </w:pPr>
            <w:r>
              <w:rPr>
                <w:rFonts w:hint="eastAsia" w:eastAsia="仿宋"/>
                <w:kern w:val="0"/>
                <w:sz w:val="20"/>
                <w:highlight w:val="none"/>
              </w:rPr>
              <w:t>2025-07-14</w:t>
            </w:r>
          </w:p>
        </w:tc>
        <w:tc>
          <w:tcPr>
            <w:tcW w:w="992" w:type="dxa"/>
            <w:shd w:val="clear" w:color="auto" w:fill="auto"/>
            <w:vAlign w:val="center"/>
          </w:tcPr>
          <w:p w14:paraId="0274976A">
            <w:pPr>
              <w:widowControl/>
              <w:jc w:val="center"/>
              <w:rPr>
                <w:rFonts w:eastAsia="仿宋"/>
                <w:kern w:val="0"/>
                <w:sz w:val="20"/>
                <w:highlight w:val="none"/>
              </w:rPr>
            </w:pPr>
            <w:r>
              <w:rPr>
                <w:rFonts w:hint="eastAsia" w:eastAsia="仿宋"/>
                <w:kern w:val="0"/>
                <w:sz w:val="20"/>
                <w:highlight w:val="none"/>
              </w:rPr>
              <w:t>2025-10-14</w:t>
            </w:r>
          </w:p>
        </w:tc>
        <w:tc>
          <w:tcPr>
            <w:tcW w:w="1134" w:type="dxa"/>
            <w:shd w:val="clear" w:color="auto" w:fill="auto"/>
            <w:vAlign w:val="center"/>
          </w:tcPr>
          <w:p w14:paraId="4DE1775A">
            <w:pPr>
              <w:widowControl/>
              <w:jc w:val="center"/>
              <w:rPr>
                <w:rFonts w:eastAsia="仿宋"/>
                <w:kern w:val="0"/>
                <w:sz w:val="20"/>
                <w:highlight w:val="none"/>
              </w:rPr>
            </w:pPr>
            <w:r>
              <w:rPr>
                <w:rFonts w:hint="eastAsia" w:eastAsia="仿宋"/>
                <w:kern w:val="0"/>
                <w:sz w:val="20"/>
                <w:highlight w:val="none"/>
              </w:rPr>
              <w:t>1.00%</w:t>
            </w:r>
          </w:p>
        </w:tc>
        <w:tc>
          <w:tcPr>
            <w:tcW w:w="1228" w:type="dxa"/>
            <w:shd w:val="clear" w:color="auto" w:fill="auto"/>
            <w:vAlign w:val="center"/>
          </w:tcPr>
          <w:p w14:paraId="5DAC9A3A">
            <w:pPr>
              <w:widowControl/>
              <w:jc w:val="center"/>
              <w:rPr>
                <w:rFonts w:eastAsia="仿宋"/>
                <w:kern w:val="0"/>
                <w:sz w:val="20"/>
                <w:highlight w:val="none"/>
              </w:rPr>
            </w:pPr>
            <w:r>
              <w:rPr>
                <w:rFonts w:eastAsia="仿宋"/>
                <w:kern w:val="0"/>
                <w:sz w:val="20"/>
                <w:highlight w:val="none"/>
              </w:rPr>
              <w:t>25,027.78</w:t>
            </w:r>
          </w:p>
        </w:tc>
        <w:tc>
          <w:tcPr>
            <w:tcW w:w="567" w:type="dxa"/>
            <w:shd w:val="clear" w:color="auto" w:fill="auto"/>
          </w:tcPr>
          <w:p w14:paraId="41A58E71">
            <w:pPr>
              <w:widowControl/>
              <w:jc w:val="center"/>
              <w:rPr>
                <w:rFonts w:eastAsia="仿宋"/>
                <w:kern w:val="0"/>
                <w:sz w:val="20"/>
                <w:highlight w:val="none"/>
              </w:rPr>
            </w:pPr>
            <w:r>
              <w:rPr>
                <w:rFonts w:hint="eastAsia" w:eastAsia="仿宋"/>
                <w:kern w:val="0"/>
                <w:sz w:val="20"/>
                <w:highlight w:val="none"/>
              </w:rPr>
              <w:t>已赎回</w:t>
            </w:r>
          </w:p>
        </w:tc>
      </w:tr>
      <w:tr w14:paraId="5AB85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5" w:type="dxa"/>
            <w:vAlign w:val="center"/>
          </w:tcPr>
          <w:p w14:paraId="192F6F3C">
            <w:pPr>
              <w:widowControl/>
              <w:jc w:val="center"/>
              <w:rPr>
                <w:rFonts w:eastAsia="仿宋"/>
                <w:kern w:val="0"/>
                <w:sz w:val="20"/>
                <w:highlight w:val="none"/>
              </w:rPr>
            </w:pPr>
            <w:r>
              <w:rPr>
                <w:rFonts w:hint="eastAsia" w:eastAsia="仿宋"/>
                <w:kern w:val="0"/>
                <w:sz w:val="20"/>
                <w:highlight w:val="none"/>
              </w:rPr>
              <w:t>10</w:t>
            </w:r>
          </w:p>
        </w:tc>
        <w:tc>
          <w:tcPr>
            <w:tcW w:w="709" w:type="dxa"/>
            <w:shd w:val="clear" w:color="auto" w:fill="auto"/>
            <w:vAlign w:val="center"/>
          </w:tcPr>
          <w:p w14:paraId="4BCB0399">
            <w:pPr>
              <w:jc w:val="center"/>
              <w:rPr>
                <w:rFonts w:eastAsia="仿宋"/>
                <w:bCs/>
                <w:sz w:val="20"/>
                <w:highlight w:val="none"/>
              </w:rPr>
            </w:pPr>
            <w:r>
              <w:rPr>
                <w:rFonts w:hint="eastAsia" w:eastAsia="仿宋"/>
                <w:bCs/>
                <w:sz w:val="20"/>
                <w:highlight w:val="none"/>
              </w:rPr>
              <w:t>深圳市互联精英信息技术有限公司</w:t>
            </w:r>
          </w:p>
        </w:tc>
        <w:tc>
          <w:tcPr>
            <w:tcW w:w="1276" w:type="dxa"/>
            <w:shd w:val="clear" w:color="auto" w:fill="auto"/>
            <w:vAlign w:val="center"/>
          </w:tcPr>
          <w:p w14:paraId="4655E444">
            <w:pPr>
              <w:widowControl/>
              <w:jc w:val="center"/>
              <w:rPr>
                <w:rFonts w:eastAsia="仿宋"/>
                <w:kern w:val="0"/>
                <w:sz w:val="20"/>
                <w:highlight w:val="none"/>
              </w:rPr>
            </w:pPr>
            <w:r>
              <w:rPr>
                <w:rFonts w:hint="eastAsia" w:eastAsia="仿宋"/>
                <w:kern w:val="0"/>
                <w:sz w:val="20"/>
                <w:highlight w:val="none"/>
              </w:rPr>
              <w:t>广东华兴银行股份有限公司深圳分行</w:t>
            </w:r>
          </w:p>
        </w:tc>
        <w:tc>
          <w:tcPr>
            <w:tcW w:w="993" w:type="dxa"/>
            <w:shd w:val="clear" w:color="auto" w:fill="auto"/>
            <w:vAlign w:val="center"/>
          </w:tcPr>
          <w:p w14:paraId="6822DCD1">
            <w:pPr>
              <w:jc w:val="center"/>
              <w:rPr>
                <w:rFonts w:eastAsia="仿宋"/>
                <w:kern w:val="0"/>
                <w:sz w:val="20"/>
                <w:highlight w:val="none"/>
              </w:rPr>
            </w:pPr>
            <w:r>
              <w:rPr>
                <w:rFonts w:hint="eastAsia" w:eastAsia="仿宋"/>
                <w:kern w:val="0"/>
                <w:sz w:val="20"/>
                <w:highlight w:val="none"/>
              </w:rPr>
              <w:t>保本型</w:t>
            </w:r>
          </w:p>
        </w:tc>
        <w:tc>
          <w:tcPr>
            <w:tcW w:w="1701" w:type="dxa"/>
            <w:shd w:val="clear" w:color="auto" w:fill="auto"/>
            <w:vAlign w:val="center"/>
          </w:tcPr>
          <w:p w14:paraId="1C7E2F25">
            <w:pPr>
              <w:jc w:val="center"/>
              <w:rPr>
                <w:rFonts w:eastAsia="仿宋"/>
                <w:bCs/>
                <w:sz w:val="20"/>
                <w:highlight w:val="none"/>
              </w:rPr>
            </w:pPr>
            <w:r>
              <w:rPr>
                <w:rFonts w:hint="eastAsia" w:eastAsia="仿宋"/>
                <w:bCs/>
                <w:sz w:val="20"/>
                <w:highlight w:val="none"/>
              </w:rPr>
              <w:t>协定存款</w:t>
            </w:r>
          </w:p>
        </w:tc>
        <w:tc>
          <w:tcPr>
            <w:tcW w:w="1134" w:type="dxa"/>
            <w:shd w:val="clear" w:color="auto" w:fill="auto"/>
            <w:vAlign w:val="center"/>
          </w:tcPr>
          <w:p w14:paraId="2FE36387">
            <w:pPr>
              <w:jc w:val="center"/>
              <w:rPr>
                <w:rFonts w:eastAsia="仿宋"/>
                <w:bCs/>
                <w:sz w:val="20"/>
                <w:highlight w:val="none"/>
              </w:rPr>
            </w:pPr>
            <w:r>
              <w:rPr>
                <w:color w:val="000000"/>
                <w:sz w:val="20"/>
                <w:highlight w:val="none"/>
              </w:rPr>
              <w:t>2,072.19</w:t>
            </w:r>
          </w:p>
        </w:tc>
        <w:tc>
          <w:tcPr>
            <w:tcW w:w="992" w:type="dxa"/>
            <w:shd w:val="clear" w:color="auto" w:fill="auto"/>
            <w:vAlign w:val="center"/>
          </w:tcPr>
          <w:p w14:paraId="416DF7A7">
            <w:pPr>
              <w:widowControl/>
              <w:jc w:val="center"/>
              <w:rPr>
                <w:rFonts w:eastAsia="仿宋"/>
                <w:kern w:val="0"/>
                <w:sz w:val="20"/>
                <w:highlight w:val="none"/>
              </w:rPr>
            </w:pPr>
            <w:r>
              <w:rPr>
                <w:rFonts w:hint="eastAsia" w:eastAsia="仿宋"/>
                <w:kern w:val="0"/>
                <w:sz w:val="20"/>
                <w:highlight w:val="none"/>
              </w:rPr>
              <w:t>2025-08-06</w:t>
            </w:r>
          </w:p>
        </w:tc>
        <w:tc>
          <w:tcPr>
            <w:tcW w:w="992" w:type="dxa"/>
            <w:vAlign w:val="center"/>
          </w:tcPr>
          <w:p w14:paraId="32C291B1">
            <w:pPr>
              <w:widowControl/>
              <w:jc w:val="center"/>
              <w:rPr>
                <w:rFonts w:eastAsia="仿宋"/>
                <w:kern w:val="0"/>
                <w:sz w:val="20"/>
                <w:highlight w:val="none"/>
              </w:rPr>
            </w:pPr>
            <w:r>
              <w:rPr>
                <w:rFonts w:hint="eastAsia" w:eastAsia="仿宋"/>
                <w:kern w:val="0"/>
                <w:sz w:val="20"/>
                <w:highlight w:val="none"/>
              </w:rPr>
              <w:t>-</w:t>
            </w:r>
          </w:p>
        </w:tc>
        <w:tc>
          <w:tcPr>
            <w:tcW w:w="1134" w:type="dxa"/>
            <w:shd w:val="clear" w:color="auto" w:fill="auto"/>
            <w:vAlign w:val="center"/>
          </w:tcPr>
          <w:p w14:paraId="6D5C0CD6">
            <w:pPr>
              <w:widowControl/>
              <w:jc w:val="center"/>
              <w:rPr>
                <w:rFonts w:eastAsia="仿宋"/>
                <w:kern w:val="0"/>
                <w:sz w:val="20"/>
                <w:highlight w:val="none"/>
              </w:rPr>
            </w:pPr>
            <w:r>
              <w:rPr>
                <w:rFonts w:hint="eastAsia" w:eastAsia="仿宋"/>
                <w:kern w:val="0"/>
                <w:sz w:val="20"/>
                <w:highlight w:val="none"/>
              </w:rPr>
              <w:t>按中国人民银行公布的协定存款利率基础减60基点</w:t>
            </w:r>
          </w:p>
        </w:tc>
        <w:tc>
          <w:tcPr>
            <w:tcW w:w="1228" w:type="dxa"/>
            <w:shd w:val="clear" w:color="auto" w:fill="auto"/>
            <w:vAlign w:val="center"/>
          </w:tcPr>
          <w:p w14:paraId="7F657044">
            <w:pPr>
              <w:widowControl/>
              <w:jc w:val="center"/>
              <w:rPr>
                <w:rFonts w:eastAsia="仿宋"/>
                <w:kern w:val="0"/>
                <w:sz w:val="20"/>
                <w:highlight w:val="none"/>
              </w:rPr>
            </w:pPr>
            <w:r>
              <w:rPr>
                <w:rFonts w:eastAsia="仿宋"/>
                <w:kern w:val="0"/>
                <w:sz w:val="20"/>
                <w:highlight w:val="none"/>
              </w:rPr>
              <w:t>68,501.07</w:t>
            </w:r>
          </w:p>
        </w:tc>
        <w:tc>
          <w:tcPr>
            <w:tcW w:w="567" w:type="dxa"/>
            <w:vAlign w:val="center"/>
          </w:tcPr>
          <w:p w14:paraId="7190CA93">
            <w:pPr>
              <w:widowControl/>
              <w:jc w:val="center"/>
              <w:rPr>
                <w:rFonts w:eastAsia="仿宋"/>
                <w:kern w:val="0"/>
                <w:sz w:val="20"/>
                <w:highlight w:val="none"/>
              </w:rPr>
            </w:pPr>
            <w:r>
              <w:rPr>
                <w:rFonts w:hint="eastAsia" w:eastAsia="仿宋"/>
                <w:kern w:val="0"/>
                <w:sz w:val="20"/>
                <w:highlight w:val="none"/>
              </w:rPr>
              <w:t>已到期</w:t>
            </w:r>
          </w:p>
        </w:tc>
      </w:tr>
      <w:tr w14:paraId="310B6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5" w:type="dxa"/>
            <w:vAlign w:val="center"/>
          </w:tcPr>
          <w:p w14:paraId="6DC4078E">
            <w:pPr>
              <w:widowControl/>
              <w:jc w:val="center"/>
              <w:rPr>
                <w:rFonts w:eastAsia="仿宋"/>
                <w:kern w:val="0"/>
                <w:sz w:val="20"/>
                <w:highlight w:val="none"/>
              </w:rPr>
            </w:pPr>
            <w:r>
              <w:rPr>
                <w:rFonts w:hint="eastAsia" w:eastAsia="仿宋"/>
                <w:kern w:val="0"/>
                <w:sz w:val="20"/>
                <w:highlight w:val="none"/>
              </w:rPr>
              <w:t>11</w:t>
            </w:r>
          </w:p>
        </w:tc>
        <w:tc>
          <w:tcPr>
            <w:tcW w:w="709" w:type="dxa"/>
            <w:shd w:val="clear" w:color="auto" w:fill="auto"/>
            <w:vAlign w:val="center"/>
          </w:tcPr>
          <w:p w14:paraId="1462CD79">
            <w:pPr>
              <w:jc w:val="center"/>
              <w:rPr>
                <w:rFonts w:eastAsia="仿宋"/>
                <w:bCs/>
                <w:sz w:val="20"/>
                <w:highlight w:val="none"/>
              </w:rPr>
            </w:pPr>
            <w:r>
              <w:rPr>
                <w:rFonts w:eastAsia="仿宋"/>
                <w:bCs/>
                <w:sz w:val="20"/>
                <w:highlight w:val="none"/>
              </w:rPr>
              <w:t>天亿马</w:t>
            </w:r>
          </w:p>
        </w:tc>
        <w:tc>
          <w:tcPr>
            <w:tcW w:w="1276" w:type="dxa"/>
            <w:shd w:val="clear" w:color="auto" w:fill="auto"/>
            <w:vAlign w:val="center"/>
          </w:tcPr>
          <w:p w14:paraId="2D714A3D">
            <w:pPr>
              <w:widowControl/>
              <w:jc w:val="center"/>
              <w:rPr>
                <w:rFonts w:eastAsia="仿宋"/>
                <w:kern w:val="0"/>
                <w:sz w:val="20"/>
                <w:highlight w:val="none"/>
              </w:rPr>
            </w:pPr>
            <w:r>
              <w:rPr>
                <w:rFonts w:hint="eastAsia" w:eastAsia="仿宋"/>
                <w:kern w:val="0"/>
                <w:sz w:val="20"/>
                <w:highlight w:val="none"/>
              </w:rPr>
              <w:t>兴业银行股份有限公司汕头分行</w:t>
            </w:r>
          </w:p>
        </w:tc>
        <w:tc>
          <w:tcPr>
            <w:tcW w:w="993" w:type="dxa"/>
            <w:shd w:val="clear" w:color="auto" w:fill="auto"/>
            <w:vAlign w:val="center"/>
          </w:tcPr>
          <w:p w14:paraId="6E39D13C">
            <w:pPr>
              <w:jc w:val="center"/>
              <w:rPr>
                <w:rFonts w:eastAsia="仿宋"/>
                <w:kern w:val="0"/>
                <w:sz w:val="20"/>
                <w:highlight w:val="none"/>
              </w:rPr>
            </w:pPr>
            <w:r>
              <w:rPr>
                <w:rFonts w:hint="eastAsia" w:eastAsia="仿宋"/>
                <w:kern w:val="0"/>
                <w:sz w:val="20"/>
                <w:highlight w:val="none"/>
              </w:rPr>
              <w:t>保本型</w:t>
            </w:r>
          </w:p>
        </w:tc>
        <w:tc>
          <w:tcPr>
            <w:tcW w:w="1701" w:type="dxa"/>
            <w:shd w:val="clear" w:color="auto" w:fill="auto"/>
            <w:vAlign w:val="center"/>
          </w:tcPr>
          <w:p w14:paraId="3B1CEB26">
            <w:pPr>
              <w:jc w:val="center"/>
              <w:rPr>
                <w:rFonts w:eastAsia="仿宋"/>
                <w:bCs/>
                <w:sz w:val="20"/>
                <w:highlight w:val="none"/>
              </w:rPr>
            </w:pPr>
            <w:r>
              <w:rPr>
                <w:rFonts w:hint="eastAsia" w:eastAsia="仿宋"/>
                <w:bCs/>
                <w:sz w:val="20"/>
                <w:highlight w:val="none"/>
              </w:rPr>
              <w:t>协定存款</w:t>
            </w:r>
          </w:p>
        </w:tc>
        <w:tc>
          <w:tcPr>
            <w:tcW w:w="1134" w:type="dxa"/>
            <w:shd w:val="clear" w:color="auto" w:fill="auto"/>
            <w:vAlign w:val="center"/>
          </w:tcPr>
          <w:p w14:paraId="5F75F07D">
            <w:pPr>
              <w:jc w:val="center"/>
              <w:rPr>
                <w:rFonts w:eastAsia="仿宋"/>
                <w:bCs/>
                <w:sz w:val="20"/>
                <w:highlight w:val="none"/>
              </w:rPr>
            </w:pPr>
            <w:r>
              <w:rPr>
                <w:color w:val="000000"/>
                <w:sz w:val="20"/>
                <w:highlight w:val="none"/>
              </w:rPr>
              <w:t>1,7</w:t>
            </w:r>
            <w:r>
              <w:rPr>
                <w:rFonts w:hint="eastAsia"/>
                <w:color w:val="000000"/>
                <w:sz w:val="20"/>
                <w:highlight w:val="none"/>
              </w:rPr>
              <w:t>07.98</w:t>
            </w:r>
          </w:p>
        </w:tc>
        <w:tc>
          <w:tcPr>
            <w:tcW w:w="992" w:type="dxa"/>
            <w:shd w:val="clear" w:color="auto" w:fill="auto"/>
            <w:vAlign w:val="center"/>
          </w:tcPr>
          <w:p w14:paraId="4A97C387">
            <w:pPr>
              <w:widowControl/>
              <w:jc w:val="center"/>
              <w:rPr>
                <w:rFonts w:eastAsia="仿宋"/>
                <w:kern w:val="0"/>
                <w:sz w:val="20"/>
                <w:highlight w:val="none"/>
              </w:rPr>
            </w:pPr>
            <w:r>
              <w:rPr>
                <w:rFonts w:hint="eastAsia" w:eastAsia="仿宋"/>
                <w:kern w:val="0"/>
                <w:sz w:val="20"/>
                <w:highlight w:val="none"/>
              </w:rPr>
              <w:t>2025-08-07</w:t>
            </w:r>
          </w:p>
        </w:tc>
        <w:tc>
          <w:tcPr>
            <w:tcW w:w="992" w:type="dxa"/>
            <w:vAlign w:val="center"/>
          </w:tcPr>
          <w:p w14:paraId="3B34DCE6">
            <w:pPr>
              <w:widowControl/>
              <w:jc w:val="center"/>
              <w:rPr>
                <w:rFonts w:eastAsia="仿宋"/>
                <w:kern w:val="0"/>
                <w:sz w:val="20"/>
                <w:highlight w:val="none"/>
              </w:rPr>
            </w:pPr>
            <w:r>
              <w:rPr>
                <w:rFonts w:hint="eastAsia" w:eastAsia="仿宋"/>
                <w:kern w:val="0"/>
                <w:sz w:val="20"/>
                <w:highlight w:val="none"/>
              </w:rPr>
              <w:t>2026-3-10</w:t>
            </w:r>
          </w:p>
        </w:tc>
        <w:tc>
          <w:tcPr>
            <w:tcW w:w="1134" w:type="dxa"/>
            <w:shd w:val="clear" w:color="auto" w:fill="auto"/>
            <w:vAlign w:val="center"/>
          </w:tcPr>
          <w:p w14:paraId="760B28A3">
            <w:pPr>
              <w:widowControl/>
              <w:jc w:val="center"/>
              <w:rPr>
                <w:rFonts w:eastAsia="仿宋"/>
                <w:kern w:val="0"/>
                <w:sz w:val="20"/>
                <w:highlight w:val="none"/>
              </w:rPr>
            </w:pPr>
            <w:r>
              <w:rPr>
                <w:rFonts w:hint="eastAsia" w:eastAsia="仿宋"/>
                <w:kern w:val="0"/>
                <w:sz w:val="20"/>
                <w:highlight w:val="none"/>
              </w:rPr>
              <w:t>挂牌公告的协定存款利率加20基点</w:t>
            </w:r>
          </w:p>
        </w:tc>
        <w:tc>
          <w:tcPr>
            <w:tcW w:w="1228" w:type="dxa"/>
            <w:shd w:val="clear" w:color="auto" w:fill="auto"/>
            <w:vAlign w:val="center"/>
          </w:tcPr>
          <w:p w14:paraId="2522E130">
            <w:pPr>
              <w:widowControl/>
              <w:jc w:val="center"/>
              <w:rPr>
                <w:rFonts w:eastAsia="仿宋"/>
                <w:kern w:val="0"/>
                <w:sz w:val="20"/>
                <w:highlight w:val="none"/>
              </w:rPr>
            </w:pPr>
            <w:r>
              <w:rPr>
                <w:rFonts w:eastAsia="仿宋"/>
                <w:kern w:val="0"/>
                <w:sz w:val="20"/>
                <w:highlight w:val="none"/>
              </w:rPr>
              <w:t>44,748.03</w:t>
            </w:r>
          </w:p>
        </w:tc>
        <w:tc>
          <w:tcPr>
            <w:tcW w:w="567" w:type="dxa"/>
            <w:vAlign w:val="center"/>
          </w:tcPr>
          <w:p w14:paraId="4625BE89">
            <w:pPr>
              <w:widowControl/>
              <w:jc w:val="center"/>
              <w:rPr>
                <w:rFonts w:eastAsia="仿宋"/>
                <w:kern w:val="0"/>
                <w:sz w:val="20"/>
                <w:highlight w:val="none"/>
              </w:rPr>
            </w:pPr>
            <w:r>
              <w:rPr>
                <w:rFonts w:hint="eastAsia" w:eastAsia="仿宋"/>
                <w:kern w:val="0"/>
                <w:sz w:val="20"/>
                <w:highlight w:val="none"/>
              </w:rPr>
              <w:t>已到期</w:t>
            </w:r>
          </w:p>
        </w:tc>
      </w:tr>
      <w:tr w14:paraId="783BB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5" w:type="dxa"/>
            <w:vAlign w:val="center"/>
          </w:tcPr>
          <w:p w14:paraId="1E9271D6">
            <w:pPr>
              <w:widowControl/>
              <w:jc w:val="center"/>
              <w:rPr>
                <w:rFonts w:eastAsia="仿宋"/>
                <w:kern w:val="0"/>
                <w:sz w:val="20"/>
                <w:highlight w:val="none"/>
              </w:rPr>
            </w:pPr>
            <w:r>
              <w:rPr>
                <w:rFonts w:hint="eastAsia" w:eastAsia="仿宋"/>
                <w:kern w:val="0"/>
                <w:sz w:val="20"/>
                <w:highlight w:val="none"/>
              </w:rPr>
              <w:t>12</w:t>
            </w:r>
          </w:p>
        </w:tc>
        <w:tc>
          <w:tcPr>
            <w:tcW w:w="709" w:type="dxa"/>
            <w:shd w:val="clear" w:color="auto" w:fill="auto"/>
            <w:vAlign w:val="center"/>
          </w:tcPr>
          <w:p w14:paraId="7325E2A0">
            <w:pPr>
              <w:jc w:val="center"/>
              <w:rPr>
                <w:rFonts w:eastAsia="仿宋"/>
                <w:bCs/>
                <w:sz w:val="20"/>
                <w:highlight w:val="none"/>
              </w:rPr>
            </w:pPr>
            <w:r>
              <w:rPr>
                <w:rFonts w:eastAsia="仿宋"/>
                <w:bCs/>
                <w:sz w:val="20"/>
                <w:highlight w:val="none"/>
              </w:rPr>
              <w:t>天亿马</w:t>
            </w:r>
          </w:p>
        </w:tc>
        <w:tc>
          <w:tcPr>
            <w:tcW w:w="1276" w:type="dxa"/>
            <w:shd w:val="clear" w:color="auto" w:fill="auto"/>
            <w:vAlign w:val="center"/>
          </w:tcPr>
          <w:p w14:paraId="0F7403B2">
            <w:pPr>
              <w:widowControl/>
              <w:jc w:val="center"/>
              <w:rPr>
                <w:rFonts w:eastAsia="仿宋"/>
                <w:kern w:val="0"/>
                <w:sz w:val="20"/>
                <w:highlight w:val="none"/>
              </w:rPr>
            </w:pPr>
            <w:r>
              <w:rPr>
                <w:rFonts w:hint="eastAsia" w:eastAsia="仿宋"/>
                <w:kern w:val="0"/>
                <w:sz w:val="20"/>
                <w:highlight w:val="none"/>
              </w:rPr>
              <w:t>兴业银行股份有限公司汕头分行</w:t>
            </w:r>
          </w:p>
        </w:tc>
        <w:tc>
          <w:tcPr>
            <w:tcW w:w="993" w:type="dxa"/>
            <w:shd w:val="clear" w:color="auto" w:fill="auto"/>
            <w:vAlign w:val="center"/>
          </w:tcPr>
          <w:p w14:paraId="70BE88F8">
            <w:pPr>
              <w:jc w:val="center"/>
              <w:rPr>
                <w:rFonts w:eastAsia="仿宋"/>
                <w:kern w:val="0"/>
                <w:sz w:val="20"/>
                <w:highlight w:val="none"/>
              </w:rPr>
            </w:pPr>
            <w:r>
              <w:rPr>
                <w:rFonts w:hint="eastAsia" w:eastAsia="仿宋"/>
                <w:kern w:val="0"/>
                <w:sz w:val="20"/>
                <w:highlight w:val="none"/>
              </w:rPr>
              <w:t>保本型</w:t>
            </w:r>
          </w:p>
        </w:tc>
        <w:tc>
          <w:tcPr>
            <w:tcW w:w="1701" w:type="dxa"/>
            <w:shd w:val="clear" w:color="auto" w:fill="auto"/>
            <w:vAlign w:val="center"/>
          </w:tcPr>
          <w:p w14:paraId="589992F8">
            <w:pPr>
              <w:jc w:val="center"/>
              <w:rPr>
                <w:rFonts w:eastAsia="仿宋"/>
                <w:bCs/>
                <w:sz w:val="20"/>
                <w:highlight w:val="none"/>
              </w:rPr>
            </w:pPr>
            <w:r>
              <w:rPr>
                <w:rFonts w:hint="eastAsia" w:eastAsia="仿宋"/>
                <w:bCs/>
                <w:sz w:val="20"/>
                <w:highlight w:val="none"/>
              </w:rPr>
              <w:t>协定存款</w:t>
            </w:r>
          </w:p>
        </w:tc>
        <w:tc>
          <w:tcPr>
            <w:tcW w:w="1134" w:type="dxa"/>
            <w:shd w:val="clear" w:color="auto" w:fill="auto"/>
            <w:vAlign w:val="center"/>
          </w:tcPr>
          <w:p w14:paraId="16A81E1F">
            <w:pPr>
              <w:jc w:val="center"/>
              <w:rPr>
                <w:rFonts w:eastAsia="仿宋"/>
                <w:bCs/>
                <w:sz w:val="20"/>
                <w:highlight w:val="none"/>
              </w:rPr>
            </w:pPr>
            <w:r>
              <w:rPr>
                <w:rFonts w:hint="eastAsia"/>
                <w:color w:val="000000"/>
                <w:sz w:val="20"/>
                <w:highlight w:val="none"/>
              </w:rPr>
              <w:t>415.61</w:t>
            </w:r>
          </w:p>
        </w:tc>
        <w:tc>
          <w:tcPr>
            <w:tcW w:w="992" w:type="dxa"/>
            <w:shd w:val="clear" w:color="auto" w:fill="auto"/>
            <w:vAlign w:val="center"/>
          </w:tcPr>
          <w:p w14:paraId="4A983F90">
            <w:pPr>
              <w:widowControl/>
              <w:jc w:val="center"/>
              <w:rPr>
                <w:rFonts w:eastAsia="仿宋"/>
                <w:kern w:val="0"/>
                <w:sz w:val="20"/>
                <w:highlight w:val="none"/>
              </w:rPr>
            </w:pPr>
            <w:r>
              <w:rPr>
                <w:rFonts w:hint="eastAsia" w:eastAsia="仿宋"/>
                <w:kern w:val="0"/>
                <w:sz w:val="20"/>
                <w:highlight w:val="none"/>
              </w:rPr>
              <w:t>2025-08-07</w:t>
            </w:r>
          </w:p>
        </w:tc>
        <w:tc>
          <w:tcPr>
            <w:tcW w:w="992" w:type="dxa"/>
            <w:vAlign w:val="center"/>
          </w:tcPr>
          <w:p w14:paraId="4DCB48E9">
            <w:pPr>
              <w:widowControl/>
              <w:jc w:val="center"/>
              <w:rPr>
                <w:rFonts w:eastAsia="仿宋"/>
                <w:kern w:val="0"/>
                <w:sz w:val="20"/>
                <w:highlight w:val="none"/>
              </w:rPr>
            </w:pPr>
            <w:r>
              <w:rPr>
                <w:rFonts w:hint="eastAsia" w:eastAsia="仿宋"/>
                <w:kern w:val="0"/>
                <w:sz w:val="20"/>
                <w:highlight w:val="none"/>
              </w:rPr>
              <w:t>2026-3-10</w:t>
            </w:r>
          </w:p>
        </w:tc>
        <w:tc>
          <w:tcPr>
            <w:tcW w:w="1134" w:type="dxa"/>
            <w:shd w:val="clear" w:color="auto" w:fill="auto"/>
            <w:vAlign w:val="center"/>
          </w:tcPr>
          <w:p w14:paraId="0AB8E512">
            <w:pPr>
              <w:widowControl/>
              <w:jc w:val="center"/>
              <w:rPr>
                <w:rFonts w:eastAsia="仿宋"/>
                <w:kern w:val="0"/>
                <w:sz w:val="20"/>
                <w:highlight w:val="none"/>
              </w:rPr>
            </w:pPr>
            <w:r>
              <w:rPr>
                <w:rFonts w:hint="eastAsia" w:eastAsia="仿宋"/>
                <w:kern w:val="0"/>
                <w:sz w:val="20"/>
                <w:highlight w:val="none"/>
              </w:rPr>
              <w:t>挂牌公告的协定存款利率加20基点</w:t>
            </w:r>
          </w:p>
        </w:tc>
        <w:tc>
          <w:tcPr>
            <w:tcW w:w="1228" w:type="dxa"/>
            <w:shd w:val="clear" w:color="auto" w:fill="auto"/>
            <w:vAlign w:val="center"/>
          </w:tcPr>
          <w:p w14:paraId="72388F85">
            <w:pPr>
              <w:widowControl/>
              <w:jc w:val="center"/>
              <w:rPr>
                <w:rFonts w:eastAsia="仿宋"/>
                <w:kern w:val="0"/>
                <w:sz w:val="20"/>
                <w:highlight w:val="none"/>
              </w:rPr>
            </w:pPr>
            <w:r>
              <w:rPr>
                <w:rFonts w:eastAsia="仿宋"/>
                <w:kern w:val="0"/>
                <w:sz w:val="20"/>
                <w:highlight w:val="none"/>
              </w:rPr>
              <w:t>116,062.67</w:t>
            </w:r>
          </w:p>
        </w:tc>
        <w:tc>
          <w:tcPr>
            <w:tcW w:w="567" w:type="dxa"/>
            <w:vAlign w:val="center"/>
          </w:tcPr>
          <w:p w14:paraId="7EE6D30E">
            <w:pPr>
              <w:widowControl/>
              <w:jc w:val="center"/>
              <w:rPr>
                <w:rFonts w:eastAsia="仿宋"/>
                <w:kern w:val="0"/>
                <w:sz w:val="20"/>
                <w:highlight w:val="none"/>
              </w:rPr>
            </w:pPr>
            <w:r>
              <w:rPr>
                <w:rFonts w:hint="eastAsia" w:eastAsia="仿宋"/>
                <w:kern w:val="0"/>
                <w:sz w:val="20"/>
                <w:highlight w:val="none"/>
              </w:rPr>
              <w:t>已到期</w:t>
            </w:r>
          </w:p>
        </w:tc>
      </w:tr>
      <w:tr w14:paraId="14C9B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5" w:type="dxa"/>
            <w:vAlign w:val="center"/>
          </w:tcPr>
          <w:p w14:paraId="25BFFA7A">
            <w:pPr>
              <w:widowControl/>
              <w:jc w:val="center"/>
              <w:rPr>
                <w:rFonts w:eastAsia="仿宋"/>
                <w:kern w:val="0"/>
                <w:sz w:val="20"/>
                <w:highlight w:val="none"/>
              </w:rPr>
            </w:pPr>
            <w:r>
              <w:rPr>
                <w:rFonts w:hint="eastAsia" w:eastAsia="仿宋"/>
                <w:kern w:val="0"/>
                <w:sz w:val="20"/>
                <w:highlight w:val="none"/>
              </w:rPr>
              <w:t>13</w:t>
            </w:r>
          </w:p>
        </w:tc>
        <w:tc>
          <w:tcPr>
            <w:tcW w:w="709" w:type="dxa"/>
            <w:shd w:val="clear" w:color="auto" w:fill="auto"/>
            <w:vAlign w:val="center"/>
          </w:tcPr>
          <w:p w14:paraId="50F8F402">
            <w:pPr>
              <w:jc w:val="center"/>
              <w:rPr>
                <w:rFonts w:eastAsia="仿宋"/>
                <w:bCs/>
                <w:sz w:val="20"/>
                <w:highlight w:val="none"/>
              </w:rPr>
            </w:pPr>
            <w:bookmarkStart w:id="9" w:name="OLE_LINK39"/>
            <w:r>
              <w:rPr>
                <w:rFonts w:eastAsia="仿宋"/>
                <w:bCs/>
                <w:sz w:val="20"/>
                <w:highlight w:val="none"/>
              </w:rPr>
              <w:t>天亿马</w:t>
            </w:r>
            <w:bookmarkEnd w:id="9"/>
          </w:p>
        </w:tc>
        <w:tc>
          <w:tcPr>
            <w:tcW w:w="1276" w:type="dxa"/>
            <w:shd w:val="clear" w:color="auto" w:fill="auto"/>
            <w:vAlign w:val="center"/>
          </w:tcPr>
          <w:p w14:paraId="79B5DAD2">
            <w:pPr>
              <w:widowControl/>
              <w:jc w:val="center"/>
              <w:rPr>
                <w:rFonts w:eastAsia="仿宋"/>
                <w:kern w:val="0"/>
                <w:sz w:val="20"/>
                <w:highlight w:val="none"/>
              </w:rPr>
            </w:pPr>
            <w:r>
              <w:rPr>
                <w:rFonts w:hint="eastAsia" w:eastAsia="仿宋"/>
                <w:kern w:val="0"/>
                <w:sz w:val="20"/>
                <w:highlight w:val="none"/>
              </w:rPr>
              <w:t>兴业银行股份有限公司汕头分行</w:t>
            </w:r>
          </w:p>
        </w:tc>
        <w:tc>
          <w:tcPr>
            <w:tcW w:w="993" w:type="dxa"/>
            <w:shd w:val="clear" w:color="auto" w:fill="auto"/>
            <w:vAlign w:val="center"/>
          </w:tcPr>
          <w:p w14:paraId="5098B249">
            <w:pPr>
              <w:jc w:val="center"/>
              <w:rPr>
                <w:rFonts w:eastAsia="仿宋"/>
                <w:kern w:val="0"/>
                <w:sz w:val="20"/>
                <w:highlight w:val="none"/>
              </w:rPr>
            </w:pPr>
            <w:r>
              <w:rPr>
                <w:rFonts w:hint="eastAsia" w:eastAsia="仿宋"/>
                <w:kern w:val="0"/>
                <w:sz w:val="20"/>
                <w:highlight w:val="none"/>
              </w:rPr>
              <w:t>保本型</w:t>
            </w:r>
          </w:p>
        </w:tc>
        <w:tc>
          <w:tcPr>
            <w:tcW w:w="1701" w:type="dxa"/>
            <w:shd w:val="clear" w:color="auto" w:fill="auto"/>
            <w:vAlign w:val="center"/>
          </w:tcPr>
          <w:p w14:paraId="0CFC6813">
            <w:pPr>
              <w:jc w:val="center"/>
              <w:rPr>
                <w:rFonts w:eastAsia="仿宋"/>
                <w:bCs/>
                <w:sz w:val="20"/>
                <w:highlight w:val="none"/>
              </w:rPr>
            </w:pPr>
            <w:r>
              <w:rPr>
                <w:rFonts w:hint="eastAsia" w:eastAsia="仿宋"/>
                <w:bCs/>
                <w:sz w:val="20"/>
                <w:highlight w:val="none"/>
              </w:rPr>
              <w:t>协定存款</w:t>
            </w:r>
          </w:p>
        </w:tc>
        <w:tc>
          <w:tcPr>
            <w:tcW w:w="1134" w:type="dxa"/>
            <w:shd w:val="clear" w:color="auto" w:fill="auto"/>
            <w:vAlign w:val="center"/>
          </w:tcPr>
          <w:p w14:paraId="4A31544E">
            <w:pPr>
              <w:jc w:val="center"/>
              <w:rPr>
                <w:rFonts w:eastAsia="仿宋"/>
                <w:bCs/>
                <w:sz w:val="20"/>
                <w:highlight w:val="none"/>
              </w:rPr>
            </w:pPr>
            <w:r>
              <w:rPr>
                <w:color w:val="000000"/>
                <w:sz w:val="20"/>
                <w:highlight w:val="none"/>
              </w:rPr>
              <w:t>3</w:t>
            </w:r>
            <w:r>
              <w:rPr>
                <w:rFonts w:hint="eastAsia"/>
                <w:color w:val="000000"/>
                <w:sz w:val="20"/>
                <w:highlight w:val="none"/>
              </w:rPr>
              <w:t>6.</w:t>
            </w:r>
            <w:r>
              <w:rPr>
                <w:color w:val="000000"/>
                <w:sz w:val="20"/>
                <w:highlight w:val="none"/>
              </w:rPr>
              <w:t>1</w:t>
            </w:r>
            <w:r>
              <w:rPr>
                <w:rFonts w:hint="eastAsia"/>
                <w:color w:val="000000"/>
                <w:sz w:val="20"/>
                <w:highlight w:val="none"/>
              </w:rPr>
              <w:t>6</w:t>
            </w:r>
          </w:p>
        </w:tc>
        <w:tc>
          <w:tcPr>
            <w:tcW w:w="992" w:type="dxa"/>
            <w:shd w:val="clear" w:color="auto" w:fill="auto"/>
            <w:vAlign w:val="center"/>
          </w:tcPr>
          <w:p w14:paraId="617BFF0A">
            <w:pPr>
              <w:widowControl/>
              <w:jc w:val="center"/>
              <w:rPr>
                <w:rFonts w:eastAsia="仿宋"/>
                <w:kern w:val="0"/>
                <w:sz w:val="20"/>
                <w:highlight w:val="none"/>
              </w:rPr>
            </w:pPr>
            <w:r>
              <w:rPr>
                <w:rFonts w:hint="eastAsia" w:eastAsia="仿宋"/>
                <w:kern w:val="0"/>
                <w:sz w:val="20"/>
                <w:highlight w:val="none"/>
              </w:rPr>
              <w:t>2025-08-07</w:t>
            </w:r>
          </w:p>
        </w:tc>
        <w:tc>
          <w:tcPr>
            <w:tcW w:w="992" w:type="dxa"/>
            <w:vAlign w:val="center"/>
          </w:tcPr>
          <w:p w14:paraId="6CF40024">
            <w:pPr>
              <w:widowControl/>
              <w:jc w:val="center"/>
              <w:rPr>
                <w:rFonts w:eastAsia="仿宋"/>
                <w:kern w:val="0"/>
                <w:sz w:val="20"/>
                <w:highlight w:val="none"/>
              </w:rPr>
            </w:pPr>
            <w:r>
              <w:rPr>
                <w:rFonts w:hint="eastAsia" w:eastAsia="仿宋"/>
                <w:kern w:val="0"/>
                <w:sz w:val="20"/>
                <w:highlight w:val="none"/>
              </w:rPr>
              <w:t>2026-3-10</w:t>
            </w:r>
          </w:p>
        </w:tc>
        <w:tc>
          <w:tcPr>
            <w:tcW w:w="1134" w:type="dxa"/>
            <w:shd w:val="clear" w:color="auto" w:fill="auto"/>
            <w:vAlign w:val="center"/>
          </w:tcPr>
          <w:p w14:paraId="67B6594A">
            <w:pPr>
              <w:widowControl/>
              <w:jc w:val="center"/>
              <w:rPr>
                <w:rFonts w:eastAsia="仿宋"/>
                <w:kern w:val="0"/>
                <w:sz w:val="20"/>
                <w:highlight w:val="none"/>
              </w:rPr>
            </w:pPr>
            <w:r>
              <w:rPr>
                <w:rFonts w:hint="eastAsia" w:eastAsia="仿宋"/>
                <w:kern w:val="0"/>
                <w:sz w:val="20"/>
                <w:highlight w:val="none"/>
              </w:rPr>
              <w:t>挂牌公告的协定存款利率加20基点</w:t>
            </w:r>
          </w:p>
        </w:tc>
        <w:tc>
          <w:tcPr>
            <w:tcW w:w="1228" w:type="dxa"/>
            <w:shd w:val="clear" w:color="auto" w:fill="auto"/>
            <w:vAlign w:val="center"/>
          </w:tcPr>
          <w:p w14:paraId="598C6198">
            <w:pPr>
              <w:widowControl/>
              <w:jc w:val="center"/>
              <w:rPr>
                <w:rFonts w:eastAsia="仿宋"/>
                <w:kern w:val="0"/>
                <w:sz w:val="20"/>
                <w:highlight w:val="none"/>
              </w:rPr>
            </w:pPr>
            <w:r>
              <w:rPr>
                <w:rFonts w:eastAsia="仿宋"/>
                <w:kern w:val="0"/>
                <w:sz w:val="20"/>
                <w:highlight w:val="none"/>
              </w:rPr>
              <w:t>40,009.68</w:t>
            </w:r>
          </w:p>
        </w:tc>
        <w:tc>
          <w:tcPr>
            <w:tcW w:w="567" w:type="dxa"/>
            <w:vAlign w:val="center"/>
          </w:tcPr>
          <w:p w14:paraId="7988EBC4">
            <w:pPr>
              <w:widowControl/>
              <w:jc w:val="center"/>
              <w:rPr>
                <w:rFonts w:eastAsia="仿宋"/>
                <w:kern w:val="0"/>
                <w:sz w:val="20"/>
                <w:highlight w:val="none"/>
              </w:rPr>
            </w:pPr>
            <w:r>
              <w:rPr>
                <w:rFonts w:hint="eastAsia" w:eastAsia="仿宋"/>
                <w:kern w:val="0"/>
                <w:sz w:val="20"/>
                <w:highlight w:val="none"/>
              </w:rPr>
              <w:t>已到期</w:t>
            </w:r>
          </w:p>
        </w:tc>
      </w:tr>
      <w:tr w14:paraId="57DF4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5" w:type="dxa"/>
            <w:vAlign w:val="center"/>
          </w:tcPr>
          <w:p w14:paraId="46F9BD6E">
            <w:pPr>
              <w:widowControl/>
              <w:jc w:val="center"/>
              <w:rPr>
                <w:rFonts w:eastAsia="仿宋"/>
                <w:kern w:val="0"/>
                <w:sz w:val="20"/>
                <w:highlight w:val="none"/>
              </w:rPr>
            </w:pPr>
            <w:r>
              <w:rPr>
                <w:rFonts w:hint="eastAsia" w:eastAsia="仿宋"/>
                <w:kern w:val="0"/>
                <w:sz w:val="20"/>
                <w:highlight w:val="none"/>
              </w:rPr>
              <w:t>14</w:t>
            </w:r>
          </w:p>
        </w:tc>
        <w:tc>
          <w:tcPr>
            <w:tcW w:w="709" w:type="dxa"/>
            <w:shd w:val="clear" w:color="auto" w:fill="auto"/>
            <w:vAlign w:val="center"/>
          </w:tcPr>
          <w:p w14:paraId="75E4F295">
            <w:pPr>
              <w:jc w:val="center"/>
              <w:rPr>
                <w:rFonts w:eastAsia="仿宋"/>
                <w:bCs/>
                <w:sz w:val="20"/>
                <w:highlight w:val="none"/>
              </w:rPr>
            </w:pPr>
            <w:r>
              <w:rPr>
                <w:rFonts w:eastAsia="仿宋"/>
                <w:bCs/>
                <w:sz w:val="20"/>
                <w:highlight w:val="none"/>
              </w:rPr>
              <w:t>天亿马</w:t>
            </w:r>
          </w:p>
        </w:tc>
        <w:tc>
          <w:tcPr>
            <w:tcW w:w="1276" w:type="dxa"/>
            <w:shd w:val="clear" w:color="auto" w:fill="auto"/>
            <w:vAlign w:val="center"/>
          </w:tcPr>
          <w:p w14:paraId="6B3B4539">
            <w:pPr>
              <w:widowControl/>
              <w:jc w:val="center"/>
              <w:rPr>
                <w:rFonts w:eastAsia="仿宋"/>
                <w:kern w:val="0"/>
                <w:sz w:val="20"/>
                <w:highlight w:val="none"/>
              </w:rPr>
            </w:pPr>
            <w:r>
              <w:rPr>
                <w:rFonts w:hint="eastAsia" w:eastAsia="仿宋"/>
                <w:kern w:val="0"/>
                <w:sz w:val="20"/>
                <w:highlight w:val="none"/>
              </w:rPr>
              <w:t>南洋商业银行</w:t>
            </w:r>
          </w:p>
        </w:tc>
        <w:tc>
          <w:tcPr>
            <w:tcW w:w="993" w:type="dxa"/>
            <w:shd w:val="clear" w:color="auto" w:fill="auto"/>
            <w:vAlign w:val="center"/>
          </w:tcPr>
          <w:p w14:paraId="5BDB88BA">
            <w:pPr>
              <w:jc w:val="center"/>
              <w:rPr>
                <w:rFonts w:eastAsia="仿宋"/>
                <w:kern w:val="0"/>
                <w:sz w:val="20"/>
                <w:highlight w:val="none"/>
              </w:rPr>
            </w:pPr>
            <w:r>
              <w:rPr>
                <w:rFonts w:hint="eastAsia" w:eastAsia="仿宋"/>
                <w:kern w:val="0"/>
                <w:sz w:val="20"/>
                <w:highlight w:val="none"/>
              </w:rPr>
              <w:t>保本型</w:t>
            </w:r>
          </w:p>
        </w:tc>
        <w:tc>
          <w:tcPr>
            <w:tcW w:w="1701" w:type="dxa"/>
            <w:shd w:val="clear" w:color="auto" w:fill="auto"/>
            <w:vAlign w:val="center"/>
          </w:tcPr>
          <w:p w14:paraId="10192C81">
            <w:pPr>
              <w:jc w:val="center"/>
              <w:rPr>
                <w:rFonts w:eastAsia="仿宋"/>
                <w:bCs/>
                <w:sz w:val="20"/>
                <w:highlight w:val="none"/>
              </w:rPr>
            </w:pPr>
            <w:r>
              <w:rPr>
                <w:rFonts w:hint="eastAsia" w:eastAsia="仿宋"/>
                <w:bCs/>
                <w:sz w:val="20"/>
                <w:highlight w:val="none"/>
              </w:rPr>
              <w:t>定期存款</w:t>
            </w:r>
          </w:p>
        </w:tc>
        <w:tc>
          <w:tcPr>
            <w:tcW w:w="1134" w:type="dxa"/>
            <w:shd w:val="clear" w:color="auto" w:fill="auto"/>
            <w:vAlign w:val="center"/>
          </w:tcPr>
          <w:p w14:paraId="30CCF7AD">
            <w:pPr>
              <w:jc w:val="center"/>
              <w:rPr>
                <w:color w:val="000000"/>
                <w:sz w:val="20"/>
                <w:highlight w:val="none"/>
              </w:rPr>
            </w:pPr>
            <w:r>
              <w:rPr>
                <w:rFonts w:hint="eastAsia" w:eastAsia="仿宋"/>
                <w:kern w:val="0"/>
                <w:sz w:val="20"/>
                <w:highlight w:val="none"/>
              </w:rPr>
              <w:t>5,000.00</w:t>
            </w:r>
          </w:p>
        </w:tc>
        <w:tc>
          <w:tcPr>
            <w:tcW w:w="992" w:type="dxa"/>
            <w:shd w:val="clear" w:color="auto" w:fill="auto"/>
            <w:vAlign w:val="center"/>
          </w:tcPr>
          <w:p w14:paraId="42468522">
            <w:pPr>
              <w:widowControl/>
              <w:jc w:val="center"/>
              <w:rPr>
                <w:rFonts w:eastAsia="仿宋"/>
                <w:kern w:val="0"/>
                <w:sz w:val="20"/>
                <w:highlight w:val="none"/>
              </w:rPr>
            </w:pPr>
            <w:r>
              <w:rPr>
                <w:rFonts w:hint="eastAsia" w:eastAsia="仿宋"/>
                <w:kern w:val="0"/>
                <w:sz w:val="20"/>
                <w:highlight w:val="none"/>
              </w:rPr>
              <w:t>2026-3-9</w:t>
            </w:r>
          </w:p>
        </w:tc>
        <w:tc>
          <w:tcPr>
            <w:tcW w:w="992" w:type="dxa"/>
            <w:vAlign w:val="center"/>
          </w:tcPr>
          <w:p w14:paraId="266E48AA">
            <w:pPr>
              <w:widowControl/>
              <w:jc w:val="center"/>
              <w:rPr>
                <w:rFonts w:eastAsia="仿宋"/>
                <w:kern w:val="0"/>
                <w:sz w:val="20"/>
                <w:highlight w:val="none"/>
              </w:rPr>
            </w:pPr>
            <w:r>
              <w:rPr>
                <w:rFonts w:hint="eastAsia" w:eastAsia="仿宋"/>
                <w:kern w:val="0"/>
                <w:sz w:val="20"/>
                <w:highlight w:val="none"/>
              </w:rPr>
              <w:t>2026-6-9</w:t>
            </w:r>
          </w:p>
        </w:tc>
        <w:tc>
          <w:tcPr>
            <w:tcW w:w="1134" w:type="dxa"/>
            <w:shd w:val="clear" w:color="auto" w:fill="auto"/>
            <w:vAlign w:val="center"/>
          </w:tcPr>
          <w:p w14:paraId="6FE65707">
            <w:pPr>
              <w:widowControl/>
              <w:jc w:val="center"/>
              <w:rPr>
                <w:rFonts w:eastAsia="仿宋"/>
                <w:kern w:val="0"/>
                <w:sz w:val="20"/>
                <w:highlight w:val="none"/>
              </w:rPr>
            </w:pPr>
            <w:r>
              <w:rPr>
                <w:rFonts w:hint="eastAsia" w:eastAsia="仿宋"/>
                <w:kern w:val="0"/>
                <w:sz w:val="20"/>
                <w:highlight w:val="none"/>
              </w:rPr>
              <w:t>1.7%</w:t>
            </w:r>
          </w:p>
        </w:tc>
        <w:tc>
          <w:tcPr>
            <w:tcW w:w="1228" w:type="dxa"/>
            <w:vAlign w:val="center"/>
          </w:tcPr>
          <w:p w14:paraId="72A5AD5D">
            <w:pPr>
              <w:widowControl/>
              <w:jc w:val="center"/>
              <w:rPr>
                <w:rFonts w:hint="default" w:eastAsia="仿宋"/>
                <w:kern w:val="0"/>
                <w:sz w:val="20"/>
                <w:highlight w:val="none"/>
                <w:lang w:val="en-US" w:eastAsia="zh-CN"/>
              </w:rPr>
            </w:pPr>
            <w:r>
              <w:rPr>
                <w:rFonts w:hint="eastAsia" w:eastAsia="仿宋"/>
                <w:kern w:val="0"/>
                <w:sz w:val="20"/>
                <w:highlight w:val="none"/>
                <w:lang w:val="en-US" w:eastAsia="zh-CN"/>
              </w:rPr>
              <w:t>212,500.00</w:t>
            </w:r>
          </w:p>
        </w:tc>
        <w:tc>
          <w:tcPr>
            <w:tcW w:w="567" w:type="dxa"/>
          </w:tcPr>
          <w:p w14:paraId="58F8B25C">
            <w:pPr>
              <w:widowControl/>
              <w:jc w:val="center"/>
              <w:rPr>
                <w:rFonts w:eastAsia="仿宋"/>
                <w:kern w:val="0"/>
                <w:sz w:val="20"/>
                <w:highlight w:val="none"/>
              </w:rPr>
            </w:pPr>
            <w:r>
              <w:rPr>
                <w:rFonts w:hint="eastAsia" w:eastAsia="仿宋"/>
                <w:kern w:val="0"/>
                <w:sz w:val="20"/>
                <w:highlight w:val="none"/>
              </w:rPr>
              <w:t>已到期</w:t>
            </w:r>
          </w:p>
        </w:tc>
      </w:tr>
      <w:tr w14:paraId="304BA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5" w:type="dxa"/>
            <w:vAlign w:val="center"/>
          </w:tcPr>
          <w:p w14:paraId="2C421969">
            <w:pPr>
              <w:widowControl/>
              <w:jc w:val="center"/>
              <w:rPr>
                <w:rFonts w:eastAsia="仿宋"/>
                <w:kern w:val="0"/>
                <w:sz w:val="20"/>
                <w:highlight w:val="none"/>
              </w:rPr>
            </w:pPr>
            <w:r>
              <w:rPr>
                <w:rFonts w:hint="eastAsia" w:eastAsia="仿宋"/>
                <w:kern w:val="0"/>
                <w:sz w:val="20"/>
                <w:highlight w:val="none"/>
              </w:rPr>
              <w:t>15</w:t>
            </w:r>
          </w:p>
        </w:tc>
        <w:tc>
          <w:tcPr>
            <w:tcW w:w="709" w:type="dxa"/>
            <w:shd w:val="clear" w:color="auto" w:fill="auto"/>
            <w:vAlign w:val="center"/>
          </w:tcPr>
          <w:p w14:paraId="7ED59D31">
            <w:pPr>
              <w:jc w:val="center"/>
              <w:rPr>
                <w:rFonts w:eastAsia="仿宋"/>
                <w:bCs/>
                <w:sz w:val="20"/>
                <w:highlight w:val="none"/>
              </w:rPr>
            </w:pPr>
            <w:r>
              <w:rPr>
                <w:rFonts w:eastAsia="仿宋"/>
                <w:bCs/>
                <w:sz w:val="20"/>
                <w:highlight w:val="none"/>
              </w:rPr>
              <w:t>天亿马</w:t>
            </w:r>
          </w:p>
        </w:tc>
        <w:tc>
          <w:tcPr>
            <w:tcW w:w="1276" w:type="dxa"/>
            <w:shd w:val="clear" w:color="auto" w:fill="auto"/>
            <w:vAlign w:val="center"/>
          </w:tcPr>
          <w:p w14:paraId="63FC6F03">
            <w:pPr>
              <w:widowControl/>
              <w:jc w:val="center"/>
              <w:rPr>
                <w:rFonts w:eastAsia="仿宋"/>
                <w:kern w:val="0"/>
                <w:sz w:val="20"/>
                <w:highlight w:val="none"/>
              </w:rPr>
            </w:pPr>
            <w:r>
              <w:rPr>
                <w:rFonts w:hint="eastAsia" w:eastAsia="仿宋"/>
                <w:kern w:val="0"/>
                <w:sz w:val="20"/>
                <w:highlight w:val="none"/>
              </w:rPr>
              <w:t>兴业银行股份有限公司汕头分行</w:t>
            </w:r>
          </w:p>
        </w:tc>
        <w:tc>
          <w:tcPr>
            <w:tcW w:w="993" w:type="dxa"/>
            <w:shd w:val="clear" w:color="auto" w:fill="auto"/>
            <w:vAlign w:val="center"/>
          </w:tcPr>
          <w:p w14:paraId="663BBCD9">
            <w:pPr>
              <w:jc w:val="center"/>
              <w:rPr>
                <w:rFonts w:eastAsia="仿宋"/>
                <w:kern w:val="0"/>
                <w:sz w:val="20"/>
                <w:highlight w:val="none"/>
              </w:rPr>
            </w:pPr>
            <w:r>
              <w:rPr>
                <w:rFonts w:hint="eastAsia" w:eastAsia="仿宋"/>
                <w:kern w:val="0"/>
                <w:sz w:val="20"/>
                <w:highlight w:val="none"/>
              </w:rPr>
              <w:t>保本型</w:t>
            </w:r>
          </w:p>
        </w:tc>
        <w:tc>
          <w:tcPr>
            <w:tcW w:w="1701" w:type="dxa"/>
            <w:shd w:val="clear" w:color="auto" w:fill="auto"/>
            <w:vAlign w:val="center"/>
          </w:tcPr>
          <w:p w14:paraId="1CC8CD37">
            <w:pPr>
              <w:jc w:val="center"/>
              <w:rPr>
                <w:rFonts w:eastAsia="仿宋"/>
                <w:bCs/>
                <w:sz w:val="20"/>
                <w:highlight w:val="none"/>
              </w:rPr>
            </w:pPr>
            <w:r>
              <w:rPr>
                <w:rFonts w:hint="eastAsia" w:eastAsia="仿宋"/>
                <w:bCs/>
                <w:sz w:val="20"/>
                <w:highlight w:val="none"/>
              </w:rPr>
              <w:t>大额存单</w:t>
            </w:r>
          </w:p>
        </w:tc>
        <w:tc>
          <w:tcPr>
            <w:tcW w:w="1134" w:type="dxa"/>
            <w:shd w:val="clear" w:color="auto" w:fill="auto"/>
            <w:vAlign w:val="center"/>
          </w:tcPr>
          <w:p w14:paraId="5E757E89">
            <w:pPr>
              <w:jc w:val="center"/>
              <w:rPr>
                <w:color w:val="000000"/>
                <w:sz w:val="20"/>
                <w:highlight w:val="none"/>
              </w:rPr>
            </w:pPr>
            <w:r>
              <w:rPr>
                <w:rFonts w:hint="eastAsia"/>
                <w:color w:val="000000"/>
                <w:sz w:val="20"/>
                <w:highlight w:val="none"/>
              </w:rPr>
              <w:t>2,000.00</w:t>
            </w:r>
          </w:p>
        </w:tc>
        <w:tc>
          <w:tcPr>
            <w:tcW w:w="992" w:type="dxa"/>
            <w:shd w:val="clear" w:color="auto" w:fill="auto"/>
            <w:vAlign w:val="center"/>
          </w:tcPr>
          <w:p w14:paraId="5C843984">
            <w:pPr>
              <w:widowControl/>
              <w:jc w:val="center"/>
              <w:rPr>
                <w:rFonts w:eastAsia="仿宋"/>
                <w:kern w:val="0"/>
                <w:sz w:val="20"/>
                <w:highlight w:val="none"/>
              </w:rPr>
            </w:pPr>
            <w:r>
              <w:rPr>
                <w:rFonts w:hint="eastAsia" w:eastAsia="仿宋"/>
                <w:kern w:val="0"/>
                <w:sz w:val="20"/>
                <w:highlight w:val="none"/>
              </w:rPr>
              <w:t>2026-3-9</w:t>
            </w:r>
          </w:p>
        </w:tc>
        <w:tc>
          <w:tcPr>
            <w:tcW w:w="992" w:type="dxa"/>
            <w:vAlign w:val="center"/>
          </w:tcPr>
          <w:p w14:paraId="579F5E6F">
            <w:pPr>
              <w:widowControl/>
              <w:jc w:val="center"/>
              <w:rPr>
                <w:rFonts w:hint="default" w:eastAsia="仿宋"/>
                <w:kern w:val="0"/>
                <w:sz w:val="20"/>
                <w:highlight w:val="none"/>
                <w:lang w:val="en-US" w:eastAsia="zh-CN"/>
              </w:rPr>
            </w:pPr>
            <w:r>
              <w:rPr>
                <w:rFonts w:hint="eastAsia" w:eastAsia="仿宋"/>
                <w:kern w:val="0"/>
                <w:sz w:val="20"/>
                <w:highlight w:val="none"/>
              </w:rPr>
              <w:t>2026-6-</w:t>
            </w:r>
            <w:r>
              <w:rPr>
                <w:rFonts w:hint="eastAsia" w:eastAsia="仿宋"/>
                <w:kern w:val="0"/>
                <w:sz w:val="20"/>
                <w:highlight w:val="none"/>
                <w:lang w:val="en-US" w:eastAsia="zh-CN"/>
              </w:rPr>
              <w:t>9</w:t>
            </w:r>
          </w:p>
        </w:tc>
        <w:tc>
          <w:tcPr>
            <w:tcW w:w="1134" w:type="dxa"/>
            <w:shd w:val="clear" w:color="auto" w:fill="auto"/>
            <w:vAlign w:val="center"/>
          </w:tcPr>
          <w:p w14:paraId="17F6AE3B">
            <w:pPr>
              <w:widowControl/>
              <w:jc w:val="center"/>
              <w:rPr>
                <w:rFonts w:eastAsia="仿宋"/>
                <w:kern w:val="0"/>
                <w:sz w:val="20"/>
                <w:highlight w:val="none"/>
              </w:rPr>
            </w:pPr>
            <w:r>
              <w:rPr>
                <w:rFonts w:hint="eastAsia" w:eastAsia="仿宋"/>
                <w:kern w:val="0"/>
                <w:sz w:val="20"/>
                <w:highlight w:val="none"/>
              </w:rPr>
              <w:t>1.1%</w:t>
            </w:r>
          </w:p>
        </w:tc>
        <w:tc>
          <w:tcPr>
            <w:tcW w:w="1228" w:type="dxa"/>
            <w:vAlign w:val="center"/>
          </w:tcPr>
          <w:p w14:paraId="6D86C21B">
            <w:pPr>
              <w:widowControl/>
              <w:jc w:val="center"/>
              <w:rPr>
                <w:rFonts w:hint="default" w:eastAsia="仿宋"/>
                <w:kern w:val="0"/>
                <w:sz w:val="20"/>
                <w:highlight w:val="none"/>
                <w:lang w:val="en-US" w:eastAsia="zh-CN"/>
              </w:rPr>
            </w:pPr>
            <w:r>
              <w:rPr>
                <w:rFonts w:hint="eastAsia" w:eastAsia="仿宋"/>
                <w:kern w:val="0"/>
                <w:sz w:val="20"/>
                <w:highlight w:val="none"/>
                <w:lang w:val="en-US" w:eastAsia="zh-CN"/>
              </w:rPr>
              <w:t>55,000.00</w:t>
            </w:r>
          </w:p>
        </w:tc>
        <w:tc>
          <w:tcPr>
            <w:tcW w:w="567" w:type="dxa"/>
          </w:tcPr>
          <w:p w14:paraId="65D17A3F">
            <w:pPr>
              <w:widowControl/>
              <w:jc w:val="center"/>
              <w:rPr>
                <w:rFonts w:eastAsia="仿宋"/>
                <w:kern w:val="0"/>
                <w:sz w:val="20"/>
                <w:highlight w:val="none"/>
              </w:rPr>
            </w:pPr>
            <w:r>
              <w:rPr>
                <w:rFonts w:hint="eastAsia" w:eastAsia="仿宋"/>
                <w:kern w:val="0"/>
                <w:sz w:val="20"/>
                <w:highlight w:val="none"/>
              </w:rPr>
              <w:t>已到期</w:t>
            </w:r>
          </w:p>
        </w:tc>
      </w:tr>
      <w:tr w14:paraId="47D7C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5" w:type="dxa"/>
            <w:vAlign w:val="center"/>
          </w:tcPr>
          <w:p w14:paraId="61550B65">
            <w:pPr>
              <w:widowControl/>
              <w:jc w:val="center"/>
              <w:rPr>
                <w:rFonts w:eastAsia="仿宋"/>
                <w:kern w:val="0"/>
                <w:sz w:val="20"/>
                <w:highlight w:val="none"/>
              </w:rPr>
            </w:pPr>
            <w:r>
              <w:rPr>
                <w:rFonts w:hint="eastAsia" w:eastAsia="仿宋"/>
                <w:kern w:val="0"/>
                <w:sz w:val="20"/>
                <w:highlight w:val="none"/>
              </w:rPr>
              <w:t>16</w:t>
            </w:r>
          </w:p>
        </w:tc>
        <w:tc>
          <w:tcPr>
            <w:tcW w:w="709" w:type="dxa"/>
            <w:shd w:val="clear" w:color="auto" w:fill="auto"/>
            <w:vAlign w:val="center"/>
          </w:tcPr>
          <w:p w14:paraId="16A301D4">
            <w:pPr>
              <w:jc w:val="center"/>
              <w:rPr>
                <w:rFonts w:eastAsia="仿宋"/>
                <w:bCs/>
                <w:sz w:val="20"/>
                <w:highlight w:val="none"/>
              </w:rPr>
            </w:pPr>
            <w:r>
              <w:rPr>
                <w:rFonts w:eastAsia="仿宋"/>
                <w:bCs/>
                <w:sz w:val="20"/>
                <w:highlight w:val="none"/>
              </w:rPr>
              <w:t>天亿马</w:t>
            </w:r>
          </w:p>
        </w:tc>
        <w:tc>
          <w:tcPr>
            <w:tcW w:w="1276" w:type="dxa"/>
            <w:shd w:val="clear" w:color="auto" w:fill="auto"/>
            <w:vAlign w:val="center"/>
          </w:tcPr>
          <w:p w14:paraId="0689D738">
            <w:pPr>
              <w:widowControl/>
              <w:jc w:val="center"/>
              <w:rPr>
                <w:rFonts w:eastAsia="仿宋"/>
                <w:kern w:val="0"/>
                <w:sz w:val="20"/>
                <w:highlight w:val="none"/>
              </w:rPr>
            </w:pPr>
            <w:r>
              <w:rPr>
                <w:rFonts w:hint="eastAsia" w:eastAsia="仿宋"/>
                <w:kern w:val="0"/>
                <w:sz w:val="20"/>
                <w:highlight w:val="none"/>
              </w:rPr>
              <w:t>兴业银行股份有限公司汕头分行</w:t>
            </w:r>
          </w:p>
        </w:tc>
        <w:tc>
          <w:tcPr>
            <w:tcW w:w="993" w:type="dxa"/>
            <w:shd w:val="clear" w:color="auto" w:fill="auto"/>
            <w:vAlign w:val="center"/>
          </w:tcPr>
          <w:p w14:paraId="71123178">
            <w:pPr>
              <w:jc w:val="center"/>
              <w:rPr>
                <w:rFonts w:eastAsia="仿宋"/>
                <w:kern w:val="0"/>
                <w:sz w:val="20"/>
                <w:highlight w:val="none"/>
              </w:rPr>
            </w:pPr>
            <w:r>
              <w:rPr>
                <w:rFonts w:hint="eastAsia" w:eastAsia="仿宋"/>
                <w:kern w:val="0"/>
                <w:sz w:val="20"/>
                <w:highlight w:val="none"/>
              </w:rPr>
              <w:t>保本型</w:t>
            </w:r>
          </w:p>
        </w:tc>
        <w:tc>
          <w:tcPr>
            <w:tcW w:w="1701" w:type="dxa"/>
            <w:shd w:val="clear" w:color="auto" w:fill="auto"/>
            <w:vAlign w:val="center"/>
          </w:tcPr>
          <w:p w14:paraId="6200B649">
            <w:pPr>
              <w:jc w:val="center"/>
              <w:rPr>
                <w:rFonts w:eastAsia="仿宋"/>
                <w:bCs/>
                <w:sz w:val="20"/>
                <w:highlight w:val="none"/>
              </w:rPr>
            </w:pPr>
            <w:r>
              <w:rPr>
                <w:rFonts w:hint="eastAsia" w:eastAsia="仿宋"/>
                <w:bCs/>
                <w:sz w:val="20"/>
                <w:highlight w:val="none"/>
              </w:rPr>
              <w:t>大额存单</w:t>
            </w:r>
          </w:p>
        </w:tc>
        <w:tc>
          <w:tcPr>
            <w:tcW w:w="1134" w:type="dxa"/>
            <w:shd w:val="clear" w:color="auto" w:fill="auto"/>
            <w:vAlign w:val="center"/>
          </w:tcPr>
          <w:p w14:paraId="505E0BB9">
            <w:pPr>
              <w:jc w:val="center"/>
              <w:rPr>
                <w:color w:val="000000"/>
                <w:sz w:val="20"/>
                <w:highlight w:val="none"/>
              </w:rPr>
            </w:pPr>
            <w:r>
              <w:rPr>
                <w:rFonts w:hint="eastAsia"/>
                <w:color w:val="000000"/>
                <w:sz w:val="20"/>
                <w:highlight w:val="none"/>
              </w:rPr>
              <w:t>2,000.00</w:t>
            </w:r>
          </w:p>
        </w:tc>
        <w:tc>
          <w:tcPr>
            <w:tcW w:w="992" w:type="dxa"/>
            <w:shd w:val="clear" w:color="auto" w:fill="auto"/>
            <w:vAlign w:val="center"/>
          </w:tcPr>
          <w:p w14:paraId="42F4A60D">
            <w:pPr>
              <w:widowControl/>
              <w:jc w:val="center"/>
              <w:rPr>
                <w:rFonts w:eastAsia="仿宋"/>
                <w:kern w:val="0"/>
                <w:sz w:val="20"/>
                <w:highlight w:val="none"/>
              </w:rPr>
            </w:pPr>
            <w:r>
              <w:rPr>
                <w:rFonts w:hint="eastAsia" w:eastAsia="仿宋"/>
                <w:kern w:val="0"/>
                <w:sz w:val="20"/>
                <w:highlight w:val="none"/>
              </w:rPr>
              <w:t>2026-3-9</w:t>
            </w:r>
          </w:p>
        </w:tc>
        <w:tc>
          <w:tcPr>
            <w:tcW w:w="992" w:type="dxa"/>
            <w:vAlign w:val="center"/>
          </w:tcPr>
          <w:p w14:paraId="3E932580">
            <w:pPr>
              <w:widowControl/>
              <w:jc w:val="center"/>
              <w:rPr>
                <w:rFonts w:hint="default" w:eastAsia="仿宋"/>
                <w:kern w:val="0"/>
                <w:sz w:val="20"/>
                <w:highlight w:val="none"/>
                <w:lang w:val="en-US" w:eastAsia="zh-CN"/>
              </w:rPr>
            </w:pPr>
            <w:r>
              <w:rPr>
                <w:rFonts w:hint="eastAsia" w:eastAsia="仿宋"/>
                <w:kern w:val="0"/>
                <w:sz w:val="20"/>
                <w:highlight w:val="none"/>
              </w:rPr>
              <w:t>2026-6-</w:t>
            </w:r>
            <w:r>
              <w:rPr>
                <w:rFonts w:hint="eastAsia" w:eastAsia="仿宋"/>
                <w:kern w:val="0"/>
                <w:sz w:val="20"/>
                <w:highlight w:val="none"/>
                <w:lang w:val="en-US" w:eastAsia="zh-CN"/>
              </w:rPr>
              <w:t>9</w:t>
            </w:r>
          </w:p>
        </w:tc>
        <w:tc>
          <w:tcPr>
            <w:tcW w:w="1134" w:type="dxa"/>
            <w:shd w:val="clear" w:color="auto" w:fill="auto"/>
            <w:vAlign w:val="center"/>
          </w:tcPr>
          <w:p w14:paraId="2E12851B">
            <w:pPr>
              <w:widowControl/>
              <w:jc w:val="center"/>
              <w:rPr>
                <w:rFonts w:eastAsia="仿宋"/>
                <w:kern w:val="0"/>
                <w:sz w:val="20"/>
                <w:highlight w:val="none"/>
              </w:rPr>
            </w:pPr>
            <w:r>
              <w:rPr>
                <w:rFonts w:hint="eastAsia" w:eastAsia="仿宋"/>
                <w:kern w:val="0"/>
                <w:sz w:val="20"/>
                <w:highlight w:val="none"/>
              </w:rPr>
              <w:t>1.1%</w:t>
            </w:r>
          </w:p>
        </w:tc>
        <w:tc>
          <w:tcPr>
            <w:tcW w:w="1228" w:type="dxa"/>
            <w:vAlign w:val="center"/>
          </w:tcPr>
          <w:p w14:paraId="17891BFA">
            <w:pPr>
              <w:widowControl/>
              <w:jc w:val="center"/>
              <w:rPr>
                <w:rFonts w:hint="default" w:eastAsia="仿宋"/>
                <w:kern w:val="0"/>
                <w:sz w:val="20"/>
                <w:highlight w:val="none"/>
                <w:lang w:val="en-US" w:eastAsia="zh-CN"/>
              </w:rPr>
            </w:pPr>
            <w:r>
              <w:rPr>
                <w:rFonts w:hint="eastAsia" w:eastAsia="仿宋"/>
                <w:kern w:val="0"/>
                <w:sz w:val="20"/>
                <w:highlight w:val="none"/>
                <w:lang w:val="en-US" w:eastAsia="zh-CN"/>
              </w:rPr>
              <w:t>55,000.00</w:t>
            </w:r>
          </w:p>
        </w:tc>
        <w:tc>
          <w:tcPr>
            <w:tcW w:w="567" w:type="dxa"/>
          </w:tcPr>
          <w:p w14:paraId="0202FE05">
            <w:pPr>
              <w:widowControl/>
              <w:jc w:val="center"/>
              <w:rPr>
                <w:rFonts w:eastAsia="仿宋"/>
                <w:kern w:val="0"/>
                <w:sz w:val="20"/>
                <w:highlight w:val="none"/>
              </w:rPr>
            </w:pPr>
            <w:r>
              <w:rPr>
                <w:rFonts w:hint="eastAsia" w:eastAsia="仿宋"/>
                <w:kern w:val="0"/>
                <w:sz w:val="20"/>
                <w:highlight w:val="none"/>
              </w:rPr>
              <w:t>已到期</w:t>
            </w:r>
          </w:p>
        </w:tc>
      </w:tr>
      <w:tr w14:paraId="30065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5" w:type="dxa"/>
            <w:vAlign w:val="center"/>
          </w:tcPr>
          <w:p w14:paraId="15546D3A">
            <w:pPr>
              <w:widowControl/>
              <w:jc w:val="center"/>
              <w:rPr>
                <w:rFonts w:eastAsia="仿宋"/>
                <w:kern w:val="0"/>
                <w:sz w:val="20"/>
                <w:highlight w:val="none"/>
              </w:rPr>
            </w:pPr>
            <w:r>
              <w:rPr>
                <w:rFonts w:hint="eastAsia" w:eastAsia="仿宋"/>
                <w:kern w:val="0"/>
                <w:sz w:val="20"/>
                <w:highlight w:val="none"/>
              </w:rPr>
              <w:t>17</w:t>
            </w:r>
          </w:p>
        </w:tc>
        <w:tc>
          <w:tcPr>
            <w:tcW w:w="709" w:type="dxa"/>
            <w:shd w:val="clear" w:color="auto" w:fill="auto"/>
            <w:vAlign w:val="center"/>
          </w:tcPr>
          <w:p w14:paraId="62EEF946">
            <w:pPr>
              <w:jc w:val="center"/>
              <w:rPr>
                <w:rFonts w:eastAsia="仿宋"/>
                <w:bCs/>
                <w:sz w:val="20"/>
                <w:highlight w:val="none"/>
              </w:rPr>
            </w:pPr>
            <w:r>
              <w:rPr>
                <w:rFonts w:eastAsia="仿宋"/>
                <w:bCs/>
                <w:sz w:val="20"/>
                <w:highlight w:val="none"/>
              </w:rPr>
              <w:t>天亿马</w:t>
            </w:r>
          </w:p>
        </w:tc>
        <w:tc>
          <w:tcPr>
            <w:tcW w:w="1276" w:type="dxa"/>
            <w:shd w:val="clear" w:color="auto" w:fill="auto"/>
            <w:vAlign w:val="center"/>
          </w:tcPr>
          <w:p w14:paraId="04DDDCE8">
            <w:pPr>
              <w:widowControl/>
              <w:jc w:val="center"/>
              <w:rPr>
                <w:rFonts w:eastAsia="仿宋"/>
                <w:kern w:val="0"/>
                <w:sz w:val="20"/>
                <w:highlight w:val="none"/>
              </w:rPr>
            </w:pPr>
            <w:r>
              <w:rPr>
                <w:rFonts w:hint="eastAsia" w:eastAsia="仿宋"/>
                <w:kern w:val="0"/>
                <w:sz w:val="20"/>
                <w:highlight w:val="none"/>
              </w:rPr>
              <w:t>南洋商业银行</w:t>
            </w:r>
          </w:p>
        </w:tc>
        <w:tc>
          <w:tcPr>
            <w:tcW w:w="993" w:type="dxa"/>
            <w:shd w:val="clear" w:color="auto" w:fill="auto"/>
            <w:vAlign w:val="center"/>
          </w:tcPr>
          <w:p w14:paraId="4E706807">
            <w:pPr>
              <w:jc w:val="center"/>
              <w:rPr>
                <w:rFonts w:eastAsia="仿宋"/>
                <w:kern w:val="0"/>
                <w:sz w:val="20"/>
                <w:highlight w:val="none"/>
              </w:rPr>
            </w:pPr>
            <w:r>
              <w:rPr>
                <w:rFonts w:hint="eastAsia" w:eastAsia="仿宋"/>
                <w:kern w:val="0"/>
                <w:sz w:val="20"/>
                <w:highlight w:val="none"/>
              </w:rPr>
              <w:t>保本型</w:t>
            </w:r>
          </w:p>
        </w:tc>
        <w:tc>
          <w:tcPr>
            <w:tcW w:w="1701" w:type="dxa"/>
            <w:shd w:val="clear" w:color="auto" w:fill="auto"/>
            <w:vAlign w:val="center"/>
          </w:tcPr>
          <w:p w14:paraId="4953B3C7">
            <w:pPr>
              <w:jc w:val="center"/>
              <w:rPr>
                <w:rFonts w:eastAsia="仿宋"/>
                <w:bCs/>
                <w:sz w:val="20"/>
                <w:highlight w:val="none"/>
              </w:rPr>
            </w:pPr>
            <w:r>
              <w:rPr>
                <w:rFonts w:hint="eastAsia" w:eastAsia="仿宋"/>
                <w:bCs/>
                <w:sz w:val="20"/>
                <w:highlight w:val="none"/>
              </w:rPr>
              <w:t>定期存款</w:t>
            </w:r>
          </w:p>
        </w:tc>
        <w:tc>
          <w:tcPr>
            <w:tcW w:w="1134" w:type="dxa"/>
            <w:shd w:val="clear" w:color="auto" w:fill="auto"/>
            <w:vAlign w:val="center"/>
          </w:tcPr>
          <w:p w14:paraId="2B24ADF7">
            <w:pPr>
              <w:jc w:val="center"/>
              <w:rPr>
                <w:color w:val="000000"/>
                <w:sz w:val="20"/>
                <w:highlight w:val="none"/>
              </w:rPr>
            </w:pPr>
            <w:r>
              <w:rPr>
                <w:rFonts w:hint="eastAsia" w:eastAsia="仿宋"/>
                <w:kern w:val="0"/>
                <w:sz w:val="20"/>
                <w:highlight w:val="none"/>
              </w:rPr>
              <w:t>5,000.00</w:t>
            </w:r>
          </w:p>
        </w:tc>
        <w:tc>
          <w:tcPr>
            <w:tcW w:w="992" w:type="dxa"/>
            <w:shd w:val="clear" w:color="auto" w:fill="auto"/>
            <w:vAlign w:val="center"/>
          </w:tcPr>
          <w:p w14:paraId="393299F3">
            <w:pPr>
              <w:widowControl/>
              <w:jc w:val="center"/>
              <w:rPr>
                <w:rFonts w:eastAsia="仿宋"/>
                <w:kern w:val="0"/>
                <w:sz w:val="20"/>
                <w:highlight w:val="none"/>
              </w:rPr>
            </w:pPr>
            <w:r>
              <w:rPr>
                <w:rFonts w:hint="eastAsia" w:eastAsia="仿宋"/>
                <w:kern w:val="0"/>
                <w:sz w:val="20"/>
                <w:highlight w:val="none"/>
              </w:rPr>
              <w:t>2026-6-9</w:t>
            </w:r>
          </w:p>
        </w:tc>
        <w:tc>
          <w:tcPr>
            <w:tcW w:w="992" w:type="dxa"/>
            <w:vAlign w:val="center"/>
          </w:tcPr>
          <w:p w14:paraId="6548C21D">
            <w:pPr>
              <w:widowControl/>
              <w:jc w:val="center"/>
              <w:rPr>
                <w:rFonts w:eastAsia="仿宋"/>
                <w:kern w:val="0"/>
                <w:sz w:val="20"/>
                <w:highlight w:val="none"/>
              </w:rPr>
            </w:pPr>
            <w:r>
              <w:rPr>
                <w:rFonts w:hint="eastAsia" w:eastAsia="仿宋"/>
                <w:kern w:val="0"/>
                <w:sz w:val="20"/>
                <w:highlight w:val="none"/>
              </w:rPr>
              <w:t>2026-9-9</w:t>
            </w:r>
          </w:p>
        </w:tc>
        <w:tc>
          <w:tcPr>
            <w:tcW w:w="1134" w:type="dxa"/>
            <w:shd w:val="clear" w:color="auto" w:fill="auto"/>
            <w:vAlign w:val="center"/>
          </w:tcPr>
          <w:p w14:paraId="334BAD46">
            <w:pPr>
              <w:widowControl/>
              <w:jc w:val="center"/>
              <w:rPr>
                <w:rFonts w:eastAsia="仿宋"/>
                <w:kern w:val="0"/>
                <w:sz w:val="20"/>
                <w:highlight w:val="none"/>
              </w:rPr>
            </w:pPr>
            <w:r>
              <w:rPr>
                <w:rFonts w:hint="eastAsia" w:eastAsia="仿宋"/>
                <w:kern w:val="0"/>
                <w:sz w:val="20"/>
                <w:highlight w:val="none"/>
              </w:rPr>
              <w:t>1.7%</w:t>
            </w:r>
          </w:p>
        </w:tc>
        <w:tc>
          <w:tcPr>
            <w:tcW w:w="1228" w:type="dxa"/>
            <w:vAlign w:val="center"/>
          </w:tcPr>
          <w:p w14:paraId="79432EFE">
            <w:pPr>
              <w:widowControl/>
              <w:jc w:val="center"/>
              <w:rPr>
                <w:rFonts w:eastAsia="仿宋"/>
                <w:kern w:val="0"/>
                <w:sz w:val="20"/>
                <w:highlight w:val="none"/>
              </w:rPr>
            </w:pPr>
            <w:r>
              <w:rPr>
                <w:rFonts w:hint="eastAsia" w:eastAsia="仿宋"/>
                <w:kern w:val="0"/>
                <w:sz w:val="20"/>
                <w:highlight w:val="none"/>
              </w:rPr>
              <w:t>-</w:t>
            </w:r>
          </w:p>
        </w:tc>
        <w:tc>
          <w:tcPr>
            <w:tcW w:w="567" w:type="dxa"/>
          </w:tcPr>
          <w:p w14:paraId="216EBAF0">
            <w:pPr>
              <w:widowControl/>
              <w:jc w:val="center"/>
              <w:rPr>
                <w:rFonts w:eastAsia="仿宋"/>
                <w:kern w:val="0"/>
                <w:sz w:val="20"/>
                <w:highlight w:val="none"/>
              </w:rPr>
            </w:pPr>
            <w:r>
              <w:rPr>
                <w:rFonts w:hint="eastAsia" w:eastAsia="仿宋"/>
                <w:kern w:val="0"/>
                <w:sz w:val="20"/>
                <w:highlight w:val="none"/>
              </w:rPr>
              <w:t>未到期</w:t>
            </w:r>
          </w:p>
        </w:tc>
      </w:tr>
      <w:tr w14:paraId="76A39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5" w:type="dxa"/>
            <w:vAlign w:val="center"/>
          </w:tcPr>
          <w:p w14:paraId="7F03A15E">
            <w:pPr>
              <w:widowControl/>
              <w:jc w:val="center"/>
              <w:rPr>
                <w:rFonts w:eastAsia="仿宋"/>
                <w:kern w:val="0"/>
                <w:sz w:val="20"/>
                <w:highlight w:val="none"/>
              </w:rPr>
            </w:pPr>
            <w:r>
              <w:rPr>
                <w:rFonts w:hint="eastAsia" w:eastAsia="仿宋"/>
                <w:kern w:val="0"/>
                <w:sz w:val="20"/>
                <w:highlight w:val="none"/>
              </w:rPr>
              <w:t>18</w:t>
            </w:r>
          </w:p>
        </w:tc>
        <w:tc>
          <w:tcPr>
            <w:tcW w:w="709" w:type="dxa"/>
            <w:shd w:val="clear" w:color="auto" w:fill="auto"/>
            <w:vAlign w:val="center"/>
          </w:tcPr>
          <w:p w14:paraId="495296A6">
            <w:pPr>
              <w:jc w:val="center"/>
              <w:rPr>
                <w:rFonts w:eastAsia="仿宋"/>
                <w:bCs/>
                <w:sz w:val="20"/>
                <w:highlight w:val="none"/>
              </w:rPr>
            </w:pPr>
            <w:r>
              <w:rPr>
                <w:rFonts w:eastAsia="仿宋"/>
                <w:bCs/>
                <w:sz w:val="20"/>
                <w:highlight w:val="none"/>
              </w:rPr>
              <w:t>天亿马</w:t>
            </w:r>
          </w:p>
        </w:tc>
        <w:tc>
          <w:tcPr>
            <w:tcW w:w="1276" w:type="dxa"/>
            <w:shd w:val="clear" w:color="auto" w:fill="auto"/>
            <w:vAlign w:val="center"/>
          </w:tcPr>
          <w:p w14:paraId="006A2FC2">
            <w:pPr>
              <w:widowControl/>
              <w:jc w:val="center"/>
              <w:rPr>
                <w:rFonts w:eastAsia="仿宋"/>
                <w:kern w:val="0"/>
                <w:sz w:val="20"/>
                <w:highlight w:val="none"/>
              </w:rPr>
            </w:pPr>
            <w:r>
              <w:rPr>
                <w:rFonts w:hint="eastAsia" w:eastAsia="仿宋"/>
                <w:kern w:val="0"/>
                <w:sz w:val="20"/>
                <w:highlight w:val="none"/>
              </w:rPr>
              <w:t>兴业银行股份有限公司汕头分行</w:t>
            </w:r>
          </w:p>
        </w:tc>
        <w:tc>
          <w:tcPr>
            <w:tcW w:w="993" w:type="dxa"/>
            <w:shd w:val="clear" w:color="auto" w:fill="auto"/>
            <w:vAlign w:val="center"/>
          </w:tcPr>
          <w:p w14:paraId="04B6C39A">
            <w:pPr>
              <w:jc w:val="center"/>
              <w:rPr>
                <w:rFonts w:eastAsia="仿宋"/>
                <w:kern w:val="0"/>
                <w:sz w:val="20"/>
                <w:highlight w:val="none"/>
              </w:rPr>
            </w:pPr>
            <w:r>
              <w:rPr>
                <w:rFonts w:hint="eastAsia" w:eastAsia="仿宋"/>
                <w:kern w:val="0"/>
                <w:sz w:val="20"/>
                <w:highlight w:val="none"/>
              </w:rPr>
              <w:t>保本型</w:t>
            </w:r>
          </w:p>
        </w:tc>
        <w:tc>
          <w:tcPr>
            <w:tcW w:w="1701" w:type="dxa"/>
            <w:shd w:val="clear" w:color="auto" w:fill="auto"/>
            <w:vAlign w:val="center"/>
          </w:tcPr>
          <w:p w14:paraId="727A9F2B">
            <w:pPr>
              <w:jc w:val="center"/>
              <w:rPr>
                <w:rFonts w:eastAsia="仿宋"/>
                <w:bCs/>
                <w:sz w:val="20"/>
                <w:highlight w:val="none"/>
              </w:rPr>
            </w:pPr>
            <w:r>
              <w:rPr>
                <w:rFonts w:hint="eastAsia" w:eastAsia="仿宋"/>
                <w:bCs/>
                <w:sz w:val="20"/>
                <w:highlight w:val="none"/>
              </w:rPr>
              <w:t>大额存单</w:t>
            </w:r>
          </w:p>
        </w:tc>
        <w:tc>
          <w:tcPr>
            <w:tcW w:w="1134" w:type="dxa"/>
            <w:shd w:val="clear" w:color="auto" w:fill="auto"/>
            <w:vAlign w:val="center"/>
          </w:tcPr>
          <w:p w14:paraId="6539311D">
            <w:pPr>
              <w:jc w:val="center"/>
              <w:rPr>
                <w:color w:val="000000"/>
                <w:sz w:val="20"/>
                <w:highlight w:val="none"/>
              </w:rPr>
            </w:pPr>
            <w:r>
              <w:rPr>
                <w:rFonts w:hint="eastAsia"/>
                <w:color w:val="000000"/>
                <w:sz w:val="20"/>
                <w:highlight w:val="none"/>
              </w:rPr>
              <w:t>2,000.00</w:t>
            </w:r>
          </w:p>
        </w:tc>
        <w:tc>
          <w:tcPr>
            <w:tcW w:w="992" w:type="dxa"/>
            <w:shd w:val="clear" w:color="auto" w:fill="auto"/>
            <w:vAlign w:val="center"/>
          </w:tcPr>
          <w:p w14:paraId="5E1E0AC3">
            <w:pPr>
              <w:widowControl/>
              <w:jc w:val="center"/>
              <w:rPr>
                <w:rFonts w:eastAsia="仿宋"/>
                <w:kern w:val="0"/>
                <w:sz w:val="20"/>
                <w:highlight w:val="none"/>
              </w:rPr>
            </w:pPr>
            <w:r>
              <w:rPr>
                <w:rFonts w:hint="eastAsia" w:eastAsia="仿宋"/>
                <w:kern w:val="0"/>
                <w:sz w:val="20"/>
                <w:highlight w:val="none"/>
              </w:rPr>
              <w:t>2026-6-10</w:t>
            </w:r>
          </w:p>
        </w:tc>
        <w:tc>
          <w:tcPr>
            <w:tcW w:w="992" w:type="dxa"/>
            <w:vAlign w:val="center"/>
          </w:tcPr>
          <w:p w14:paraId="418FC3E4">
            <w:pPr>
              <w:widowControl/>
              <w:jc w:val="center"/>
              <w:rPr>
                <w:rFonts w:hint="default" w:eastAsia="仿宋"/>
                <w:kern w:val="0"/>
                <w:sz w:val="20"/>
                <w:highlight w:val="none"/>
                <w:lang w:val="en-US" w:eastAsia="zh-CN"/>
              </w:rPr>
            </w:pPr>
            <w:r>
              <w:rPr>
                <w:rFonts w:hint="eastAsia" w:eastAsia="仿宋"/>
                <w:kern w:val="0"/>
                <w:sz w:val="20"/>
                <w:highlight w:val="none"/>
                <w:lang w:val="en-US" w:eastAsia="zh-CN"/>
              </w:rPr>
              <w:t>存期三个月</w:t>
            </w:r>
          </w:p>
        </w:tc>
        <w:tc>
          <w:tcPr>
            <w:tcW w:w="1134" w:type="dxa"/>
            <w:shd w:val="clear" w:color="auto" w:fill="auto"/>
            <w:vAlign w:val="center"/>
          </w:tcPr>
          <w:p w14:paraId="435ACEA1">
            <w:pPr>
              <w:widowControl/>
              <w:jc w:val="center"/>
              <w:rPr>
                <w:rFonts w:eastAsia="仿宋"/>
                <w:kern w:val="0"/>
                <w:sz w:val="20"/>
                <w:highlight w:val="none"/>
              </w:rPr>
            </w:pPr>
            <w:r>
              <w:rPr>
                <w:rFonts w:hint="eastAsia" w:eastAsia="仿宋"/>
                <w:kern w:val="0"/>
                <w:sz w:val="20"/>
                <w:highlight w:val="none"/>
              </w:rPr>
              <w:t>1.1%</w:t>
            </w:r>
          </w:p>
        </w:tc>
        <w:tc>
          <w:tcPr>
            <w:tcW w:w="1228" w:type="dxa"/>
            <w:vAlign w:val="center"/>
          </w:tcPr>
          <w:p w14:paraId="0DB5D74D">
            <w:pPr>
              <w:widowControl/>
              <w:jc w:val="center"/>
              <w:rPr>
                <w:rFonts w:eastAsia="仿宋"/>
                <w:kern w:val="0"/>
                <w:sz w:val="20"/>
                <w:highlight w:val="none"/>
              </w:rPr>
            </w:pPr>
            <w:r>
              <w:rPr>
                <w:rFonts w:hint="eastAsia" w:eastAsia="仿宋"/>
                <w:kern w:val="0"/>
                <w:sz w:val="20"/>
                <w:highlight w:val="none"/>
              </w:rPr>
              <w:t>-</w:t>
            </w:r>
          </w:p>
        </w:tc>
        <w:tc>
          <w:tcPr>
            <w:tcW w:w="567" w:type="dxa"/>
          </w:tcPr>
          <w:p w14:paraId="14114C2A">
            <w:pPr>
              <w:widowControl/>
              <w:jc w:val="center"/>
              <w:rPr>
                <w:rFonts w:eastAsia="仿宋"/>
                <w:kern w:val="0"/>
                <w:sz w:val="20"/>
                <w:highlight w:val="none"/>
              </w:rPr>
            </w:pPr>
            <w:r>
              <w:rPr>
                <w:rFonts w:hint="eastAsia" w:eastAsia="仿宋"/>
                <w:kern w:val="0"/>
                <w:sz w:val="20"/>
                <w:highlight w:val="none"/>
              </w:rPr>
              <w:t>未到期</w:t>
            </w:r>
          </w:p>
        </w:tc>
      </w:tr>
      <w:tr w14:paraId="30816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5" w:type="dxa"/>
            <w:vAlign w:val="center"/>
          </w:tcPr>
          <w:p w14:paraId="7D711018">
            <w:pPr>
              <w:widowControl/>
              <w:jc w:val="center"/>
              <w:rPr>
                <w:rFonts w:eastAsia="仿宋"/>
                <w:kern w:val="0"/>
                <w:sz w:val="20"/>
                <w:highlight w:val="none"/>
              </w:rPr>
            </w:pPr>
            <w:r>
              <w:rPr>
                <w:rFonts w:hint="eastAsia" w:eastAsia="仿宋"/>
                <w:kern w:val="0"/>
                <w:sz w:val="20"/>
                <w:highlight w:val="none"/>
              </w:rPr>
              <w:t>19</w:t>
            </w:r>
          </w:p>
        </w:tc>
        <w:tc>
          <w:tcPr>
            <w:tcW w:w="709" w:type="dxa"/>
            <w:shd w:val="clear" w:color="auto" w:fill="auto"/>
            <w:vAlign w:val="center"/>
          </w:tcPr>
          <w:p w14:paraId="75836CAA">
            <w:pPr>
              <w:jc w:val="center"/>
              <w:rPr>
                <w:rFonts w:eastAsia="仿宋"/>
                <w:bCs/>
                <w:sz w:val="20"/>
                <w:highlight w:val="none"/>
              </w:rPr>
            </w:pPr>
            <w:r>
              <w:rPr>
                <w:rFonts w:eastAsia="仿宋"/>
                <w:bCs/>
                <w:sz w:val="20"/>
                <w:highlight w:val="none"/>
              </w:rPr>
              <w:t>天亿马</w:t>
            </w:r>
          </w:p>
        </w:tc>
        <w:tc>
          <w:tcPr>
            <w:tcW w:w="1276" w:type="dxa"/>
            <w:shd w:val="clear" w:color="auto" w:fill="auto"/>
            <w:vAlign w:val="center"/>
          </w:tcPr>
          <w:p w14:paraId="4DECB104">
            <w:pPr>
              <w:widowControl/>
              <w:jc w:val="center"/>
              <w:rPr>
                <w:rFonts w:eastAsia="仿宋"/>
                <w:kern w:val="0"/>
                <w:sz w:val="20"/>
                <w:highlight w:val="none"/>
              </w:rPr>
            </w:pPr>
            <w:r>
              <w:rPr>
                <w:rFonts w:hint="eastAsia" w:eastAsia="仿宋"/>
                <w:kern w:val="0"/>
                <w:sz w:val="20"/>
                <w:highlight w:val="none"/>
              </w:rPr>
              <w:t>兴业银行股份有限公司汕头分行</w:t>
            </w:r>
          </w:p>
        </w:tc>
        <w:tc>
          <w:tcPr>
            <w:tcW w:w="993" w:type="dxa"/>
            <w:shd w:val="clear" w:color="auto" w:fill="auto"/>
            <w:vAlign w:val="center"/>
          </w:tcPr>
          <w:p w14:paraId="0C4FB8A7">
            <w:pPr>
              <w:jc w:val="center"/>
              <w:rPr>
                <w:rFonts w:eastAsia="仿宋"/>
                <w:kern w:val="0"/>
                <w:sz w:val="20"/>
                <w:highlight w:val="none"/>
              </w:rPr>
            </w:pPr>
            <w:r>
              <w:rPr>
                <w:rFonts w:hint="eastAsia" w:eastAsia="仿宋"/>
                <w:kern w:val="0"/>
                <w:sz w:val="20"/>
                <w:highlight w:val="none"/>
              </w:rPr>
              <w:t>保本型</w:t>
            </w:r>
          </w:p>
        </w:tc>
        <w:tc>
          <w:tcPr>
            <w:tcW w:w="1701" w:type="dxa"/>
            <w:shd w:val="clear" w:color="auto" w:fill="auto"/>
            <w:vAlign w:val="center"/>
          </w:tcPr>
          <w:p w14:paraId="696B9C1B">
            <w:pPr>
              <w:jc w:val="center"/>
              <w:rPr>
                <w:rFonts w:eastAsia="仿宋"/>
                <w:bCs/>
                <w:sz w:val="20"/>
                <w:highlight w:val="none"/>
              </w:rPr>
            </w:pPr>
            <w:r>
              <w:rPr>
                <w:rFonts w:hint="eastAsia" w:eastAsia="仿宋"/>
                <w:bCs/>
                <w:sz w:val="20"/>
                <w:highlight w:val="none"/>
              </w:rPr>
              <w:t>大额存单</w:t>
            </w:r>
          </w:p>
        </w:tc>
        <w:tc>
          <w:tcPr>
            <w:tcW w:w="1134" w:type="dxa"/>
            <w:shd w:val="clear" w:color="auto" w:fill="auto"/>
            <w:vAlign w:val="center"/>
          </w:tcPr>
          <w:p w14:paraId="6050B5E9">
            <w:pPr>
              <w:jc w:val="center"/>
              <w:rPr>
                <w:color w:val="000000"/>
                <w:sz w:val="20"/>
                <w:highlight w:val="none"/>
              </w:rPr>
            </w:pPr>
            <w:r>
              <w:rPr>
                <w:rFonts w:hint="eastAsia"/>
                <w:color w:val="000000"/>
                <w:sz w:val="20"/>
                <w:highlight w:val="none"/>
              </w:rPr>
              <w:t>2,000.00</w:t>
            </w:r>
          </w:p>
        </w:tc>
        <w:tc>
          <w:tcPr>
            <w:tcW w:w="992" w:type="dxa"/>
            <w:shd w:val="clear" w:color="auto" w:fill="auto"/>
            <w:vAlign w:val="center"/>
          </w:tcPr>
          <w:p w14:paraId="135FA063">
            <w:pPr>
              <w:widowControl/>
              <w:jc w:val="center"/>
              <w:rPr>
                <w:rFonts w:eastAsia="仿宋"/>
                <w:kern w:val="0"/>
                <w:sz w:val="20"/>
                <w:highlight w:val="none"/>
              </w:rPr>
            </w:pPr>
            <w:r>
              <w:rPr>
                <w:rFonts w:hint="eastAsia" w:eastAsia="仿宋"/>
                <w:kern w:val="0"/>
                <w:sz w:val="20"/>
                <w:highlight w:val="none"/>
              </w:rPr>
              <w:t>2026-6-10</w:t>
            </w:r>
          </w:p>
        </w:tc>
        <w:tc>
          <w:tcPr>
            <w:tcW w:w="992" w:type="dxa"/>
            <w:vAlign w:val="center"/>
          </w:tcPr>
          <w:p w14:paraId="5698A94A">
            <w:pPr>
              <w:widowControl/>
              <w:jc w:val="center"/>
              <w:rPr>
                <w:rFonts w:eastAsia="仿宋"/>
                <w:kern w:val="0"/>
                <w:sz w:val="20"/>
                <w:highlight w:val="none"/>
              </w:rPr>
            </w:pPr>
            <w:r>
              <w:rPr>
                <w:rFonts w:hint="eastAsia" w:eastAsia="仿宋"/>
                <w:kern w:val="0"/>
                <w:sz w:val="20"/>
                <w:highlight w:val="none"/>
                <w:lang w:val="en-US" w:eastAsia="zh-CN"/>
              </w:rPr>
              <w:t>存期三个月</w:t>
            </w:r>
          </w:p>
        </w:tc>
        <w:tc>
          <w:tcPr>
            <w:tcW w:w="1134" w:type="dxa"/>
            <w:shd w:val="clear" w:color="auto" w:fill="auto"/>
            <w:vAlign w:val="center"/>
          </w:tcPr>
          <w:p w14:paraId="39A365FB">
            <w:pPr>
              <w:widowControl/>
              <w:jc w:val="center"/>
              <w:rPr>
                <w:rFonts w:eastAsia="仿宋"/>
                <w:kern w:val="0"/>
                <w:sz w:val="20"/>
                <w:highlight w:val="none"/>
              </w:rPr>
            </w:pPr>
            <w:r>
              <w:rPr>
                <w:rFonts w:hint="eastAsia" w:eastAsia="仿宋"/>
                <w:kern w:val="0"/>
                <w:sz w:val="20"/>
                <w:highlight w:val="none"/>
              </w:rPr>
              <w:t>1.1%</w:t>
            </w:r>
          </w:p>
        </w:tc>
        <w:tc>
          <w:tcPr>
            <w:tcW w:w="1228" w:type="dxa"/>
            <w:vAlign w:val="center"/>
          </w:tcPr>
          <w:p w14:paraId="4C8C2FD1">
            <w:pPr>
              <w:widowControl/>
              <w:jc w:val="center"/>
              <w:rPr>
                <w:rFonts w:eastAsia="仿宋"/>
                <w:kern w:val="0"/>
                <w:sz w:val="20"/>
                <w:highlight w:val="none"/>
              </w:rPr>
            </w:pPr>
            <w:r>
              <w:rPr>
                <w:rFonts w:hint="eastAsia" w:eastAsia="仿宋"/>
                <w:kern w:val="0"/>
                <w:sz w:val="20"/>
                <w:highlight w:val="none"/>
              </w:rPr>
              <w:t>-</w:t>
            </w:r>
          </w:p>
        </w:tc>
        <w:tc>
          <w:tcPr>
            <w:tcW w:w="567" w:type="dxa"/>
          </w:tcPr>
          <w:p w14:paraId="39133267">
            <w:pPr>
              <w:widowControl/>
              <w:jc w:val="center"/>
              <w:rPr>
                <w:rFonts w:eastAsia="仿宋"/>
                <w:kern w:val="0"/>
                <w:sz w:val="20"/>
                <w:highlight w:val="none"/>
              </w:rPr>
            </w:pPr>
            <w:r>
              <w:rPr>
                <w:rFonts w:hint="eastAsia" w:eastAsia="仿宋"/>
                <w:kern w:val="0"/>
                <w:sz w:val="20"/>
                <w:highlight w:val="none"/>
              </w:rPr>
              <w:t>未到期</w:t>
            </w:r>
          </w:p>
        </w:tc>
      </w:tr>
    </w:tbl>
    <w:p w14:paraId="327FF731">
      <w:pPr>
        <w:spacing w:line="360" w:lineRule="auto"/>
        <w:ind w:firstLine="562"/>
        <w:jc w:val="left"/>
        <w:outlineLvl w:val="0"/>
        <w:rPr>
          <w:rFonts w:ascii="仿宋" w:hAnsi="仿宋" w:eastAsia="仿宋"/>
          <w:b/>
          <w:color w:val="000000"/>
          <w:sz w:val="28"/>
          <w:highlight w:val="none"/>
        </w:rPr>
      </w:pPr>
      <w:r>
        <w:rPr>
          <w:rFonts w:hint="eastAsia" w:ascii="仿宋" w:hAnsi="仿宋" w:eastAsia="仿宋"/>
          <w:b/>
          <w:color w:val="000000"/>
          <w:sz w:val="28"/>
          <w:highlight w:val="none"/>
        </w:rPr>
        <w:t>六、备查文件</w:t>
      </w:r>
    </w:p>
    <w:p w14:paraId="58B89ABB">
      <w:pPr>
        <w:spacing w:line="360" w:lineRule="auto"/>
        <w:ind w:firstLine="560"/>
        <w:outlineLvl w:val="1"/>
        <w:rPr>
          <w:rFonts w:ascii="仿宋" w:hAnsi="仿宋" w:eastAsia="仿宋"/>
          <w:sz w:val="28"/>
          <w:highlight w:val="none"/>
        </w:rPr>
      </w:pPr>
      <w:r>
        <w:rPr>
          <w:rFonts w:hint="eastAsia" w:ascii="仿宋" w:hAnsi="仿宋" w:eastAsia="仿宋"/>
          <w:sz w:val="28"/>
          <w:highlight w:val="none"/>
        </w:rPr>
        <w:t xml:space="preserve">（一）认购银行现金管理产品的相关资料。 </w:t>
      </w:r>
    </w:p>
    <w:p w14:paraId="179928B3">
      <w:pPr>
        <w:spacing w:line="360" w:lineRule="auto"/>
        <w:ind w:firstLine="560" w:firstLineChars="200"/>
        <w:rPr>
          <w:rFonts w:ascii="仿宋" w:hAnsi="仿宋" w:eastAsia="仿宋"/>
          <w:color w:val="000000"/>
          <w:sz w:val="28"/>
          <w:highlight w:val="none"/>
        </w:rPr>
      </w:pPr>
      <w:r>
        <w:rPr>
          <w:rFonts w:hint="eastAsia" w:ascii="仿宋" w:hAnsi="仿宋" w:eastAsia="仿宋"/>
          <w:color w:val="000000"/>
          <w:sz w:val="28"/>
          <w:highlight w:val="none"/>
        </w:rPr>
        <w:t>特此公告。</w:t>
      </w:r>
    </w:p>
    <w:p w14:paraId="2FE24155">
      <w:pPr>
        <w:spacing w:before="156" w:beforeLines="50" w:line="360" w:lineRule="auto"/>
        <w:ind w:firstLine="560" w:firstLineChars="200"/>
        <w:jc w:val="right"/>
        <w:rPr>
          <w:rFonts w:ascii="仿宋" w:hAnsi="仿宋" w:eastAsia="仿宋"/>
          <w:sz w:val="28"/>
          <w:highlight w:val="none"/>
        </w:rPr>
      </w:pPr>
      <w:r>
        <w:rPr>
          <w:rFonts w:hint="eastAsia" w:ascii="仿宋" w:hAnsi="仿宋" w:eastAsia="仿宋"/>
          <w:sz w:val="28"/>
          <w:highlight w:val="none"/>
        </w:rPr>
        <w:t>广东天亿马信息产业股份有限公司</w:t>
      </w:r>
    </w:p>
    <w:p w14:paraId="3DC652C5">
      <w:pPr>
        <w:spacing w:before="156" w:beforeLines="50" w:line="360" w:lineRule="auto"/>
        <w:ind w:firstLine="560" w:firstLineChars="200"/>
        <w:jc w:val="right"/>
        <w:rPr>
          <w:rFonts w:ascii="仿宋" w:hAnsi="仿宋" w:eastAsia="仿宋"/>
          <w:sz w:val="28"/>
          <w:highlight w:val="none"/>
        </w:rPr>
      </w:pPr>
      <w:r>
        <w:rPr>
          <w:rFonts w:hint="eastAsia" w:ascii="仿宋" w:hAnsi="仿宋" w:eastAsia="仿宋"/>
          <w:sz w:val="28"/>
          <w:highlight w:val="none"/>
        </w:rPr>
        <w:t>董事会</w:t>
      </w:r>
    </w:p>
    <w:p w14:paraId="10A85D52">
      <w:pPr>
        <w:wordWrap w:val="0"/>
        <w:spacing w:before="156" w:beforeLines="50" w:line="360" w:lineRule="auto"/>
        <w:ind w:firstLine="560" w:firstLineChars="200"/>
        <w:jc w:val="right"/>
        <w:rPr>
          <w:rFonts w:ascii="仿宋" w:hAnsi="仿宋" w:eastAsia="仿宋"/>
          <w:sz w:val="28"/>
          <w:szCs w:val="28"/>
          <w:highlight w:val="none"/>
        </w:rPr>
      </w:pPr>
      <w:r>
        <w:rPr>
          <w:rFonts w:hint="eastAsia" w:ascii="仿宋" w:hAnsi="仿宋" w:eastAsia="仿宋"/>
          <w:sz w:val="28"/>
          <w:szCs w:val="28"/>
          <w:highlight w:val="none"/>
        </w:rPr>
        <w:t>2026年6月1</w:t>
      </w:r>
      <w:r>
        <w:rPr>
          <w:rFonts w:hint="eastAsia" w:ascii="仿宋" w:hAnsi="仿宋" w:eastAsia="仿宋"/>
          <w:sz w:val="28"/>
          <w:szCs w:val="28"/>
          <w:highlight w:val="none"/>
          <w:lang w:val="en-US" w:eastAsia="zh-CN"/>
        </w:rPr>
        <w:t>1</w:t>
      </w:r>
      <w:bookmarkStart w:id="10" w:name="_GoBack"/>
      <w:bookmarkEnd w:id="10"/>
      <w:r>
        <w:rPr>
          <w:rFonts w:hint="eastAsia" w:ascii="仿宋" w:hAnsi="仿宋" w:eastAsia="仿宋"/>
          <w:sz w:val="28"/>
          <w:szCs w:val="28"/>
          <w:highlight w:val="none"/>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3BD92E"/>
    <w:multiLevelType w:val="singleLevel"/>
    <w:tmpl w:val="1E3BD92E"/>
    <w:lvl w:ilvl="0" w:tentative="0">
      <w:start w:val="2"/>
      <w:numFmt w:val="chineseCounting"/>
      <w:suff w:val="nothing"/>
      <w:lvlText w:val="（%1）"/>
      <w:lvlJc w:val="left"/>
      <w:rPr>
        <w:rFonts w:hint="eastAsia"/>
      </w:rPr>
    </w:lvl>
  </w:abstractNum>
  <w:abstractNum w:abstractNumId="1">
    <w:nsid w:val="480F0CFE"/>
    <w:multiLevelType w:val="singleLevel"/>
    <w:tmpl w:val="480F0CFE"/>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cyYzZmNWM3MzA2MWYwYjgzOTRiNzA2ZjE4ODUwOWUifQ=="/>
  </w:docVars>
  <w:rsids>
    <w:rsidRoot w:val="00E50943"/>
    <w:rsid w:val="00000F05"/>
    <w:rsid w:val="00004D8C"/>
    <w:rsid w:val="0001247C"/>
    <w:rsid w:val="00015E00"/>
    <w:rsid w:val="000229D0"/>
    <w:rsid w:val="00024E3C"/>
    <w:rsid w:val="000268F6"/>
    <w:rsid w:val="000329C3"/>
    <w:rsid w:val="00044AFA"/>
    <w:rsid w:val="000450F1"/>
    <w:rsid w:val="00047AB3"/>
    <w:rsid w:val="000508FB"/>
    <w:rsid w:val="000564AD"/>
    <w:rsid w:val="0005670B"/>
    <w:rsid w:val="00072FA8"/>
    <w:rsid w:val="00075209"/>
    <w:rsid w:val="00075B0D"/>
    <w:rsid w:val="000801AE"/>
    <w:rsid w:val="00081093"/>
    <w:rsid w:val="00083401"/>
    <w:rsid w:val="00090C73"/>
    <w:rsid w:val="000A0098"/>
    <w:rsid w:val="000A0F0B"/>
    <w:rsid w:val="000B4D2B"/>
    <w:rsid w:val="000C3319"/>
    <w:rsid w:val="000C47D2"/>
    <w:rsid w:val="000C63EF"/>
    <w:rsid w:val="000C68F9"/>
    <w:rsid w:val="000C71EC"/>
    <w:rsid w:val="000D686A"/>
    <w:rsid w:val="000E270A"/>
    <w:rsid w:val="000E66C1"/>
    <w:rsid w:val="000F531B"/>
    <w:rsid w:val="000F57A2"/>
    <w:rsid w:val="0011558A"/>
    <w:rsid w:val="001163F1"/>
    <w:rsid w:val="00125AF4"/>
    <w:rsid w:val="00132692"/>
    <w:rsid w:val="00133C54"/>
    <w:rsid w:val="00134157"/>
    <w:rsid w:val="00135A99"/>
    <w:rsid w:val="001367E6"/>
    <w:rsid w:val="00147474"/>
    <w:rsid w:val="0015394C"/>
    <w:rsid w:val="00173A36"/>
    <w:rsid w:val="00175E07"/>
    <w:rsid w:val="00180203"/>
    <w:rsid w:val="001850FA"/>
    <w:rsid w:val="00192E8B"/>
    <w:rsid w:val="00193DA2"/>
    <w:rsid w:val="00194A39"/>
    <w:rsid w:val="001A5230"/>
    <w:rsid w:val="001A5399"/>
    <w:rsid w:val="001B1C03"/>
    <w:rsid w:val="001B43CC"/>
    <w:rsid w:val="001B5A25"/>
    <w:rsid w:val="001C21B8"/>
    <w:rsid w:val="001D4795"/>
    <w:rsid w:val="001D696A"/>
    <w:rsid w:val="001F632F"/>
    <w:rsid w:val="001F7716"/>
    <w:rsid w:val="002072B9"/>
    <w:rsid w:val="002073D2"/>
    <w:rsid w:val="0021038C"/>
    <w:rsid w:val="00212D23"/>
    <w:rsid w:val="00220B92"/>
    <w:rsid w:val="00221F1F"/>
    <w:rsid w:val="00230C8D"/>
    <w:rsid w:val="00232D7A"/>
    <w:rsid w:val="00236B51"/>
    <w:rsid w:val="00241EE4"/>
    <w:rsid w:val="00242A6C"/>
    <w:rsid w:val="002431CE"/>
    <w:rsid w:val="0024610E"/>
    <w:rsid w:val="00246402"/>
    <w:rsid w:val="0025452B"/>
    <w:rsid w:val="00254CDA"/>
    <w:rsid w:val="00262CE8"/>
    <w:rsid w:val="002637CB"/>
    <w:rsid w:val="0026540A"/>
    <w:rsid w:val="002659E7"/>
    <w:rsid w:val="0026739A"/>
    <w:rsid w:val="002812AF"/>
    <w:rsid w:val="002872EC"/>
    <w:rsid w:val="002A3FD8"/>
    <w:rsid w:val="002A5D3C"/>
    <w:rsid w:val="002B3D0E"/>
    <w:rsid w:val="002C0BDA"/>
    <w:rsid w:val="002D1A21"/>
    <w:rsid w:val="002E1DC5"/>
    <w:rsid w:val="002E6595"/>
    <w:rsid w:val="002E7F85"/>
    <w:rsid w:val="002F17B2"/>
    <w:rsid w:val="002F3454"/>
    <w:rsid w:val="002F4593"/>
    <w:rsid w:val="00300802"/>
    <w:rsid w:val="00304772"/>
    <w:rsid w:val="00314FD8"/>
    <w:rsid w:val="003203AD"/>
    <w:rsid w:val="00322115"/>
    <w:rsid w:val="003264B3"/>
    <w:rsid w:val="00327264"/>
    <w:rsid w:val="003308D2"/>
    <w:rsid w:val="003321B1"/>
    <w:rsid w:val="00347B99"/>
    <w:rsid w:val="003505C3"/>
    <w:rsid w:val="003524BD"/>
    <w:rsid w:val="003562CC"/>
    <w:rsid w:val="00356886"/>
    <w:rsid w:val="003568AF"/>
    <w:rsid w:val="00357E03"/>
    <w:rsid w:val="00362347"/>
    <w:rsid w:val="00370169"/>
    <w:rsid w:val="00370E85"/>
    <w:rsid w:val="003752C6"/>
    <w:rsid w:val="00381E8E"/>
    <w:rsid w:val="00385326"/>
    <w:rsid w:val="00386198"/>
    <w:rsid w:val="00387D92"/>
    <w:rsid w:val="003906DB"/>
    <w:rsid w:val="00393C6C"/>
    <w:rsid w:val="00396E04"/>
    <w:rsid w:val="003A19B6"/>
    <w:rsid w:val="003A3A2E"/>
    <w:rsid w:val="003B1F9A"/>
    <w:rsid w:val="003C414C"/>
    <w:rsid w:val="003C42B6"/>
    <w:rsid w:val="003E3086"/>
    <w:rsid w:val="003E3854"/>
    <w:rsid w:val="00404C84"/>
    <w:rsid w:val="00407729"/>
    <w:rsid w:val="00407A05"/>
    <w:rsid w:val="00407A6D"/>
    <w:rsid w:val="00410392"/>
    <w:rsid w:val="00421232"/>
    <w:rsid w:val="0042237E"/>
    <w:rsid w:val="0042774E"/>
    <w:rsid w:val="0043254C"/>
    <w:rsid w:val="00443C1A"/>
    <w:rsid w:val="0044597B"/>
    <w:rsid w:val="0044661B"/>
    <w:rsid w:val="00447E2D"/>
    <w:rsid w:val="00460B7D"/>
    <w:rsid w:val="00461B47"/>
    <w:rsid w:val="00466E29"/>
    <w:rsid w:val="00467F86"/>
    <w:rsid w:val="0048097D"/>
    <w:rsid w:val="00483D2C"/>
    <w:rsid w:val="00486598"/>
    <w:rsid w:val="004933EE"/>
    <w:rsid w:val="004957BE"/>
    <w:rsid w:val="004A25D2"/>
    <w:rsid w:val="004A6468"/>
    <w:rsid w:val="004B2A3C"/>
    <w:rsid w:val="004B5A94"/>
    <w:rsid w:val="004B69F8"/>
    <w:rsid w:val="004B7501"/>
    <w:rsid w:val="004C396F"/>
    <w:rsid w:val="004C7581"/>
    <w:rsid w:val="004D3C67"/>
    <w:rsid w:val="004E33A5"/>
    <w:rsid w:val="004F1306"/>
    <w:rsid w:val="00500ACF"/>
    <w:rsid w:val="005014EC"/>
    <w:rsid w:val="0050203F"/>
    <w:rsid w:val="0051037C"/>
    <w:rsid w:val="005112A9"/>
    <w:rsid w:val="00513F0B"/>
    <w:rsid w:val="00515F29"/>
    <w:rsid w:val="00516E11"/>
    <w:rsid w:val="0052052A"/>
    <w:rsid w:val="005241E3"/>
    <w:rsid w:val="00525185"/>
    <w:rsid w:val="00532E06"/>
    <w:rsid w:val="005406FA"/>
    <w:rsid w:val="00542C91"/>
    <w:rsid w:val="00545213"/>
    <w:rsid w:val="0055234C"/>
    <w:rsid w:val="00552423"/>
    <w:rsid w:val="005553CD"/>
    <w:rsid w:val="00567514"/>
    <w:rsid w:val="0057350E"/>
    <w:rsid w:val="00574518"/>
    <w:rsid w:val="00591FCC"/>
    <w:rsid w:val="005A059A"/>
    <w:rsid w:val="005A6F1E"/>
    <w:rsid w:val="005B0397"/>
    <w:rsid w:val="005B15B5"/>
    <w:rsid w:val="005C3AFE"/>
    <w:rsid w:val="005D1F29"/>
    <w:rsid w:val="005D2EC0"/>
    <w:rsid w:val="005E44F1"/>
    <w:rsid w:val="005E471D"/>
    <w:rsid w:val="005F6F9F"/>
    <w:rsid w:val="00603632"/>
    <w:rsid w:val="00605863"/>
    <w:rsid w:val="00610B50"/>
    <w:rsid w:val="00615700"/>
    <w:rsid w:val="00615EA9"/>
    <w:rsid w:val="00621849"/>
    <w:rsid w:val="0062372C"/>
    <w:rsid w:val="00640608"/>
    <w:rsid w:val="00643024"/>
    <w:rsid w:val="00652FD4"/>
    <w:rsid w:val="00661F9A"/>
    <w:rsid w:val="00666C5E"/>
    <w:rsid w:val="00667E0F"/>
    <w:rsid w:val="0067343D"/>
    <w:rsid w:val="006736BD"/>
    <w:rsid w:val="00674E21"/>
    <w:rsid w:val="00680FF4"/>
    <w:rsid w:val="006827E0"/>
    <w:rsid w:val="006854C3"/>
    <w:rsid w:val="006A573B"/>
    <w:rsid w:val="006B5BC1"/>
    <w:rsid w:val="006D1F91"/>
    <w:rsid w:val="006D4682"/>
    <w:rsid w:val="006D6113"/>
    <w:rsid w:val="006D6912"/>
    <w:rsid w:val="006E3410"/>
    <w:rsid w:val="00701286"/>
    <w:rsid w:val="007046CE"/>
    <w:rsid w:val="0070478D"/>
    <w:rsid w:val="007103BE"/>
    <w:rsid w:val="00710775"/>
    <w:rsid w:val="00712BAC"/>
    <w:rsid w:val="00724820"/>
    <w:rsid w:val="00726D64"/>
    <w:rsid w:val="0074301E"/>
    <w:rsid w:val="007451EF"/>
    <w:rsid w:val="00745DDD"/>
    <w:rsid w:val="00754B06"/>
    <w:rsid w:val="00755BC7"/>
    <w:rsid w:val="00761FE7"/>
    <w:rsid w:val="00762C8F"/>
    <w:rsid w:val="0076399D"/>
    <w:rsid w:val="0077137D"/>
    <w:rsid w:val="00771CAF"/>
    <w:rsid w:val="00773B41"/>
    <w:rsid w:val="007932B2"/>
    <w:rsid w:val="00794591"/>
    <w:rsid w:val="007A0F0F"/>
    <w:rsid w:val="007A7E9A"/>
    <w:rsid w:val="007B03D0"/>
    <w:rsid w:val="007B0D73"/>
    <w:rsid w:val="007B3F2A"/>
    <w:rsid w:val="007B5DED"/>
    <w:rsid w:val="007C0553"/>
    <w:rsid w:val="007D057A"/>
    <w:rsid w:val="007D2C8C"/>
    <w:rsid w:val="007D48BC"/>
    <w:rsid w:val="007E1F84"/>
    <w:rsid w:val="008131FB"/>
    <w:rsid w:val="00815034"/>
    <w:rsid w:val="00816679"/>
    <w:rsid w:val="0082742D"/>
    <w:rsid w:val="00842522"/>
    <w:rsid w:val="0085644B"/>
    <w:rsid w:val="008642CF"/>
    <w:rsid w:val="0088226B"/>
    <w:rsid w:val="00885505"/>
    <w:rsid w:val="008914C9"/>
    <w:rsid w:val="00895BE4"/>
    <w:rsid w:val="008B110D"/>
    <w:rsid w:val="008B57C2"/>
    <w:rsid w:val="008B6528"/>
    <w:rsid w:val="008B7ECF"/>
    <w:rsid w:val="008D0B93"/>
    <w:rsid w:val="008D40B8"/>
    <w:rsid w:val="008F23C2"/>
    <w:rsid w:val="008F3D6E"/>
    <w:rsid w:val="00903022"/>
    <w:rsid w:val="009058B4"/>
    <w:rsid w:val="00915355"/>
    <w:rsid w:val="00915FF8"/>
    <w:rsid w:val="00917F25"/>
    <w:rsid w:val="0092019E"/>
    <w:rsid w:val="00925E08"/>
    <w:rsid w:val="00931500"/>
    <w:rsid w:val="00946CAF"/>
    <w:rsid w:val="00955A44"/>
    <w:rsid w:val="009608A4"/>
    <w:rsid w:val="00966B18"/>
    <w:rsid w:val="00970C1E"/>
    <w:rsid w:val="009764D7"/>
    <w:rsid w:val="0097705A"/>
    <w:rsid w:val="00986232"/>
    <w:rsid w:val="00986E78"/>
    <w:rsid w:val="009876E8"/>
    <w:rsid w:val="00990275"/>
    <w:rsid w:val="00990FCC"/>
    <w:rsid w:val="009A13A6"/>
    <w:rsid w:val="009A4259"/>
    <w:rsid w:val="009A6974"/>
    <w:rsid w:val="009A6B21"/>
    <w:rsid w:val="009B3635"/>
    <w:rsid w:val="009C021C"/>
    <w:rsid w:val="009C4F2E"/>
    <w:rsid w:val="009D6C42"/>
    <w:rsid w:val="009D6D84"/>
    <w:rsid w:val="009E05E3"/>
    <w:rsid w:val="009E06C9"/>
    <w:rsid w:val="009E1D25"/>
    <w:rsid w:val="009E5DD0"/>
    <w:rsid w:val="009E6108"/>
    <w:rsid w:val="009F0048"/>
    <w:rsid w:val="009F543E"/>
    <w:rsid w:val="009F64AE"/>
    <w:rsid w:val="00A014A2"/>
    <w:rsid w:val="00A25653"/>
    <w:rsid w:val="00A26E22"/>
    <w:rsid w:val="00A3305F"/>
    <w:rsid w:val="00A46833"/>
    <w:rsid w:val="00A47392"/>
    <w:rsid w:val="00A51EB1"/>
    <w:rsid w:val="00A5255A"/>
    <w:rsid w:val="00A6259C"/>
    <w:rsid w:val="00A63BB0"/>
    <w:rsid w:val="00A63D41"/>
    <w:rsid w:val="00A80248"/>
    <w:rsid w:val="00A910FC"/>
    <w:rsid w:val="00A92528"/>
    <w:rsid w:val="00AA00D3"/>
    <w:rsid w:val="00AA0658"/>
    <w:rsid w:val="00AA153C"/>
    <w:rsid w:val="00AA3978"/>
    <w:rsid w:val="00AA4F3F"/>
    <w:rsid w:val="00AB1A57"/>
    <w:rsid w:val="00AB1E42"/>
    <w:rsid w:val="00AD1660"/>
    <w:rsid w:val="00AD48CA"/>
    <w:rsid w:val="00AD6D90"/>
    <w:rsid w:val="00AE0835"/>
    <w:rsid w:val="00AE1613"/>
    <w:rsid w:val="00AE35D4"/>
    <w:rsid w:val="00AE3B74"/>
    <w:rsid w:val="00AE59E3"/>
    <w:rsid w:val="00AF0366"/>
    <w:rsid w:val="00AF09B6"/>
    <w:rsid w:val="00AF3939"/>
    <w:rsid w:val="00B0115F"/>
    <w:rsid w:val="00B037D0"/>
    <w:rsid w:val="00B05707"/>
    <w:rsid w:val="00B102EC"/>
    <w:rsid w:val="00B12B1D"/>
    <w:rsid w:val="00B21081"/>
    <w:rsid w:val="00B213EC"/>
    <w:rsid w:val="00B30818"/>
    <w:rsid w:val="00B30B9A"/>
    <w:rsid w:val="00B44999"/>
    <w:rsid w:val="00B54A0F"/>
    <w:rsid w:val="00B5796C"/>
    <w:rsid w:val="00B65C49"/>
    <w:rsid w:val="00B72176"/>
    <w:rsid w:val="00B80F24"/>
    <w:rsid w:val="00B82941"/>
    <w:rsid w:val="00B85B82"/>
    <w:rsid w:val="00B96F4D"/>
    <w:rsid w:val="00B971B6"/>
    <w:rsid w:val="00BB0829"/>
    <w:rsid w:val="00BB4489"/>
    <w:rsid w:val="00BC2B0A"/>
    <w:rsid w:val="00BD0028"/>
    <w:rsid w:val="00BD57EA"/>
    <w:rsid w:val="00BD6150"/>
    <w:rsid w:val="00BE2E2D"/>
    <w:rsid w:val="00BF4E23"/>
    <w:rsid w:val="00C0167B"/>
    <w:rsid w:val="00C01696"/>
    <w:rsid w:val="00C11F6D"/>
    <w:rsid w:val="00C123B6"/>
    <w:rsid w:val="00C32BA8"/>
    <w:rsid w:val="00C4077B"/>
    <w:rsid w:val="00C4666D"/>
    <w:rsid w:val="00C51B12"/>
    <w:rsid w:val="00C61934"/>
    <w:rsid w:val="00C627C7"/>
    <w:rsid w:val="00C62889"/>
    <w:rsid w:val="00C77B7F"/>
    <w:rsid w:val="00C8046D"/>
    <w:rsid w:val="00C804C0"/>
    <w:rsid w:val="00C80F0B"/>
    <w:rsid w:val="00C83F66"/>
    <w:rsid w:val="00C911DB"/>
    <w:rsid w:val="00C92351"/>
    <w:rsid w:val="00C96735"/>
    <w:rsid w:val="00C96C60"/>
    <w:rsid w:val="00CA0EAE"/>
    <w:rsid w:val="00CA16B7"/>
    <w:rsid w:val="00CA170C"/>
    <w:rsid w:val="00CA4834"/>
    <w:rsid w:val="00CA731F"/>
    <w:rsid w:val="00CB388E"/>
    <w:rsid w:val="00CB4395"/>
    <w:rsid w:val="00CC1ACC"/>
    <w:rsid w:val="00CC724F"/>
    <w:rsid w:val="00CD0C43"/>
    <w:rsid w:val="00CD1832"/>
    <w:rsid w:val="00CD3DC4"/>
    <w:rsid w:val="00CD5757"/>
    <w:rsid w:val="00CD7182"/>
    <w:rsid w:val="00CD7D46"/>
    <w:rsid w:val="00CE3146"/>
    <w:rsid w:val="00CF20F6"/>
    <w:rsid w:val="00CF77F3"/>
    <w:rsid w:val="00D12CC6"/>
    <w:rsid w:val="00D142DD"/>
    <w:rsid w:val="00D1511E"/>
    <w:rsid w:val="00D15243"/>
    <w:rsid w:val="00D17A70"/>
    <w:rsid w:val="00D21136"/>
    <w:rsid w:val="00D27113"/>
    <w:rsid w:val="00D30B5D"/>
    <w:rsid w:val="00D325C7"/>
    <w:rsid w:val="00D571E7"/>
    <w:rsid w:val="00D632AB"/>
    <w:rsid w:val="00D7121C"/>
    <w:rsid w:val="00D71A99"/>
    <w:rsid w:val="00D71C5F"/>
    <w:rsid w:val="00D7380C"/>
    <w:rsid w:val="00D84B41"/>
    <w:rsid w:val="00D90611"/>
    <w:rsid w:val="00D90D0A"/>
    <w:rsid w:val="00D92ACB"/>
    <w:rsid w:val="00DA5645"/>
    <w:rsid w:val="00DA7FF4"/>
    <w:rsid w:val="00DB293C"/>
    <w:rsid w:val="00DC7982"/>
    <w:rsid w:val="00DE3C9F"/>
    <w:rsid w:val="00DE563F"/>
    <w:rsid w:val="00DF2BDB"/>
    <w:rsid w:val="00E013CC"/>
    <w:rsid w:val="00E04F40"/>
    <w:rsid w:val="00E077C0"/>
    <w:rsid w:val="00E12FBF"/>
    <w:rsid w:val="00E134BD"/>
    <w:rsid w:val="00E2099D"/>
    <w:rsid w:val="00E229B3"/>
    <w:rsid w:val="00E27799"/>
    <w:rsid w:val="00E37123"/>
    <w:rsid w:val="00E44019"/>
    <w:rsid w:val="00E50943"/>
    <w:rsid w:val="00E50FF6"/>
    <w:rsid w:val="00E519AE"/>
    <w:rsid w:val="00E665C8"/>
    <w:rsid w:val="00E7721B"/>
    <w:rsid w:val="00E77506"/>
    <w:rsid w:val="00E93E12"/>
    <w:rsid w:val="00EB0E7D"/>
    <w:rsid w:val="00EC06F3"/>
    <w:rsid w:val="00EC0D45"/>
    <w:rsid w:val="00ED1EDE"/>
    <w:rsid w:val="00EE1BA3"/>
    <w:rsid w:val="00EF77D3"/>
    <w:rsid w:val="00F010B5"/>
    <w:rsid w:val="00F0285A"/>
    <w:rsid w:val="00F03ED4"/>
    <w:rsid w:val="00F052B2"/>
    <w:rsid w:val="00F071DB"/>
    <w:rsid w:val="00F12760"/>
    <w:rsid w:val="00F31B73"/>
    <w:rsid w:val="00F32BA5"/>
    <w:rsid w:val="00F34523"/>
    <w:rsid w:val="00F4123A"/>
    <w:rsid w:val="00F462C4"/>
    <w:rsid w:val="00F50360"/>
    <w:rsid w:val="00F506FA"/>
    <w:rsid w:val="00F5606C"/>
    <w:rsid w:val="00F560D6"/>
    <w:rsid w:val="00F659F0"/>
    <w:rsid w:val="00F76A0F"/>
    <w:rsid w:val="00F83ACE"/>
    <w:rsid w:val="00F8416D"/>
    <w:rsid w:val="00F85D64"/>
    <w:rsid w:val="00F86989"/>
    <w:rsid w:val="00F86EAD"/>
    <w:rsid w:val="00F92772"/>
    <w:rsid w:val="00F961EE"/>
    <w:rsid w:val="00FA1C27"/>
    <w:rsid w:val="00FA45C6"/>
    <w:rsid w:val="00FB0815"/>
    <w:rsid w:val="00FB315A"/>
    <w:rsid w:val="00FD05EB"/>
    <w:rsid w:val="00FD6FF8"/>
    <w:rsid w:val="00FE19E1"/>
    <w:rsid w:val="00FF05BC"/>
    <w:rsid w:val="00FF26EB"/>
    <w:rsid w:val="023A2E4D"/>
    <w:rsid w:val="03925D68"/>
    <w:rsid w:val="04811B11"/>
    <w:rsid w:val="05104C29"/>
    <w:rsid w:val="059775C1"/>
    <w:rsid w:val="06DB193E"/>
    <w:rsid w:val="092108C3"/>
    <w:rsid w:val="0AAD3F14"/>
    <w:rsid w:val="0CA61AD5"/>
    <w:rsid w:val="0CAE24B4"/>
    <w:rsid w:val="0F0C5B71"/>
    <w:rsid w:val="115B693C"/>
    <w:rsid w:val="131E40C5"/>
    <w:rsid w:val="13C82EA6"/>
    <w:rsid w:val="15793835"/>
    <w:rsid w:val="162A3665"/>
    <w:rsid w:val="17D7331A"/>
    <w:rsid w:val="18DA1AAD"/>
    <w:rsid w:val="1B3D59E1"/>
    <w:rsid w:val="1CAA72F4"/>
    <w:rsid w:val="1F0932AF"/>
    <w:rsid w:val="201C34BC"/>
    <w:rsid w:val="2138043D"/>
    <w:rsid w:val="2203697F"/>
    <w:rsid w:val="24AE22C3"/>
    <w:rsid w:val="2677791D"/>
    <w:rsid w:val="27CC1EEA"/>
    <w:rsid w:val="280B656E"/>
    <w:rsid w:val="28723814"/>
    <w:rsid w:val="28E76FDC"/>
    <w:rsid w:val="292D27EB"/>
    <w:rsid w:val="29AF4A18"/>
    <w:rsid w:val="2AF43C32"/>
    <w:rsid w:val="2C42277B"/>
    <w:rsid w:val="2CC513F6"/>
    <w:rsid w:val="31653193"/>
    <w:rsid w:val="328E04C8"/>
    <w:rsid w:val="352E123F"/>
    <w:rsid w:val="36310064"/>
    <w:rsid w:val="36370400"/>
    <w:rsid w:val="368517E9"/>
    <w:rsid w:val="3AC06FE0"/>
    <w:rsid w:val="3B9C73D3"/>
    <w:rsid w:val="3BA90A85"/>
    <w:rsid w:val="3BB27425"/>
    <w:rsid w:val="3C834E15"/>
    <w:rsid w:val="3DBE6222"/>
    <w:rsid w:val="3FAC61B8"/>
    <w:rsid w:val="4127636B"/>
    <w:rsid w:val="42E97785"/>
    <w:rsid w:val="44140FAD"/>
    <w:rsid w:val="480C0EA9"/>
    <w:rsid w:val="48DB72D3"/>
    <w:rsid w:val="4A914712"/>
    <w:rsid w:val="4C4B0D80"/>
    <w:rsid w:val="4E742643"/>
    <w:rsid w:val="4E8426B7"/>
    <w:rsid w:val="573531BE"/>
    <w:rsid w:val="57E07B5D"/>
    <w:rsid w:val="58825C64"/>
    <w:rsid w:val="59225E2D"/>
    <w:rsid w:val="5A133CA3"/>
    <w:rsid w:val="5A6A5A01"/>
    <w:rsid w:val="5AC73CC7"/>
    <w:rsid w:val="5B275DA4"/>
    <w:rsid w:val="5BA41F5D"/>
    <w:rsid w:val="5CB07109"/>
    <w:rsid w:val="5FA24885"/>
    <w:rsid w:val="644C0A86"/>
    <w:rsid w:val="65E362B1"/>
    <w:rsid w:val="66E039BD"/>
    <w:rsid w:val="6C104257"/>
    <w:rsid w:val="6D6C2091"/>
    <w:rsid w:val="6DAC2309"/>
    <w:rsid w:val="70604F58"/>
    <w:rsid w:val="709425D6"/>
    <w:rsid w:val="72810791"/>
    <w:rsid w:val="7380296D"/>
    <w:rsid w:val="73A912D2"/>
    <w:rsid w:val="73B97365"/>
    <w:rsid w:val="74E307AA"/>
    <w:rsid w:val="75996CD8"/>
    <w:rsid w:val="76432944"/>
    <w:rsid w:val="76D65566"/>
    <w:rsid w:val="776318B2"/>
    <w:rsid w:val="7D2F59D0"/>
    <w:rsid w:val="7DD65BEC"/>
    <w:rsid w:val="7DF8739C"/>
    <w:rsid w:val="7FCE2A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character" w:default="1" w:styleId="9">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5"/>
    <w:semiHidden/>
    <w:unhideWhenUsed/>
    <w:qFormat/>
    <w:uiPriority w:val="99"/>
    <w:pPr>
      <w:jc w:val="left"/>
    </w:pPr>
  </w:style>
  <w:style w:type="paragraph" w:styleId="3">
    <w:name w:val="Balloon Text"/>
    <w:basedOn w:val="1"/>
    <w:link w:val="14"/>
    <w:semiHidden/>
    <w:unhideWhenUsed/>
    <w:qFormat/>
    <w:uiPriority w:val="99"/>
    <w:rPr>
      <w:sz w:val="18"/>
      <w:szCs w:val="18"/>
    </w:rPr>
  </w:style>
  <w:style w:type="paragraph" w:styleId="4">
    <w:name w:val="footer"/>
    <w:basedOn w:val="1"/>
    <w:link w:val="12"/>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1"/>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annotation subject"/>
    <w:basedOn w:val="2"/>
    <w:next w:val="2"/>
    <w:link w:val="16"/>
    <w:semiHidden/>
    <w:unhideWhenUsed/>
    <w:qFormat/>
    <w:uiPriority w:val="99"/>
    <w:rPr>
      <w:b/>
      <w:bCs/>
    </w:rPr>
  </w:style>
  <w:style w:type="table" w:styleId="8">
    <w:name w:val="Table Grid"/>
    <w:basedOn w:val="7"/>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annotation reference"/>
    <w:basedOn w:val="9"/>
    <w:semiHidden/>
    <w:unhideWhenUsed/>
    <w:qFormat/>
    <w:uiPriority w:val="99"/>
    <w:rPr>
      <w:sz w:val="21"/>
      <w:szCs w:val="21"/>
    </w:rPr>
  </w:style>
  <w:style w:type="character" w:customStyle="1" w:styleId="11">
    <w:name w:val="页眉 Char"/>
    <w:basedOn w:val="9"/>
    <w:link w:val="5"/>
    <w:autoRedefine/>
    <w:qFormat/>
    <w:uiPriority w:val="99"/>
    <w:rPr>
      <w:sz w:val="18"/>
      <w:szCs w:val="18"/>
    </w:rPr>
  </w:style>
  <w:style w:type="character" w:customStyle="1" w:styleId="12">
    <w:name w:val="页脚 Char"/>
    <w:basedOn w:val="9"/>
    <w:link w:val="4"/>
    <w:autoRedefine/>
    <w:qFormat/>
    <w:uiPriority w:val="99"/>
    <w:rPr>
      <w:sz w:val="18"/>
      <w:szCs w:val="18"/>
    </w:rPr>
  </w:style>
  <w:style w:type="paragraph" w:styleId="13">
    <w:name w:val="List Paragraph"/>
    <w:basedOn w:val="1"/>
    <w:autoRedefine/>
    <w:qFormat/>
    <w:uiPriority w:val="34"/>
    <w:pPr>
      <w:ind w:firstLine="420" w:firstLineChars="200"/>
    </w:pPr>
  </w:style>
  <w:style w:type="character" w:customStyle="1" w:styleId="14">
    <w:name w:val="批注框文本 Char"/>
    <w:basedOn w:val="9"/>
    <w:link w:val="3"/>
    <w:semiHidden/>
    <w:qFormat/>
    <w:uiPriority w:val="99"/>
    <w:rPr>
      <w:kern w:val="2"/>
      <w:sz w:val="18"/>
      <w:szCs w:val="18"/>
    </w:rPr>
  </w:style>
  <w:style w:type="character" w:customStyle="1" w:styleId="15">
    <w:name w:val="批注文字 Char"/>
    <w:basedOn w:val="9"/>
    <w:link w:val="2"/>
    <w:semiHidden/>
    <w:qFormat/>
    <w:uiPriority w:val="99"/>
    <w:rPr>
      <w:kern w:val="2"/>
      <w:sz w:val="21"/>
    </w:rPr>
  </w:style>
  <w:style w:type="character" w:customStyle="1" w:styleId="16">
    <w:name w:val="批注主题 Char"/>
    <w:basedOn w:val="15"/>
    <w:link w:val="6"/>
    <w:semiHidden/>
    <w:qFormat/>
    <w:uiPriority w:val="99"/>
    <w:rPr>
      <w:b/>
      <w:bCs/>
      <w:kern w:val="2"/>
      <w:sz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ataSourceCollection xmlns="http://www.yonyou.com/datasource"/>
</file>

<file path=customXml/item2.xml><?xml version="1.0" encoding="utf-8"?>
<relations xmlns="http://www.yonyou.com/relation"/>
</file>

<file path=customXml/itemProps1.xml><?xml version="1.0" encoding="utf-8"?>
<ds:datastoreItem xmlns:ds="http://schemas.openxmlformats.org/officeDocument/2006/customXml" ds:itemID="{ECA20B8B-BED8-4FD2-9012-07CEAD2C12D7}">
  <ds:schemaRefs/>
</ds:datastoreItem>
</file>

<file path=customXml/itemProps2.xml><?xml version="1.0" encoding="utf-8"?>
<ds:datastoreItem xmlns:ds="http://schemas.openxmlformats.org/officeDocument/2006/customXml" ds:itemID="{AB9D266B-FF6A-45B5-A036-C14B7CAB13E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2307</Words>
  <Characters>3099</Characters>
  <Lines>24</Lines>
  <Paragraphs>6</Paragraphs>
  <TotalTime>33</TotalTime>
  <ScaleCrop>false</ScaleCrop>
  <LinksUpToDate>false</LinksUpToDate>
  <CharactersWithSpaces>3110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2022-04-19T12:33:00Z</dcterms:created>
  <dc:creator>hsq</dc:creator>
  <cp:lastModifiedBy>黄舒倩</cp:lastModifiedBy>
  <cp:lastPrinted>2025-07-07T01:03:00Z</cp:lastPrinted>
  <dcterms:modified xsi:type="dcterms:W3CDTF">2026-06-10T09:37:07Z</dcterms:modified>
  <cp:revision>440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D5148FC7DA0946E5832A51A13A31C5E6_13</vt:lpwstr>
  </property>
  <property fmtid="{D5CDD505-2E9C-101B-9397-08002B2CF9AE}" pid="4" name="KSOTemplateDocerSaveRecord">
    <vt:lpwstr>eyJoZGlkIjoiYjc3NTVmODk5OWI4YTU0YmU5MTlhYzJjMjBkNzFlNmEiLCJ1c2VySWQiOiIyNDMwNTgyMjAifQ==</vt:lpwstr>
  </property>
</Properties>
</file>