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C379F4">
      <w:pPr>
        <w:pStyle w:val="15"/>
        <w:spacing w:before="156" w:beforeLines="50" w:after="0" w:line="300" w:lineRule="auto"/>
        <w:jc w:val="center"/>
        <w:rPr>
          <w:rFonts w:hint="eastAsia" w:ascii="宋体" w:hAnsi="宋体" w:eastAsia="宋体" w:cs="宋体"/>
          <w:b/>
          <w:sz w:val="30"/>
          <w:szCs w:val="30"/>
        </w:rPr>
      </w:pPr>
      <w:bookmarkStart w:id="0" w:name="_Toc4223"/>
      <w:bookmarkStart w:id="1" w:name="_Toc24175"/>
      <w:r>
        <w:rPr>
          <w:rFonts w:hint="eastAsia" w:ascii="宋体" w:hAnsi="宋体" w:eastAsia="宋体" w:cs="宋体"/>
          <w:b/>
          <w:sz w:val="30"/>
          <w:szCs w:val="30"/>
        </w:rPr>
        <w:t>广东天亿马信息产业股份有限公司</w:t>
      </w:r>
    </w:p>
    <w:p w14:paraId="5F1D24D7">
      <w:pPr>
        <w:pStyle w:val="15"/>
        <w:spacing w:before="156" w:beforeLines="50" w:after="0" w:line="300" w:lineRule="auto"/>
        <w:jc w:val="center"/>
        <w:rPr>
          <w:rFonts w:hint="eastAsia" w:ascii="宋体" w:hAnsi="宋体" w:eastAsia="宋体" w:cs="宋体"/>
          <w:b/>
          <w:sz w:val="30"/>
          <w:szCs w:val="30"/>
        </w:rPr>
      </w:pPr>
      <w:r>
        <w:rPr>
          <w:rFonts w:hint="eastAsia" w:ascii="宋体" w:hAnsi="宋体" w:eastAsia="宋体" w:cs="宋体"/>
          <w:b/>
          <w:sz w:val="30"/>
          <w:szCs w:val="30"/>
        </w:rPr>
        <w:t>董事与高级管理人员</w:t>
      </w:r>
      <w:bookmarkEnd w:id="0"/>
      <w:bookmarkEnd w:id="1"/>
      <w:r>
        <w:rPr>
          <w:rFonts w:hint="eastAsia" w:ascii="宋体" w:hAnsi="宋体" w:eastAsia="宋体" w:cs="宋体"/>
          <w:b/>
          <w:sz w:val="30"/>
          <w:szCs w:val="30"/>
        </w:rPr>
        <w:t>薪酬及考核管理制度</w:t>
      </w:r>
    </w:p>
    <w:p w14:paraId="1D8714E1">
      <w:pPr>
        <w:pStyle w:val="16"/>
        <w:spacing w:after="156" w:afterLines="50" w:line="300" w:lineRule="auto"/>
        <w:jc w:val="center"/>
        <w:outlineLvl w:val="0"/>
        <w:rPr>
          <w:rFonts w:hint="eastAsia" w:ascii="宋体" w:hAnsi="宋体" w:eastAsia="宋体" w:cs="宋体"/>
          <w:b/>
          <w:sz w:val="28"/>
          <w:szCs w:val="28"/>
        </w:rPr>
      </w:pPr>
      <w:bookmarkStart w:id="2" w:name="_Toc17646"/>
      <w:bookmarkStart w:id="3" w:name="_Toc10025"/>
      <w:r>
        <w:rPr>
          <w:rFonts w:hint="eastAsia" w:ascii="宋体" w:hAnsi="宋体" w:eastAsia="宋体" w:cs="宋体"/>
          <w:b/>
          <w:sz w:val="28"/>
          <w:szCs w:val="28"/>
        </w:rPr>
        <w:t>第一章 总则</w:t>
      </w:r>
      <w:bookmarkEnd w:id="2"/>
      <w:bookmarkEnd w:id="3"/>
    </w:p>
    <w:p w14:paraId="11042607">
      <w:pPr>
        <w:pStyle w:val="17"/>
        <w:numPr>
          <w:ilvl w:val="0"/>
          <w:numId w:val="1"/>
        </w:numPr>
        <w:spacing w:after="156" w:afterLines="50" w:line="300" w:lineRule="auto"/>
        <w:ind w:left="0" w:firstLine="420"/>
        <w:outlineLvl w:val="1"/>
        <w:rPr>
          <w:rFonts w:hint="eastAsia" w:ascii="宋体" w:hAnsi="宋体" w:eastAsia="宋体" w:cs="宋体"/>
        </w:rPr>
      </w:pPr>
      <w:r>
        <w:rPr>
          <w:rFonts w:hint="eastAsia" w:ascii="宋体" w:hAnsi="宋体" w:eastAsia="宋体" w:cs="宋体"/>
        </w:rPr>
        <w:t>目的和依据</w:t>
      </w:r>
    </w:p>
    <w:p w14:paraId="71A19D40">
      <w:pPr>
        <w:pStyle w:val="17"/>
        <w:spacing w:after="156" w:afterLines="50" w:line="300" w:lineRule="auto"/>
        <w:ind w:firstLine="480" w:firstLineChars="200"/>
        <w:rPr>
          <w:rFonts w:hint="eastAsia" w:ascii="宋体" w:hAnsi="宋体" w:eastAsia="宋体" w:cs="宋体"/>
        </w:rPr>
      </w:pPr>
      <w:r>
        <w:rPr>
          <w:rFonts w:hint="eastAsia" w:ascii="宋体" w:hAnsi="宋体" w:eastAsia="宋体" w:cs="宋体"/>
        </w:rPr>
        <w:t>为进一步完善</w:t>
      </w:r>
      <w:r>
        <w:rPr>
          <w:rFonts w:hint="eastAsia" w:ascii="宋体" w:hAnsi="宋体" w:eastAsia="宋体" w:cs="宋体"/>
          <w:snapToGrid w:val="0"/>
        </w:rPr>
        <w:t>广东天亿马信息产业股份有限公司</w:t>
      </w:r>
      <w:r>
        <w:rPr>
          <w:rFonts w:hint="eastAsia" w:ascii="宋体" w:hAnsi="宋体" w:eastAsia="宋体" w:cs="宋体"/>
        </w:rPr>
        <w:t>（以下简称“公司”）的董事、高级管理人员的薪酬管理，建立科学有效的激励与约束机制，提高公司经营效益和管理水平，确保完成公司中长期战略发展目标和年度经营计划，推进公司可持续高质量发展，根据《中华人民共和国公司法》《上市公司治理准则》等有关法律、法规等相关规定，结合公司实际情况，制定本制度。</w:t>
      </w:r>
    </w:p>
    <w:p w14:paraId="19E03507">
      <w:pPr>
        <w:pStyle w:val="17"/>
        <w:numPr>
          <w:ilvl w:val="0"/>
          <w:numId w:val="1"/>
        </w:numPr>
        <w:spacing w:after="156" w:afterLines="50" w:line="300" w:lineRule="auto"/>
        <w:ind w:left="0" w:firstLine="420"/>
        <w:outlineLvl w:val="1"/>
        <w:rPr>
          <w:rFonts w:hint="eastAsia" w:ascii="宋体" w:hAnsi="宋体" w:eastAsia="宋体" w:cs="宋体"/>
        </w:rPr>
      </w:pPr>
      <w:r>
        <w:rPr>
          <w:rFonts w:hint="eastAsia" w:ascii="宋体" w:hAnsi="宋体" w:eastAsia="宋体" w:cs="宋体"/>
        </w:rPr>
        <w:t>适用范围</w:t>
      </w:r>
    </w:p>
    <w:p w14:paraId="2146715E">
      <w:pPr>
        <w:pStyle w:val="17"/>
        <w:spacing w:after="156" w:afterLines="50" w:line="300" w:lineRule="auto"/>
        <w:ind w:firstLine="480" w:firstLineChars="200"/>
        <w:rPr>
          <w:rFonts w:hint="eastAsia" w:ascii="宋体" w:hAnsi="宋体" w:eastAsia="宋体" w:cs="宋体"/>
        </w:rPr>
      </w:pPr>
      <w:r>
        <w:rPr>
          <w:rFonts w:hint="eastAsia" w:ascii="宋体" w:hAnsi="宋体" w:eastAsia="宋体" w:cs="宋体"/>
        </w:rPr>
        <w:t>本制度适用对象为公司董事、高级管理人员。高级管理人员包括总经理、副总经理、董事会秘书、财务负责人及《公司章程》规定的其他高级管理人员。</w:t>
      </w:r>
    </w:p>
    <w:p w14:paraId="326ABB20">
      <w:pPr>
        <w:pStyle w:val="17"/>
        <w:numPr>
          <w:ilvl w:val="0"/>
          <w:numId w:val="1"/>
        </w:numPr>
        <w:spacing w:after="156" w:afterLines="50" w:line="300" w:lineRule="auto"/>
        <w:ind w:left="0" w:firstLine="420"/>
        <w:outlineLvl w:val="1"/>
        <w:rPr>
          <w:rFonts w:hint="eastAsia" w:ascii="宋体" w:hAnsi="宋体" w:eastAsia="宋体" w:cs="宋体"/>
        </w:rPr>
      </w:pPr>
      <w:r>
        <w:rPr>
          <w:rFonts w:hint="eastAsia" w:ascii="宋体" w:hAnsi="宋体" w:eastAsia="宋体" w:cs="宋体"/>
        </w:rPr>
        <w:t>本制度的制定遵循以下原则：</w:t>
      </w:r>
    </w:p>
    <w:p w14:paraId="72D33A99">
      <w:pPr>
        <w:pStyle w:val="17"/>
        <w:numPr>
          <w:ilvl w:val="0"/>
          <w:numId w:val="2"/>
        </w:numPr>
        <w:spacing w:after="156" w:afterLines="50" w:line="180" w:lineRule="auto"/>
        <w:rPr>
          <w:rFonts w:hint="eastAsia" w:ascii="宋体" w:hAnsi="宋体" w:eastAsia="宋体" w:cs="宋体"/>
        </w:rPr>
      </w:pPr>
      <w:r>
        <w:rPr>
          <w:rFonts w:hint="eastAsia" w:ascii="宋体" w:hAnsi="宋体" w:eastAsia="宋体" w:cs="宋体"/>
        </w:rPr>
        <w:t>坚持企业价值与股东利益统一的原则；</w:t>
      </w:r>
    </w:p>
    <w:p w14:paraId="506F2C4E">
      <w:pPr>
        <w:pStyle w:val="17"/>
        <w:numPr>
          <w:ilvl w:val="0"/>
          <w:numId w:val="2"/>
        </w:numPr>
        <w:spacing w:after="156" w:afterLines="50" w:line="180" w:lineRule="auto"/>
        <w:rPr>
          <w:rFonts w:hint="eastAsia" w:ascii="宋体" w:hAnsi="宋体" w:eastAsia="宋体" w:cs="宋体"/>
        </w:rPr>
      </w:pPr>
      <w:r>
        <w:rPr>
          <w:rFonts w:hint="eastAsia" w:ascii="宋体" w:hAnsi="宋体" w:eastAsia="宋体" w:cs="宋体"/>
        </w:rPr>
        <w:t>坚持激励与约束相结合的原则；</w:t>
      </w:r>
    </w:p>
    <w:p w14:paraId="35361440">
      <w:pPr>
        <w:pStyle w:val="17"/>
        <w:numPr>
          <w:ilvl w:val="0"/>
          <w:numId w:val="2"/>
        </w:numPr>
        <w:spacing w:after="156" w:afterLines="50" w:line="180" w:lineRule="auto"/>
        <w:rPr>
          <w:rFonts w:hint="eastAsia" w:ascii="宋体" w:hAnsi="宋体" w:eastAsia="宋体" w:cs="宋体"/>
        </w:rPr>
      </w:pPr>
      <w:r>
        <w:rPr>
          <w:rFonts w:hint="eastAsia" w:ascii="宋体" w:hAnsi="宋体" w:eastAsia="宋体" w:cs="宋体"/>
        </w:rPr>
        <w:t>坚持短期激励与长远发展兼顾的原则。</w:t>
      </w:r>
    </w:p>
    <w:p w14:paraId="1886BB38">
      <w:pPr>
        <w:pStyle w:val="17"/>
        <w:numPr>
          <w:ilvl w:val="0"/>
          <w:numId w:val="1"/>
        </w:numPr>
        <w:spacing w:after="156" w:afterLines="50" w:line="300" w:lineRule="auto"/>
        <w:ind w:left="0" w:firstLine="420"/>
        <w:outlineLvl w:val="1"/>
        <w:rPr>
          <w:rFonts w:hint="eastAsia" w:ascii="宋体" w:hAnsi="宋体" w:eastAsia="宋体" w:cs="宋体"/>
        </w:rPr>
      </w:pPr>
      <w:r>
        <w:rPr>
          <w:rFonts w:hint="eastAsia" w:ascii="宋体" w:hAnsi="宋体" w:eastAsia="宋体" w:cs="宋体"/>
        </w:rPr>
        <w:t>董事、高级管理人员薪酬体系以市场薪酬水平为参考，以公司实际情况为依据，薪酬与绩效考核遵循以下原则：</w:t>
      </w:r>
    </w:p>
    <w:p w14:paraId="5EBFD380">
      <w:pPr>
        <w:pStyle w:val="17"/>
        <w:numPr>
          <w:ilvl w:val="0"/>
          <w:numId w:val="3"/>
        </w:numPr>
        <w:spacing w:after="156" w:afterLines="50" w:line="180" w:lineRule="auto"/>
        <w:rPr>
          <w:rFonts w:hint="eastAsia" w:ascii="宋体" w:hAnsi="宋体" w:eastAsia="宋体" w:cs="宋体"/>
        </w:rPr>
      </w:pPr>
      <w:r>
        <w:rPr>
          <w:rFonts w:hint="eastAsia" w:ascii="宋体" w:hAnsi="宋体" w:eastAsia="宋体" w:cs="宋体"/>
        </w:rPr>
        <w:t>责、权、利相统一原则：建立基于岗位、能力和绩效的薪酬体系，坚持效率优先，合理拉开薪酬差距，提升内部公平性，实行强激励硬约束，业绩先行薪酬匹配的绩效考核体系。</w:t>
      </w:r>
    </w:p>
    <w:p w14:paraId="01029EF6">
      <w:pPr>
        <w:pStyle w:val="17"/>
        <w:numPr>
          <w:ilvl w:val="0"/>
          <w:numId w:val="3"/>
        </w:numPr>
        <w:spacing w:after="156" w:afterLines="50" w:line="180" w:lineRule="auto"/>
        <w:rPr>
          <w:rFonts w:hint="eastAsia" w:ascii="宋体" w:hAnsi="宋体" w:eastAsia="宋体" w:cs="宋体"/>
        </w:rPr>
      </w:pPr>
      <w:r>
        <w:rPr>
          <w:rFonts w:hint="eastAsia" w:ascii="宋体" w:hAnsi="宋体" w:eastAsia="宋体" w:cs="宋体"/>
        </w:rPr>
        <w:t>业务导向原则：建立基于公司经营业绩、经营目标、个人绩效结果挂钩，建立考核层层落实、责任层层传递、目标层层分解、激励层层衔接的目标绩效考核管理机制，确保公司经营目标的实现。</w:t>
      </w:r>
    </w:p>
    <w:p w14:paraId="7505973E">
      <w:pPr>
        <w:pStyle w:val="17"/>
        <w:numPr>
          <w:ilvl w:val="0"/>
          <w:numId w:val="3"/>
        </w:numPr>
        <w:spacing w:after="156" w:afterLines="50" w:line="180" w:lineRule="auto"/>
        <w:rPr>
          <w:rFonts w:hint="eastAsia" w:ascii="宋体" w:hAnsi="宋体" w:eastAsia="宋体" w:cs="宋体"/>
        </w:rPr>
      </w:pPr>
      <w:r>
        <w:rPr>
          <w:rFonts w:hint="eastAsia" w:ascii="宋体" w:hAnsi="宋体" w:eastAsia="宋体" w:cs="宋体"/>
        </w:rPr>
        <w:t>战略导向原则：绩效考核以公司战略发展目标为基础，结合公司发展阶段的主要任务，以年度经营目标为核心，以关键重点任务为牵引，突出业务方向和关键任务事项，实行年度目标绩效考核，考核结果与过程评价相统一，引导公司长期发展与战略目标达成。</w:t>
      </w:r>
    </w:p>
    <w:p w14:paraId="20AA1AE2">
      <w:pPr>
        <w:pStyle w:val="17"/>
        <w:numPr>
          <w:ilvl w:val="0"/>
          <w:numId w:val="3"/>
        </w:numPr>
        <w:spacing w:after="156" w:afterLines="50" w:line="180" w:lineRule="auto"/>
        <w:rPr>
          <w:rFonts w:hint="eastAsia" w:ascii="宋体" w:hAnsi="宋体" w:eastAsia="宋体" w:cs="宋体"/>
        </w:rPr>
      </w:pPr>
      <w:r>
        <w:rPr>
          <w:rFonts w:hint="eastAsia" w:ascii="宋体" w:hAnsi="宋体" w:eastAsia="宋体" w:cs="宋体"/>
        </w:rPr>
        <w:t>市场导向原则：坚持市场化的激励约束导向，薪酬水平和薪资结构对标市场行业水平，保持公司薪酬的市场吸引力和竞争力，强调效率、效益。</w:t>
      </w:r>
    </w:p>
    <w:p w14:paraId="30D6435D">
      <w:pPr>
        <w:pStyle w:val="17"/>
        <w:numPr>
          <w:ilvl w:val="0"/>
          <w:numId w:val="1"/>
        </w:numPr>
        <w:spacing w:after="156" w:afterLines="50" w:line="300" w:lineRule="auto"/>
        <w:ind w:left="0" w:firstLine="420"/>
        <w:outlineLvl w:val="1"/>
        <w:rPr>
          <w:rFonts w:hint="eastAsia" w:ascii="宋体" w:hAnsi="宋体" w:eastAsia="宋体" w:cs="宋体"/>
        </w:rPr>
      </w:pPr>
      <w:r>
        <w:rPr>
          <w:rFonts w:hint="eastAsia" w:ascii="宋体" w:hAnsi="宋体" w:eastAsia="宋体" w:cs="宋体"/>
        </w:rPr>
        <w:t>根据国家政策、物价水平、行业及地区竞争状况、公司政策调整、发展战略变化、公司整体效益情况以及公司组织架构调整、职位、职责变化等，公司可对董事和高级管理人员的薪酬水平和薪酬结构实施调整。</w:t>
      </w:r>
    </w:p>
    <w:p w14:paraId="72FA2893">
      <w:pPr>
        <w:pStyle w:val="16"/>
        <w:spacing w:after="156" w:afterLines="50" w:line="300" w:lineRule="auto"/>
        <w:jc w:val="center"/>
        <w:outlineLvl w:val="0"/>
        <w:rPr>
          <w:rFonts w:hint="eastAsia" w:ascii="宋体" w:hAnsi="宋体" w:eastAsia="宋体" w:cs="宋体"/>
          <w:b/>
          <w:sz w:val="28"/>
          <w:szCs w:val="28"/>
        </w:rPr>
      </w:pPr>
      <w:r>
        <w:rPr>
          <w:rFonts w:hint="eastAsia" w:ascii="宋体" w:hAnsi="宋体" w:eastAsia="宋体" w:cs="宋体"/>
          <w:b/>
          <w:sz w:val="28"/>
          <w:szCs w:val="28"/>
        </w:rPr>
        <w:t>第二章 管理机构</w:t>
      </w:r>
    </w:p>
    <w:p w14:paraId="4AF3193F">
      <w:pPr>
        <w:pStyle w:val="17"/>
        <w:numPr>
          <w:ilvl w:val="0"/>
          <w:numId w:val="1"/>
        </w:numPr>
        <w:spacing w:after="156" w:afterLines="50" w:line="300" w:lineRule="auto"/>
        <w:ind w:left="0" w:firstLine="420"/>
        <w:outlineLvl w:val="1"/>
        <w:rPr>
          <w:rFonts w:hint="eastAsia" w:ascii="宋体" w:hAnsi="宋体" w:eastAsia="宋体" w:cs="宋体"/>
        </w:rPr>
      </w:pPr>
      <w:r>
        <w:rPr>
          <w:rFonts w:hint="eastAsia" w:ascii="宋体" w:hAnsi="宋体" w:eastAsia="宋体" w:cs="宋体"/>
        </w:rPr>
        <w:t>董事会是公司薪酬管理工作的领导机构。董事会下设薪酬与考核委员会，对董事会负责。</w:t>
      </w:r>
    </w:p>
    <w:p w14:paraId="035388FF">
      <w:pPr>
        <w:pStyle w:val="17"/>
        <w:numPr>
          <w:ilvl w:val="0"/>
          <w:numId w:val="1"/>
        </w:numPr>
        <w:spacing w:after="156" w:afterLines="50" w:line="300" w:lineRule="auto"/>
        <w:ind w:left="0" w:firstLine="480"/>
        <w:outlineLvl w:val="1"/>
        <w:rPr>
          <w:rFonts w:hint="eastAsia" w:ascii="宋体" w:hAnsi="宋体" w:eastAsia="宋体" w:cs="宋体"/>
        </w:rPr>
      </w:pPr>
      <w:r>
        <w:rPr>
          <w:rFonts w:hint="eastAsia" w:ascii="宋体" w:hAnsi="宋体" w:eastAsia="宋体" w:cs="宋体"/>
        </w:rPr>
        <w:t>董事会薪酬与考核委员会在董事会授权下，负责制定董事、高级管理人员的考核标准并进行考核；制定、审查董事、高级管理人员的薪酬决定机制、绩效考核、发放与止付追索安排等薪酬政策与方案，并就下列事项向董事会提出建议：</w:t>
      </w:r>
    </w:p>
    <w:p w14:paraId="26C846AE">
      <w:pPr>
        <w:pStyle w:val="17"/>
        <w:numPr>
          <w:ilvl w:val="0"/>
          <w:numId w:val="4"/>
        </w:numPr>
        <w:spacing w:after="156" w:afterLines="50" w:line="180" w:lineRule="auto"/>
        <w:rPr>
          <w:rFonts w:hint="eastAsia" w:ascii="宋体" w:hAnsi="宋体" w:eastAsia="宋体" w:cs="宋体"/>
        </w:rPr>
      </w:pPr>
      <w:r>
        <w:rPr>
          <w:rFonts w:hint="eastAsia" w:ascii="宋体" w:hAnsi="宋体" w:eastAsia="宋体" w:cs="宋体"/>
        </w:rPr>
        <w:t xml:space="preserve">董事、高级管理人员薪酬； </w:t>
      </w:r>
    </w:p>
    <w:p w14:paraId="24006184">
      <w:pPr>
        <w:pStyle w:val="17"/>
        <w:numPr>
          <w:ilvl w:val="0"/>
          <w:numId w:val="4"/>
        </w:numPr>
        <w:spacing w:after="156" w:afterLines="50" w:line="180" w:lineRule="auto"/>
        <w:rPr>
          <w:rFonts w:hint="eastAsia" w:ascii="宋体" w:hAnsi="宋体" w:eastAsia="宋体" w:cs="宋体"/>
        </w:rPr>
      </w:pPr>
      <w:r>
        <w:rPr>
          <w:rFonts w:hint="eastAsia" w:ascii="宋体" w:hAnsi="宋体" w:eastAsia="宋体" w:cs="宋体"/>
        </w:rPr>
        <w:t>制定或者变更股权激励计划、员工持股计划，激励对象获授利益、行使权益条件成就；</w:t>
      </w:r>
    </w:p>
    <w:p w14:paraId="4FBA58BA">
      <w:pPr>
        <w:pStyle w:val="17"/>
        <w:numPr>
          <w:ilvl w:val="0"/>
          <w:numId w:val="4"/>
        </w:numPr>
        <w:spacing w:after="156" w:afterLines="50" w:line="180" w:lineRule="auto"/>
        <w:rPr>
          <w:rFonts w:hint="eastAsia" w:ascii="宋体" w:hAnsi="宋体" w:eastAsia="宋体" w:cs="宋体"/>
        </w:rPr>
      </w:pPr>
      <w:r>
        <w:rPr>
          <w:rFonts w:hint="eastAsia" w:ascii="宋体" w:hAnsi="宋体" w:eastAsia="宋体" w:cs="宋体"/>
        </w:rPr>
        <w:t>董事、高级管理人员在拟分拆所属子公司安排持股计划；</w:t>
      </w:r>
    </w:p>
    <w:p w14:paraId="71F01D29">
      <w:pPr>
        <w:pStyle w:val="17"/>
        <w:numPr>
          <w:ilvl w:val="0"/>
          <w:numId w:val="4"/>
        </w:numPr>
        <w:spacing w:after="156" w:afterLines="50" w:line="180" w:lineRule="auto"/>
        <w:rPr>
          <w:rFonts w:hint="eastAsia" w:ascii="宋体" w:hAnsi="宋体" w:eastAsia="宋体" w:cs="宋体"/>
        </w:rPr>
      </w:pPr>
      <w:r>
        <w:rPr>
          <w:rFonts w:hint="eastAsia" w:ascii="宋体" w:hAnsi="宋体" w:eastAsia="宋体" w:cs="宋体"/>
        </w:rPr>
        <w:t>法律、行政法规、</w:t>
      </w:r>
      <w:r>
        <w:rPr>
          <w:rFonts w:hint="eastAsia" w:ascii="宋体" w:hAnsi="宋体" w:eastAsia="宋体" w:cs="宋体"/>
          <w:b/>
        </w:rPr>
        <w:t>深圳证券交易所</w:t>
      </w:r>
      <w:r>
        <w:rPr>
          <w:rFonts w:hint="eastAsia" w:ascii="宋体" w:hAnsi="宋体" w:eastAsia="宋体" w:cs="宋体"/>
        </w:rPr>
        <w:t>规定和《公司章程》规定的其他事项。</w:t>
      </w:r>
    </w:p>
    <w:p w14:paraId="4149C281">
      <w:pPr>
        <w:pStyle w:val="17"/>
        <w:numPr>
          <w:ilvl w:val="0"/>
          <w:numId w:val="1"/>
        </w:numPr>
        <w:spacing w:after="156" w:afterLines="50" w:line="300" w:lineRule="auto"/>
        <w:ind w:left="0" w:firstLine="420"/>
        <w:outlineLvl w:val="1"/>
        <w:rPr>
          <w:rFonts w:hint="eastAsia" w:ascii="宋体" w:hAnsi="宋体" w:eastAsia="宋体" w:cs="宋体"/>
        </w:rPr>
      </w:pPr>
      <w:r>
        <w:rPr>
          <w:rFonts w:hint="eastAsia" w:ascii="宋体" w:hAnsi="宋体" w:eastAsia="宋体" w:cs="宋体"/>
        </w:rPr>
        <w:t>董事薪酬方案由董事会薪酬与考核委员会提出，经董事会审议通过后，提交股东会批准，并予以披露。在董事会或者薪酬与考核委员会对个人进行评价或者充分讨论其报酬时，应当回避。</w:t>
      </w:r>
    </w:p>
    <w:p w14:paraId="5470C268">
      <w:pPr>
        <w:pStyle w:val="17"/>
        <w:numPr>
          <w:ilvl w:val="0"/>
          <w:numId w:val="1"/>
        </w:numPr>
        <w:spacing w:after="156" w:afterLines="50" w:line="300" w:lineRule="auto"/>
        <w:ind w:left="0" w:firstLine="420"/>
        <w:outlineLvl w:val="1"/>
        <w:rPr>
          <w:rFonts w:hint="eastAsia" w:ascii="宋体" w:hAnsi="宋体" w:eastAsia="宋体" w:cs="宋体"/>
        </w:rPr>
      </w:pPr>
      <w:r>
        <w:rPr>
          <w:rFonts w:hint="eastAsia" w:ascii="宋体" w:hAnsi="宋体" w:eastAsia="宋体" w:cs="宋体"/>
        </w:rPr>
        <w:t>高级管理人员薪酬方案由薪酬与考核委员会提出，经董事会批准，向股东会说明，并予以充分披露。</w:t>
      </w:r>
    </w:p>
    <w:p w14:paraId="2D7FC4C8">
      <w:pPr>
        <w:pStyle w:val="17"/>
        <w:numPr>
          <w:ilvl w:val="0"/>
          <w:numId w:val="1"/>
        </w:numPr>
        <w:spacing w:after="156" w:afterLines="50" w:line="300" w:lineRule="auto"/>
        <w:ind w:left="0" w:firstLine="420"/>
        <w:outlineLvl w:val="1"/>
        <w:rPr>
          <w:rFonts w:hint="eastAsia" w:ascii="宋体" w:hAnsi="宋体" w:eastAsia="宋体" w:cs="宋体"/>
        </w:rPr>
      </w:pPr>
      <w:r>
        <w:rPr>
          <w:rFonts w:hint="eastAsia" w:ascii="宋体" w:hAnsi="宋体" w:eastAsia="宋体" w:cs="宋体"/>
        </w:rPr>
        <w:t>公司人力资源部门、财务部门配合董事会薪酬与考核委员会进行公司高级管理人员薪酬绩效方案的具体实施。</w:t>
      </w:r>
    </w:p>
    <w:p w14:paraId="31EA1EDA">
      <w:pPr>
        <w:pStyle w:val="16"/>
        <w:spacing w:after="156" w:afterLines="50" w:line="300" w:lineRule="auto"/>
        <w:jc w:val="center"/>
        <w:outlineLvl w:val="0"/>
        <w:rPr>
          <w:rFonts w:hint="eastAsia" w:ascii="宋体" w:hAnsi="宋体" w:eastAsia="宋体" w:cs="宋体"/>
          <w:b/>
          <w:sz w:val="28"/>
          <w:szCs w:val="28"/>
        </w:rPr>
      </w:pPr>
      <w:r>
        <w:rPr>
          <w:rFonts w:hint="eastAsia" w:ascii="宋体" w:hAnsi="宋体" w:eastAsia="宋体" w:cs="宋体"/>
          <w:b/>
          <w:sz w:val="28"/>
          <w:szCs w:val="28"/>
        </w:rPr>
        <w:t>第三章 薪酬构成及绩效考核</w:t>
      </w:r>
    </w:p>
    <w:p w14:paraId="2DFB68BA">
      <w:pPr>
        <w:pStyle w:val="17"/>
        <w:numPr>
          <w:ilvl w:val="0"/>
          <w:numId w:val="1"/>
        </w:numPr>
        <w:spacing w:after="156" w:afterLines="50" w:line="300" w:lineRule="auto"/>
        <w:ind w:left="0" w:firstLine="420"/>
        <w:outlineLvl w:val="1"/>
        <w:rPr>
          <w:rFonts w:hint="eastAsia" w:ascii="宋体" w:hAnsi="宋体" w:eastAsia="宋体" w:cs="宋体"/>
        </w:rPr>
      </w:pPr>
      <w:r>
        <w:rPr>
          <w:rFonts w:hint="eastAsia" w:ascii="宋体" w:hAnsi="宋体" w:eastAsia="宋体" w:cs="宋体"/>
        </w:rPr>
        <w:t>非独立董事薪酬。</w:t>
      </w:r>
    </w:p>
    <w:p w14:paraId="7F5AB4C3">
      <w:pPr>
        <w:pStyle w:val="17"/>
        <w:spacing w:after="156" w:afterLines="50" w:line="180" w:lineRule="auto"/>
        <w:ind w:firstLine="480" w:firstLineChars="200"/>
        <w:rPr>
          <w:rFonts w:hint="eastAsia" w:ascii="宋体" w:hAnsi="宋体" w:eastAsia="宋体" w:cs="宋体"/>
        </w:rPr>
      </w:pPr>
      <w:r>
        <w:rPr>
          <w:rFonts w:hint="eastAsia" w:ascii="宋体" w:hAnsi="宋体" w:eastAsia="宋体" w:cs="宋体"/>
        </w:rPr>
        <w:t>（一）董事长作为担任公司法定代表人的非独立董事，若未兼任高级管理人员，按董事长身份领取董事薪酬，包括基本薪酬、绩效薪酬和中长期激励收入等组成，其中绩效；若兼任高级管理人员，按高级管理人员职务领取薪酬，不领取董事薪酬或津贴。</w:t>
      </w:r>
    </w:p>
    <w:p w14:paraId="01C73F76">
      <w:pPr>
        <w:pStyle w:val="17"/>
        <w:spacing w:after="156" w:afterLines="50" w:line="180" w:lineRule="auto"/>
        <w:ind w:firstLine="480" w:firstLineChars="200"/>
        <w:rPr>
          <w:rFonts w:hint="eastAsia" w:ascii="宋体" w:hAnsi="宋体" w:eastAsia="宋体" w:cs="宋体"/>
        </w:rPr>
      </w:pPr>
      <w:r>
        <w:rPr>
          <w:rFonts w:hint="eastAsia" w:ascii="宋体" w:hAnsi="宋体" w:eastAsia="宋体" w:cs="宋体"/>
        </w:rPr>
        <w:t>（二）在公司担任非高管职务的非独立董事实行年薪制，由基本薪酬和绩效薪酬组成，不单独领取董事津贴。其中，基本薪酬参考同行业薪酬水平，并结合其在公司任职的职务职级、岗位职责、个人能力、市场水平等因素综合确定，按月发放；绩效薪酬以公司年度目标绩效完成情况和董事个人绩效考核结果确定。</w:t>
      </w:r>
    </w:p>
    <w:p w14:paraId="4F6993F3">
      <w:pPr>
        <w:pStyle w:val="17"/>
        <w:spacing w:after="156" w:afterLines="50" w:line="180" w:lineRule="auto"/>
        <w:ind w:firstLine="480" w:firstLineChars="200"/>
        <w:rPr>
          <w:rFonts w:hint="eastAsia" w:ascii="宋体" w:hAnsi="宋体" w:eastAsia="宋体" w:cs="宋体"/>
        </w:rPr>
      </w:pPr>
      <w:r>
        <w:rPr>
          <w:rFonts w:hint="eastAsia" w:ascii="宋体" w:hAnsi="宋体" w:eastAsia="宋体" w:cs="宋体"/>
        </w:rPr>
        <w:t>绩效年薪占比原则上不低于基本薪酬与绩效薪酬总额的百分之五十，具体比例由薪酬与考核委员会确定后，报董事会审议通过。</w:t>
      </w:r>
    </w:p>
    <w:p w14:paraId="5078526D">
      <w:pPr>
        <w:pStyle w:val="17"/>
        <w:spacing w:after="156" w:afterLines="50" w:line="180" w:lineRule="auto"/>
        <w:ind w:firstLine="480" w:firstLineChars="200"/>
        <w:rPr>
          <w:rFonts w:hint="eastAsia" w:ascii="宋体" w:hAnsi="宋体" w:eastAsia="宋体" w:cs="宋体"/>
        </w:rPr>
      </w:pPr>
      <w:r>
        <w:rPr>
          <w:rFonts w:hint="eastAsia" w:ascii="宋体" w:hAnsi="宋体" w:eastAsia="宋体" w:cs="宋体"/>
        </w:rPr>
        <w:t>（三）未在公司担任除董事以外的非独立董事，领取董事津贴。津贴标准经董事会、股东会审议后，按月发放，除此之外不再领取其他薪酬，不参与公司薪酬绩效考核；履职发生的合理费用由公司承担。</w:t>
      </w:r>
    </w:p>
    <w:p w14:paraId="3B91671E">
      <w:pPr>
        <w:pStyle w:val="17"/>
        <w:numPr>
          <w:ilvl w:val="0"/>
          <w:numId w:val="1"/>
        </w:numPr>
        <w:spacing w:after="156" w:afterLines="50" w:line="300" w:lineRule="auto"/>
        <w:ind w:left="0" w:firstLine="420"/>
        <w:outlineLvl w:val="1"/>
        <w:rPr>
          <w:rFonts w:hint="eastAsia" w:ascii="宋体" w:hAnsi="宋体" w:eastAsia="宋体" w:cs="宋体"/>
        </w:rPr>
      </w:pPr>
      <w:r>
        <w:rPr>
          <w:rFonts w:hint="eastAsia" w:ascii="宋体" w:hAnsi="宋体" w:eastAsia="宋体" w:cs="宋体"/>
        </w:rPr>
        <w:t>独立董事薪酬。</w:t>
      </w:r>
    </w:p>
    <w:p w14:paraId="1FF59DD5">
      <w:pPr>
        <w:pStyle w:val="17"/>
        <w:spacing w:after="156" w:afterLines="50" w:line="180" w:lineRule="auto"/>
        <w:ind w:firstLine="480" w:firstLineChars="200"/>
        <w:rPr>
          <w:rFonts w:hint="eastAsia" w:ascii="宋体" w:hAnsi="宋体" w:eastAsia="宋体" w:cs="宋体"/>
        </w:rPr>
      </w:pPr>
      <w:r>
        <w:rPr>
          <w:rFonts w:hint="eastAsia" w:ascii="宋体" w:hAnsi="宋体" w:eastAsia="宋体" w:cs="宋体"/>
        </w:rPr>
        <w:t>独立董事在公司领取独立董事津贴。津贴标准经董事会、股东会审议后，按月发放，除此之外不在公司领取其他津贴，不参与公司薪酬绩效考核；履职发生的合理费用由公司承担。</w:t>
      </w:r>
    </w:p>
    <w:p w14:paraId="5C98E92B">
      <w:pPr>
        <w:pStyle w:val="17"/>
        <w:numPr>
          <w:ilvl w:val="0"/>
          <w:numId w:val="1"/>
        </w:numPr>
        <w:spacing w:after="156" w:afterLines="50" w:line="300" w:lineRule="auto"/>
        <w:ind w:left="0" w:firstLine="420"/>
        <w:outlineLvl w:val="1"/>
        <w:rPr>
          <w:rFonts w:hint="eastAsia" w:ascii="宋体" w:hAnsi="宋体" w:eastAsia="宋体" w:cs="宋体"/>
        </w:rPr>
      </w:pPr>
      <w:r>
        <w:rPr>
          <w:rFonts w:hint="eastAsia" w:ascii="宋体" w:hAnsi="宋体" w:eastAsia="宋体" w:cs="宋体"/>
        </w:rPr>
        <w:t>高级管理人员薪酬。</w:t>
      </w:r>
    </w:p>
    <w:p w14:paraId="70F514FB">
      <w:pPr>
        <w:pStyle w:val="17"/>
        <w:spacing w:after="156" w:afterLines="50" w:line="180" w:lineRule="auto"/>
        <w:ind w:firstLine="480" w:firstLineChars="200"/>
        <w:rPr>
          <w:rFonts w:hint="eastAsia" w:ascii="宋体" w:hAnsi="宋体" w:eastAsia="宋体" w:cs="宋体"/>
        </w:rPr>
      </w:pPr>
      <w:r>
        <w:rPr>
          <w:rFonts w:hint="eastAsia" w:ascii="宋体" w:hAnsi="宋体" w:eastAsia="宋体" w:cs="宋体"/>
        </w:rPr>
        <w:t>公司高级管理人员实行年薪制，由基本薪酬和绩效薪酬组成。</w:t>
      </w:r>
    </w:p>
    <w:p w14:paraId="5249601A">
      <w:pPr>
        <w:pStyle w:val="17"/>
        <w:spacing w:after="156" w:afterLines="50" w:line="180" w:lineRule="auto"/>
        <w:ind w:firstLine="480" w:firstLineChars="200"/>
        <w:rPr>
          <w:rFonts w:hint="eastAsia" w:ascii="宋体" w:hAnsi="宋体" w:eastAsia="宋体" w:cs="宋体"/>
        </w:rPr>
      </w:pPr>
      <w:r>
        <w:rPr>
          <w:rFonts w:hint="eastAsia" w:ascii="宋体" w:hAnsi="宋体" w:eastAsia="宋体" w:cs="宋体"/>
        </w:rPr>
        <w:t>公司根据高管人员的岗位职责、任职资格、工作强度和市场薪资行情等因素综合确定高级管理人员的薪酬级别。</w:t>
      </w:r>
    </w:p>
    <w:p w14:paraId="4C0C6025">
      <w:pPr>
        <w:pStyle w:val="17"/>
        <w:spacing w:after="156" w:afterLines="50" w:line="180" w:lineRule="auto"/>
        <w:ind w:firstLine="480" w:firstLineChars="200"/>
        <w:rPr>
          <w:rFonts w:hint="eastAsia" w:ascii="宋体" w:hAnsi="宋体" w:eastAsia="宋体" w:cs="宋体"/>
        </w:rPr>
      </w:pPr>
      <w:r>
        <w:rPr>
          <w:rFonts w:hint="eastAsia" w:ascii="宋体" w:hAnsi="宋体" w:eastAsia="宋体" w:cs="宋体"/>
        </w:rPr>
        <w:t>基本薪酬系结合行业薪酬水平、岗位职责和履职情况确定年薪固定部分，按月发放；绩效薪酬系以公司年度经营指标完成情况、高级管理人员个人绩效及其他指标考核结果确定，并在考核完成后发放。</w:t>
      </w:r>
    </w:p>
    <w:p w14:paraId="1ACBAEB1">
      <w:pPr>
        <w:pStyle w:val="17"/>
        <w:spacing w:after="156" w:afterLines="50" w:line="180" w:lineRule="auto"/>
        <w:ind w:firstLine="480" w:firstLineChars="200"/>
        <w:rPr>
          <w:rFonts w:hint="eastAsia" w:ascii="宋体" w:hAnsi="宋体" w:eastAsia="宋体" w:cs="宋体"/>
        </w:rPr>
      </w:pPr>
      <w:r>
        <w:rPr>
          <w:rFonts w:hint="eastAsia" w:ascii="宋体" w:hAnsi="宋体" w:eastAsia="宋体" w:cs="宋体"/>
        </w:rPr>
        <w:t>绩效年薪占比原则上不低于基本薪酬与绩效薪酬总额的百分之五十，具体比例由薪酬与考核委员会确定后，报董事会审议通过后实施。</w:t>
      </w:r>
    </w:p>
    <w:p w14:paraId="23F57213">
      <w:pPr>
        <w:pStyle w:val="17"/>
        <w:numPr>
          <w:ilvl w:val="0"/>
          <w:numId w:val="1"/>
        </w:numPr>
        <w:spacing w:after="156" w:afterLines="50" w:line="300" w:lineRule="auto"/>
        <w:ind w:left="0" w:firstLine="420"/>
        <w:outlineLvl w:val="1"/>
        <w:rPr>
          <w:rFonts w:hint="eastAsia" w:ascii="宋体" w:hAnsi="宋体" w:eastAsia="宋体" w:cs="宋体"/>
        </w:rPr>
      </w:pPr>
      <w:r>
        <w:rPr>
          <w:rFonts w:hint="eastAsia" w:ascii="宋体" w:hAnsi="宋体" w:eastAsia="宋体" w:cs="宋体"/>
        </w:rPr>
        <w:t>中长期激励收入</w:t>
      </w:r>
    </w:p>
    <w:p w14:paraId="26D8A357">
      <w:pPr>
        <w:pStyle w:val="17"/>
        <w:spacing w:after="156" w:afterLines="50" w:line="180" w:lineRule="auto"/>
        <w:ind w:firstLine="480" w:firstLineChars="200"/>
        <w:rPr>
          <w:rFonts w:hint="eastAsia" w:ascii="宋体" w:hAnsi="宋体" w:eastAsia="宋体" w:cs="宋体"/>
        </w:rPr>
      </w:pPr>
      <w:r>
        <w:rPr>
          <w:rFonts w:hint="eastAsia" w:ascii="宋体" w:hAnsi="宋体" w:eastAsia="宋体" w:cs="宋体"/>
        </w:rPr>
        <w:t>公司可以根据发展需要，依据经营情况和相关政策组织实施中长期激励，包括股票期权、限制性股票、员工持股计划等，并以公司业绩目标、个人绩效与履职评价结果作为确立激励人员中长期激励收入的重要依据。</w:t>
      </w:r>
    </w:p>
    <w:p w14:paraId="29C0240F">
      <w:pPr>
        <w:pStyle w:val="16"/>
        <w:spacing w:after="156" w:afterLines="50" w:line="300" w:lineRule="auto"/>
        <w:jc w:val="center"/>
        <w:outlineLvl w:val="0"/>
        <w:rPr>
          <w:rFonts w:hint="eastAsia" w:ascii="宋体" w:hAnsi="宋体" w:eastAsia="宋体" w:cs="宋体"/>
          <w:b/>
          <w:sz w:val="28"/>
          <w:szCs w:val="28"/>
        </w:rPr>
      </w:pPr>
      <w:r>
        <w:rPr>
          <w:rFonts w:hint="eastAsia" w:ascii="宋体" w:hAnsi="宋体" w:eastAsia="宋体" w:cs="宋体"/>
          <w:b/>
          <w:sz w:val="28"/>
          <w:szCs w:val="28"/>
        </w:rPr>
        <w:t>第四章 薪酬调整</w:t>
      </w:r>
    </w:p>
    <w:p w14:paraId="0088AB63">
      <w:pPr>
        <w:pStyle w:val="17"/>
        <w:numPr>
          <w:ilvl w:val="0"/>
          <w:numId w:val="1"/>
        </w:numPr>
        <w:spacing w:after="156" w:afterLines="50" w:line="300" w:lineRule="auto"/>
        <w:ind w:left="0" w:firstLine="420"/>
        <w:outlineLvl w:val="1"/>
        <w:rPr>
          <w:rFonts w:hint="eastAsia" w:ascii="宋体" w:hAnsi="宋体" w:eastAsia="宋体" w:cs="宋体"/>
        </w:rPr>
      </w:pPr>
      <w:r>
        <w:rPr>
          <w:rFonts w:hint="eastAsia" w:ascii="宋体" w:hAnsi="宋体" w:eastAsia="宋体" w:cs="宋体"/>
        </w:rPr>
        <w:t>薪酬标准应为公司的经营战略服务，并随着经营状况的不断变化而作相应的调整以适应公司进一步发展的需要。</w:t>
      </w:r>
    </w:p>
    <w:p w14:paraId="28C232CF">
      <w:pPr>
        <w:pStyle w:val="17"/>
        <w:numPr>
          <w:ilvl w:val="0"/>
          <w:numId w:val="1"/>
        </w:numPr>
        <w:spacing w:after="156" w:afterLines="50" w:line="300" w:lineRule="auto"/>
        <w:ind w:left="0" w:firstLine="420"/>
        <w:outlineLvl w:val="1"/>
        <w:rPr>
          <w:rFonts w:hint="eastAsia" w:ascii="宋体" w:hAnsi="宋体" w:eastAsia="宋体" w:cs="宋体"/>
        </w:rPr>
      </w:pPr>
      <w:r>
        <w:rPr>
          <w:rFonts w:hint="eastAsia" w:ascii="宋体" w:hAnsi="宋体" w:eastAsia="宋体" w:cs="宋体"/>
        </w:rPr>
        <w:t>董事、高级管理人员的薪酬调整依据为：</w:t>
      </w:r>
    </w:p>
    <w:p w14:paraId="41FF440C">
      <w:pPr>
        <w:pStyle w:val="17"/>
        <w:numPr>
          <w:ilvl w:val="1"/>
          <w:numId w:val="5"/>
        </w:numPr>
        <w:spacing w:after="156" w:afterLines="50" w:line="180" w:lineRule="auto"/>
        <w:ind w:left="0" w:firstLine="480" w:firstLineChars="200"/>
        <w:rPr>
          <w:rFonts w:hint="eastAsia" w:ascii="宋体" w:hAnsi="宋体" w:eastAsia="宋体" w:cs="宋体"/>
        </w:rPr>
      </w:pPr>
      <w:r>
        <w:rPr>
          <w:rFonts w:hint="eastAsia" w:ascii="宋体" w:hAnsi="宋体" w:eastAsia="宋体" w:cs="宋体"/>
        </w:rPr>
        <w:t>公司盈利状况；</w:t>
      </w:r>
    </w:p>
    <w:p w14:paraId="5973DF8D">
      <w:pPr>
        <w:pStyle w:val="17"/>
        <w:numPr>
          <w:ilvl w:val="1"/>
          <w:numId w:val="5"/>
        </w:numPr>
        <w:spacing w:after="156" w:afterLines="50" w:line="180" w:lineRule="auto"/>
        <w:ind w:left="0" w:firstLine="480" w:firstLineChars="200"/>
        <w:rPr>
          <w:rFonts w:hint="eastAsia" w:ascii="宋体" w:hAnsi="宋体" w:eastAsia="宋体" w:cs="宋体"/>
        </w:rPr>
      </w:pPr>
      <w:r>
        <w:rPr>
          <w:rFonts w:hint="eastAsia" w:ascii="宋体" w:hAnsi="宋体" w:eastAsia="宋体" w:cs="宋体"/>
        </w:rPr>
        <w:t>个人绩效：包括但不限于高级管理人员在战略规划、经营管理、风险控制、团队建设等方面的表现，以及个人对公司业务的贡献程度。</w:t>
      </w:r>
    </w:p>
    <w:p w14:paraId="02BB474F">
      <w:pPr>
        <w:pStyle w:val="17"/>
        <w:numPr>
          <w:ilvl w:val="1"/>
          <w:numId w:val="5"/>
        </w:numPr>
        <w:spacing w:after="156" w:afterLines="50" w:line="180" w:lineRule="auto"/>
        <w:ind w:left="0" w:firstLine="480" w:firstLineChars="200"/>
        <w:rPr>
          <w:rFonts w:hint="eastAsia" w:ascii="宋体" w:hAnsi="宋体" w:eastAsia="宋体" w:cs="宋体"/>
        </w:rPr>
      </w:pPr>
      <w:r>
        <w:rPr>
          <w:rFonts w:hint="eastAsia" w:ascii="宋体" w:hAnsi="宋体" w:eastAsia="宋体" w:cs="宋体"/>
        </w:rPr>
        <w:t>薪酬竞争力：定期通过市场薪酬报告或公开的薪酬数据，收集同行业的薪酬数据，并进行汇总分析，作为公司薪酬调整的参考依据。</w:t>
      </w:r>
    </w:p>
    <w:p w14:paraId="67833309">
      <w:pPr>
        <w:pStyle w:val="17"/>
        <w:numPr>
          <w:ilvl w:val="1"/>
          <w:numId w:val="5"/>
        </w:numPr>
        <w:spacing w:after="156" w:afterLines="50" w:line="180" w:lineRule="auto"/>
        <w:ind w:left="0" w:firstLine="480" w:firstLineChars="200"/>
        <w:rPr>
          <w:rFonts w:hint="eastAsia" w:ascii="宋体" w:hAnsi="宋体" w:eastAsia="宋体" w:cs="宋体"/>
        </w:rPr>
      </w:pPr>
      <w:r>
        <w:rPr>
          <w:rFonts w:hint="eastAsia" w:ascii="宋体" w:hAnsi="宋体" w:eastAsia="宋体" w:cs="宋体"/>
        </w:rPr>
        <w:t>岗位发生变动的个别调整；</w:t>
      </w:r>
    </w:p>
    <w:p w14:paraId="23E5304C">
      <w:pPr>
        <w:pStyle w:val="17"/>
        <w:numPr>
          <w:ilvl w:val="1"/>
          <w:numId w:val="5"/>
        </w:numPr>
        <w:spacing w:after="156" w:afterLines="50" w:line="180" w:lineRule="auto"/>
        <w:ind w:left="0" w:firstLine="480" w:firstLineChars="200"/>
        <w:rPr>
          <w:rFonts w:hint="eastAsia" w:ascii="宋体" w:hAnsi="宋体" w:eastAsia="宋体" w:cs="宋体"/>
        </w:rPr>
      </w:pPr>
      <w:r>
        <w:rPr>
          <w:rFonts w:hint="eastAsia" w:ascii="宋体" w:hAnsi="宋体" w:eastAsia="宋体" w:cs="宋体"/>
        </w:rPr>
        <w:t>激励政策变动。</w:t>
      </w:r>
    </w:p>
    <w:p w14:paraId="6C46D1CD">
      <w:pPr>
        <w:pStyle w:val="17"/>
        <w:numPr>
          <w:ilvl w:val="0"/>
          <w:numId w:val="1"/>
        </w:numPr>
        <w:spacing w:after="156" w:afterLines="50" w:line="300" w:lineRule="auto"/>
        <w:ind w:left="0" w:firstLine="420"/>
        <w:outlineLvl w:val="1"/>
        <w:rPr>
          <w:rFonts w:hint="eastAsia" w:ascii="宋体" w:hAnsi="宋体" w:eastAsia="宋体" w:cs="宋体"/>
        </w:rPr>
      </w:pPr>
      <w:r>
        <w:rPr>
          <w:rFonts w:hint="eastAsia" w:ascii="宋体" w:hAnsi="宋体" w:eastAsia="宋体" w:cs="宋体"/>
        </w:rPr>
        <w:t>薪酬与考核委员会根据公司经营目标完成情况、高管业绩贡献及岗位职责范围和重要性，以及下一年度战略部署和规划等，制定高管薪酬调整方案，经董事会审议批准后执行。原则上每年述职考核后，根据公司业绩和高管履职情况对高管的薪酬进行重新审定。</w:t>
      </w:r>
    </w:p>
    <w:p w14:paraId="6026B469">
      <w:pPr>
        <w:pStyle w:val="17"/>
        <w:numPr>
          <w:ilvl w:val="0"/>
          <w:numId w:val="1"/>
        </w:numPr>
        <w:spacing w:after="156" w:afterLines="50" w:line="300" w:lineRule="auto"/>
        <w:ind w:left="0" w:firstLine="420"/>
        <w:outlineLvl w:val="1"/>
        <w:rPr>
          <w:rFonts w:hint="eastAsia" w:ascii="宋体" w:hAnsi="宋体" w:eastAsia="宋体" w:cs="宋体"/>
        </w:rPr>
      </w:pPr>
      <w:r>
        <w:rPr>
          <w:rFonts w:hint="eastAsia" w:ascii="宋体" w:hAnsi="宋体" w:eastAsia="宋体" w:cs="宋体"/>
        </w:rPr>
        <w:t>经董事会薪酬与考核委员会提议，并经董事会审批，可临时性为特别事项设立专项奖励或惩罚，作为对任职董事、高管薪酬的补充。</w:t>
      </w:r>
    </w:p>
    <w:p w14:paraId="2C5EFCC8">
      <w:pPr>
        <w:pStyle w:val="16"/>
        <w:spacing w:after="156" w:afterLines="50" w:line="300" w:lineRule="auto"/>
        <w:jc w:val="center"/>
        <w:outlineLvl w:val="0"/>
        <w:rPr>
          <w:rFonts w:hint="eastAsia" w:ascii="宋体" w:hAnsi="宋体" w:eastAsia="宋体" w:cs="宋体"/>
          <w:b/>
          <w:sz w:val="28"/>
          <w:szCs w:val="28"/>
        </w:rPr>
      </w:pPr>
      <w:r>
        <w:rPr>
          <w:rFonts w:hint="eastAsia" w:ascii="宋体" w:hAnsi="宋体" w:eastAsia="宋体" w:cs="宋体"/>
          <w:b/>
          <w:sz w:val="28"/>
          <w:szCs w:val="28"/>
        </w:rPr>
        <w:t>第五章 薪酬发放与止付追索机制</w:t>
      </w:r>
    </w:p>
    <w:p w14:paraId="3042BE7B">
      <w:pPr>
        <w:pStyle w:val="17"/>
        <w:numPr>
          <w:ilvl w:val="0"/>
          <w:numId w:val="1"/>
        </w:numPr>
        <w:spacing w:after="156" w:afterLines="50" w:line="300" w:lineRule="auto"/>
        <w:ind w:left="0" w:firstLine="420"/>
        <w:outlineLvl w:val="1"/>
        <w:rPr>
          <w:rFonts w:hint="eastAsia" w:ascii="宋体" w:hAnsi="宋体" w:eastAsia="宋体" w:cs="宋体"/>
        </w:rPr>
      </w:pPr>
      <w:r>
        <w:rPr>
          <w:rFonts w:hint="eastAsia" w:ascii="宋体" w:hAnsi="宋体" w:eastAsia="宋体" w:cs="宋体"/>
        </w:rPr>
        <w:t>在公司领取薪酬的非独立董事、高级管理人员的基本薪酬按月发放，绩效薪酬根据年度考核结果发放，具体参照公司内部的薪酬发放制度执行。</w:t>
      </w:r>
    </w:p>
    <w:p w14:paraId="0941CA5C">
      <w:pPr>
        <w:pStyle w:val="14"/>
        <w:ind w:firstLine="480" w:firstLineChars="200"/>
        <w:rPr>
          <w:rFonts w:hint="eastAsia" w:ascii="宋体" w:hAnsi="宋体" w:eastAsia="宋体" w:cs="宋体"/>
          <w:color w:val="auto"/>
        </w:rPr>
      </w:pPr>
      <w:r>
        <w:rPr>
          <w:rFonts w:hint="eastAsia" w:ascii="宋体" w:hAnsi="宋体" w:eastAsia="宋体" w:cs="宋体"/>
          <w:color w:val="auto"/>
        </w:rPr>
        <w:t>不在公司领取薪酬的独立董事及未担任除董事以外的其他职务的非独立董事，其津贴于股东会通过起任职或薪酬决议之日起的次月按月发放。</w:t>
      </w:r>
    </w:p>
    <w:p w14:paraId="068BCBD9">
      <w:pPr>
        <w:pStyle w:val="17"/>
        <w:numPr>
          <w:ilvl w:val="0"/>
          <w:numId w:val="1"/>
        </w:numPr>
        <w:spacing w:after="156" w:afterLines="50" w:line="300" w:lineRule="auto"/>
        <w:ind w:left="0" w:firstLine="420"/>
        <w:outlineLvl w:val="1"/>
        <w:rPr>
          <w:rFonts w:hint="eastAsia" w:ascii="宋体" w:hAnsi="宋体" w:eastAsia="宋体" w:cs="宋体"/>
        </w:rPr>
      </w:pPr>
      <w:r>
        <w:rPr>
          <w:rFonts w:hint="eastAsia" w:ascii="宋体" w:hAnsi="宋体" w:eastAsia="宋体" w:cs="宋体"/>
        </w:rPr>
        <w:t>董事、高级管理人员的薪酬均为税前金额，公司将按照国家和公司的有关规定，代扣代缴个人所得税、各类社会保险费用及国家或公司规定的其他应由个人承担的款项后，剩余部分发放给个人。</w:t>
      </w:r>
    </w:p>
    <w:p w14:paraId="7DA23F0F">
      <w:pPr>
        <w:pStyle w:val="17"/>
        <w:spacing w:after="156" w:afterLines="50" w:line="180" w:lineRule="auto"/>
        <w:ind w:firstLine="480" w:firstLineChars="200"/>
        <w:rPr>
          <w:rFonts w:hint="eastAsia" w:ascii="宋体" w:hAnsi="宋体" w:eastAsia="宋体" w:cs="宋体"/>
        </w:rPr>
      </w:pPr>
      <w:r>
        <w:rPr>
          <w:rFonts w:hint="eastAsia" w:ascii="宋体" w:hAnsi="宋体" w:eastAsia="宋体" w:cs="宋体"/>
        </w:rPr>
        <w:t>董事、高级管理人员薪酬的发放按照公司内部的薪酬相关制度执行。</w:t>
      </w:r>
    </w:p>
    <w:p w14:paraId="2F92E6DF">
      <w:pPr>
        <w:pStyle w:val="17"/>
        <w:numPr>
          <w:ilvl w:val="0"/>
          <w:numId w:val="1"/>
        </w:numPr>
        <w:spacing w:after="156" w:afterLines="50" w:line="300" w:lineRule="auto"/>
        <w:ind w:left="0" w:firstLine="420"/>
        <w:outlineLvl w:val="1"/>
        <w:rPr>
          <w:rFonts w:hint="eastAsia" w:ascii="宋体" w:hAnsi="宋体" w:eastAsia="宋体" w:cs="宋体"/>
        </w:rPr>
      </w:pPr>
      <w:r>
        <w:rPr>
          <w:rFonts w:hint="eastAsia" w:ascii="宋体" w:hAnsi="宋体" w:eastAsia="宋体" w:cs="宋体"/>
        </w:rPr>
        <w:t>董事、高级管理人员在任职期间，发生下列任一情形的，公司可以根据实际情况减少发放或不再继续发放薪酬或津贴：</w:t>
      </w:r>
    </w:p>
    <w:p w14:paraId="7C94F3A6">
      <w:pPr>
        <w:pStyle w:val="17"/>
        <w:numPr>
          <w:ilvl w:val="0"/>
          <w:numId w:val="6"/>
        </w:numPr>
        <w:spacing w:after="156" w:afterLines="50" w:line="300" w:lineRule="auto"/>
        <w:rPr>
          <w:rFonts w:hint="eastAsia" w:ascii="宋体" w:hAnsi="宋体" w:eastAsia="宋体" w:cs="宋体"/>
        </w:rPr>
      </w:pPr>
      <w:r>
        <w:rPr>
          <w:rFonts w:hint="eastAsia" w:ascii="宋体" w:hAnsi="宋体" w:eastAsia="宋体" w:cs="宋体"/>
        </w:rPr>
        <w:t>被证券交易所公开</w:t>
      </w:r>
      <w:r>
        <w:rPr>
          <w:rFonts w:hint="eastAsia" w:ascii="宋体" w:hAnsi="宋体" w:eastAsia="宋体" w:cs="宋体"/>
          <w:lang w:eastAsia="zh-CN"/>
        </w:rPr>
        <w:t>谴责</w:t>
      </w:r>
      <w:r>
        <w:rPr>
          <w:rFonts w:hint="eastAsia" w:ascii="宋体" w:hAnsi="宋体" w:eastAsia="宋体" w:cs="宋体"/>
        </w:rPr>
        <w:t>或宣布为</w:t>
      </w:r>
      <w:r>
        <w:rPr>
          <w:rFonts w:hint="eastAsia" w:ascii="宋体" w:hAnsi="宋体" w:eastAsia="宋体" w:cs="宋体"/>
          <w:lang w:eastAsia="zh-CN"/>
        </w:rPr>
        <w:t>不</w:t>
      </w:r>
      <w:bookmarkStart w:id="6" w:name="_GoBack"/>
      <w:bookmarkEnd w:id="6"/>
      <w:r>
        <w:rPr>
          <w:rFonts w:hint="eastAsia" w:ascii="宋体" w:hAnsi="宋体" w:eastAsia="宋体" w:cs="宋体"/>
        </w:rPr>
        <w:t>适当人选的；</w:t>
      </w:r>
    </w:p>
    <w:p w14:paraId="2A4D9847">
      <w:pPr>
        <w:pStyle w:val="17"/>
        <w:numPr>
          <w:ilvl w:val="0"/>
          <w:numId w:val="6"/>
        </w:numPr>
        <w:spacing w:after="156" w:afterLines="50" w:line="300" w:lineRule="auto"/>
        <w:rPr>
          <w:rFonts w:hint="eastAsia" w:ascii="宋体" w:hAnsi="宋体" w:eastAsia="宋体" w:cs="宋体"/>
        </w:rPr>
      </w:pPr>
      <w:r>
        <w:rPr>
          <w:rFonts w:hint="eastAsia" w:ascii="宋体" w:hAnsi="宋体" w:eastAsia="宋体" w:cs="宋体"/>
        </w:rPr>
        <w:t>因重大违法违纪行为被中国证券监督管理委员会予以行政处罚的；</w:t>
      </w:r>
    </w:p>
    <w:p w14:paraId="5BD8DAFE">
      <w:pPr>
        <w:pStyle w:val="17"/>
        <w:numPr>
          <w:ilvl w:val="0"/>
          <w:numId w:val="6"/>
        </w:numPr>
        <w:spacing w:after="156" w:afterLines="50" w:line="300" w:lineRule="auto"/>
        <w:rPr>
          <w:rFonts w:hint="eastAsia" w:ascii="宋体" w:hAnsi="宋体" w:eastAsia="宋体" w:cs="宋体"/>
        </w:rPr>
      </w:pPr>
      <w:r>
        <w:rPr>
          <w:rFonts w:hint="eastAsia" w:ascii="宋体" w:hAnsi="宋体" w:eastAsia="宋体" w:cs="宋体"/>
        </w:rPr>
        <w:t>被有关部门依法依纪处理，情形严重的；</w:t>
      </w:r>
    </w:p>
    <w:p w14:paraId="3AA03490">
      <w:pPr>
        <w:pStyle w:val="17"/>
        <w:numPr>
          <w:ilvl w:val="0"/>
          <w:numId w:val="6"/>
        </w:numPr>
        <w:spacing w:after="156" w:afterLines="50" w:line="300" w:lineRule="auto"/>
        <w:rPr>
          <w:rFonts w:hint="eastAsia" w:ascii="宋体" w:hAnsi="宋体" w:eastAsia="宋体" w:cs="宋体"/>
        </w:rPr>
      </w:pPr>
      <w:r>
        <w:rPr>
          <w:rFonts w:hint="eastAsia" w:ascii="宋体" w:hAnsi="宋体" w:eastAsia="宋体" w:cs="宋体"/>
        </w:rPr>
        <w:t>严重损害公司利益或造成公司重大经济损失的；</w:t>
      </w:r>
    </w:p>
    <w:p w14:paraId="17E02617">
      <w:pPr>
        <w:pStyle w:val="17"/>
        <w:numPr>
          <w:ilvl w:val="0"/>
          <w:numId w:val="6"/>
        </w:numPr>
        <w:spacing w:after="156" w:afterLines="50" w:line="300" w:lineRule="auto"/>
        <w:rPr>
          <w:rFonts w:hint="eastAsia" w:ascii="宋体" w:hAnsi="宋体" w:eastAsia="宋体" w:cs="宋体"/>
        </w:rPr>
      </w:pPr>
      <w:r>
        <w:rPr>
          <w:rFonts w:hint="eastAsia" w:ascii="宋体" w:hAnsi="宋体" w:eastAsia="宋体" w:cs="宋体"/>
        </w:rPr>
        <w:t>公司会认定严重违反公司有关规定的其他情形。</w:t>
      </w:r>
    </w:p>
    <w:p w14:paraId="3161274F">
      <w:pPr>
        <w:pStyle w:val="17"/>
        <w:numPr>
          <w:ilvl w:val="0"/>
          <w:numId w:val="1"/>
        </w:numPr>
        <w:spacing w:after="156" w:afterLines="50" w:line="300" w:lineRule="auto"/>
        <w:ind w:left="0" w:firstLine="420"/>
        <w:outlineLvl w:val="1"/>
        <w:rPr>
          <w:rFonts w:hint="eastAsia" w:ascii="宋体" w:hAnsi="宋体" w:eastAsia="宋体" w:cs="宋体"/>
        </w:rPr>
      </w:pPr>
      <w:r>
        <w:rPr>
          <w:rFonts w:hint="eastAsia" w:ascii="宋体" w:hAnsi="宋体" w:eastAsia="宋体" w:cs="宋体"/>
        </w:rPr>
        <w:t>公司因财务造假等错报对财务报告进行追溯重述时，应当及时对董事、高级管理人员绩效薪酬和中长期激励收入予以重新考核并相应追回超额发放部分。</w:t>
      </w:r>
    </w:p>
    <w:p w14:paraId="4FB5131E">
      <w:pPr>
        <w:pStyle w:val="17"/>
        <w:numPr>
          <w:ilvl w:val="0"/>
          <w:numId w:val="1"/>
        </w:numPr>
        <w:spacing w:after="156" w:afterLines="50" w:line="300" w:lineRule="auto"/>
        <w:ind w:left="0" w:firstLine="420"/>
        <w:outlineLvl w:val="1"/>
        <w:rPr>
          <w:rFonts w:hint="eastAsia" w:ascii="宋体" w:hAnsi="宋体" w:eastAsia="宋体" w:cs="宋体"/>
        </w:rPr>
      </w:pPr>
      <w:r>
        <w:rPr>
          <w:rFonts w:hint="eastAsia" w:ascii="宋体" w:hAnsi="宋体" w:eastAsia="宋体" w:cs="宋体"/>
        </w:rPr>
        <w:t>公司董事、高级管理人员如在任职期间违法违规、违反职责义务，或者对违法违规行为负有过错的，公司应当根据情节轻重减少、停止支付未支付的绩效薪酬和中长期激励收入、津贴，并对相关行为发生期间已经支付的绩效薪酬和中长期激励收入、津贴进行全额或部分追回。</w:t>
      </w:r>
    </w:p>
    <w:p w14:paraId="6DBC773B">
      <w:pPr>
        <w:pStyle w:val="16"/>
        <w:spacing w:after="156" w:afterLines="50" w:line="300" w:lineRule="auto"/>
        <w:jc w:val="center"/>
        <w:outlineLvl w:val="0"/>
        <w:rPr>
          <w:rFonts w:hint="eastAsia" w:ascii="宋体" w:hAnsi="宋体" w:eastAsia="宋体" w:cs="宋体"/>
          <w:b/>
          <w:sz w:val="28"/>
          <w:szCs w:val="28"/>
        </w:rPr>
      </w:pPr>
      <w:bookmarkStart w:id="4" w:name="_Toc26581"/>
      <w:bookmarkStart w:id="5" w:name="_Toc25865"/>
      <w:r>
        <w:rPr>
          <w:rFonts w:hint="eastAsia" w:ascii="宋体" w:hAnsi="宋体" w:eastAsia="宋体" w:cs="宋体"/>
          <w:b/>
          <w:sz w:val="28"/>
          <w:szCs w:val="28"/>
        </w:rPr>
        <w:t>第六章  附则</w:t>
      </w:r>
      <w:bookmarkEnd w:id="4"/>
      <w:bookmarkEnd w:id="5"/>
    </w:p>
    <w:p w14:paraId="4F7DA7F2">
      <w:pPr>
        <w:pStyle w:val="17"/>
        <w:numPr>
          <w:ilvl w:val="0"/>
          <w:numId w:val="1"/>
        </w:numPr>
        <w:spacing w:after="156" w:afterLines="50" w:line="300" w:lineRule="auto"/>
        <w:ind w:left="0" w:firstLine="480"/>
        <w:outlineLvl w:val="1"/>
        <w:rPr>
          <w:rFonts w:hint="eastAsia" w:ascii="宋体" w:hAnsi="宋体" w:eastAsia="宋体" w:cs="宋体"/>
        </w:rPr>
      </w:pPr>
      <w:r>
        <w:rPr>
          <w:rFonts w:hint="eastAsia" w:ascii="宋体" w:hAnsi="宋体" w:eastAsia="宋体" w:cs="宋体"/>
        </w:rPr>
        <w:t>本制度未尽事宜或与法律、行政法规、部门规章、规范性文件及《公司章程》等规定不一致的，以法律、行政法规、部门规章、规范性文件及《公司章程》的规定为准。</w:t>
      </w:r>
    </w:p>
    <w:p w14:paraId="60D9A6A7">
      <w:pPr>
        <w:pStyle w:val="17"/>
        <w:numPr>
          <w:ilvl w:val="0"/>
          <w:numId w:val="1"/>
        </w:numPr>
        <w:spacing w:after="156" w:afterLines="50" w:line="300" w:lineRule="auto"/>
        <w:ind w:left="0" w:firstLine="480"/>
        <w:outlineLvl w:val="1"/>
        <w:rPr>
          <w:rFonts w:hint="eastAsia" w:ascii="宋体" w:hAnsi="宋体" w:eastAsia="宋体" w:cs="宋体"/>
        </w:rPr>
      </w:pPr>
      <w:r>
        <w:rPr>
          <w:rFonts w:hint="eastAsia" w:ascii="宋体" w:hAnsi="宋体" w:eastAsia="宋体" w:cs="宋体"/>
        </w:rPr>
        <w:t>本制度由董事会负责制定、解释和修订。董事会薪酬与考核委员会具体实施。</w:t>
      </w:r>
    </w:p>
    <w:p w14:paraId="12991ADC">
      <w:pPr>
        <w:pStyle w:val="17"/>
        <w:numPr>
          <w:ilvl w:val="0"/>
          <w:numId w:val="1"/>
        </w:numPr>
        <w:spacing w:after="156" w:afterLines="50" w:line="300" w:lineRule="auto"/>
        <w:ind w:left="0" w:firstLine="480"/>
        <w:outlineLvl w:val="1"/>
        <w:rPr>
          <w:rFonts w:hint="eastAsia" w:ascii="宋体" w:hAnsi="宋体" w:eastAsia="宋体" w:cs="宋体"/>
        </w:rPr>
      </w:pPr>
      <w:r>
        <w:rPr>
          <w:rFonts w:hint="eastAsia" w:ascii="宋体" w:hAnsi="宋体" w:eastAsia="宋体" w:cs="宋体"/>
        </w:rPr>
        <w:t>本制度自股东会通过之日起生效实施，修订亦同。</w:t>
      </w:r>
    </w:p>
    <w:p w14:paraId="52A13237">
      <w:pPr>
        <w:pStyle w:val="14"/>
        <w:spacing w:after="156" w:afterLines="50" w:line="300" w:lineRule="auto"/>
        <w:ind w:firstLine="482" w:firstLineChars="200"/>
        <w:jc w:val="right"/>
        <w:rPr>
          <w:rFonts w:hint="eastAsia" w:ascii="宋体" w:hAnsi="宋体" w:eastAsia="宋体" w:cs="宋体"/>
          <w:b/>
          <w:snapToGrid w:val="0"/>
          <w:color w:val="auto"/>
        </w:rPr>
      </w:pPr>
      <w:r>
        <w:rPr>
          <w:rFonts w:hint="eastAsia" w:ascii="宋体" w:hAnsi="宋体" w:eastAsia="宋体" w:cs="宋体"/>
          <w:b/>
          <w:snapToGrid w:val="0"/>
          <w:color w:val="auto"/>
        </w:rPr>
        <w:t>广东天亿马信息产业股份有限公司</w:t>
      </w:r>
    </w:p>
    <w:p w14:paraId="244F3338">
      <w:pPr>
        <w:pStyle w:val="14"/>
        <w:spacing w:after="156" w:afterLines="50" w:line="300" w:lineRule="auto"/>
        <w:ind w:firstLine="482" w:firstLineChars="200"/>
        <w:jc w:val="right"/>
        <w:rPr>
          <w:rFonts w:hint="eastAsia" w:ascii="宋体" w:hAnsi="宋体" w:eastAsia="宋体" w:cs="宋体"/>
          <w:b/>
          <w:color w:val="auto"/>
        </w:rPr>
      </w:pPr>
      <w:r>
        <w:rPr>
          <w:rFonts w:hint="eastAsia" w:ascii="宋体" w:hAnsi="宋体" w:eastAsia="宋体" w:cs="宋体"/>
          <w:b/>
          <w:snapToGrid w:val="0"/>
          <w:color w:val="auto"/>
        </w:rPr>
        <w:t>二〇二六年六月</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panose1 w:val="02010601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Arial Black">
    <w:panose1 w:val="020B0A0402010202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53237787"/>
    </w:sdtPr>
    <w:sdtContent>
      <w:sdt>
        <w:sdtPr>
          <w:id w:val="162442320"/>
        </w:sdtPr>
        <w:sdtContent>
          <w:p w14:paraId="17668EAE">
            <w:pPr>
              <w:pStyle w:val="5"/>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sdtContent>
      </w:sdt>
    </w:sdtContent>
  </w:sdt>
  <w:p w14:paraId="3D6752E2">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752E3">
    <w:pPr>
      <w:pStyle w:val="3"/>
      <w:spacing w:line="14" w:lineRule="auto"/>
      <w:rPr>
        <w:sz w:val="20"/>
      </w:rPr>
    </w:pPr>
    <w:r>
      <mc:AlternateContent>
        <mc:Choice Requires="wps">
          <w:drawing>
            <wp:anchor distT="0" distB="0" distL="114300" distR="114300" simplePos="0" relativeHeight="251661312" behindDoc="1" locked="0" layoutInCell="1" allowOverlap="1">
              <wp:simplePos x="0" y="0"/>
              <wp:positionH relativeFrom="page">
                <wp:posOffset>4069715</wp:posOffset>
              </wp:positionH>
              <wp:positionV relativeFrom="page">
                <wp:posOffset>544195</wp:posOffset>
              </wp:positionV>
              <wp:extent cx="2288540" cy="1905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2288540" cy="190500"/>
                      </a:xfrm>
                      <a:prstGeom prst="rect">
                        <a:avLst/>
                      </a:prstGeom>
                      <a:noFill/>
                      <a:ln>
                        <a:noFill/>
                      </a:ln>
                    </wps:spPr>
                    <wps:txbx>
                      <w:txbxContent>
                        <w:p w14:paraId="55B8DFC6">
                          <w:pPr>
                            <w:jc w:val="right"/>
                            <w:rPr>
                              <w:sz w:val="18"/>
                            </w:rPr>
                          </w:pPr>
                          <w:r>
                            <w:rPr>
                              <w:rFonts w:hint="eastAsia"/>
                              <w:sz w:val="18"/>
                            </w:rPr>
                            <w:t>股票</w:t>
                          </w:r>
                          <w:r>
                            <w:rPr>
                              <w:sz w:val="18"/>
                            </w:rPr>
                            <w:t>代</w:t>
                          </w:r>
                          <w:r>
                            <w:rPr>
                              <w:rFonts w:hint="eastAsia"/>
                              <w:sz w:val="18"/>
                            </w:rPr>
                            <w:t>码</w:t>
                          </w:r>
                          <w:r>
                            <w:rPr>
                              <w:sz w:val="18"/>
                            </w:rPr>
                            <w:t>：</w:t>
                          </w:r>
                          <w:r>
                            <w:rPr>
                              <w:rFonts w:hint="eastAsia"/>
                              <w:sz w:val="18"/>
                            </w:rPr>
                            <w:t>301178</w:t>
                          </w:r>
                        </w:p>
                      </w:txbxContent>
                    </wps:txbx>
                    <wps:bodyPr lIns="0" tIns="0" rIns="0" bIns="0" upright="1"/>
                  </wps:wsp>
                </a:graphicData>
              </a:graphic>
            </wp:anchor>
          </w:drawing>
        </mc:Choice>
        <mc:Fallback>
          <w:pict>
            <v:shape id="_x0000_s1026" o:spid="_x0000_s1026" o:spt="202" type="#_x0000_t202" style="position:absolute;left:0pt;margin-left:320.45pt;margin-top:42.85pt;height:15pt;width:180.2pt;mso-position-horizontal-relative:page;mso-position-vertical-relative:page;z-index:-251655168;mso-width-relative:page;mso-height-relative:page;" filled="f" stroked="f" coordsize="21600,21600" o:gfxdata="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a8V/b2QAAAAsBAAAPAAAAAAAAAAEAIAAAACIAAABkcnMvZG93bnJldi54bWxQSwEC&#10;FAAUAAAACACHTuJATUFRPboBAAB0AwAADgAAAAAAAAABACAAAAAoAQAAZHJzL2Uyb0RvYy54bWxQ&#10;SwUGAAAAAAYABgBZAQAAVAUAAAAA&#10;">
              <v:fill on="f" focussize="0,0"/>
              <v:stroke on="f"/>
              <v:imagedata o:title=""/>
              <o:lock v:ext="edit" aspectratio="f"/>
              <v:textbox inset="0mm,0mm,0mm,0mm">
                <w:txbxContent>
                  <w:p w14:paraId="55B8DFC6">
                    <w:pPr>
                      <w:jc w:val="right"/>
                      <w:rPr>
                        <w:sz w:val="18"/>
                      </w:rPr>
                    </w:pPr>
                    <w:r>
                      <w:rPr>
                        <w:rFonts w:hint="eastAsia"/>
                        <w:sz w:val="18"/>
                      </w:rPr>
                      <w:t>股票</w:t>
                    </w:r>
                    <w:r>
                      <w:rPr>
                        <w:sz w:val="18"/>
                      </w:rPr>
                      <w:t>代</w:t>
                    </w:r>
                    <w:r>
                      <w:rPr>
                        <w:rFonts w:hint="eastAsia"/>
                        <w:sz w:val="18"/>
                      </w:rPr>
                      <w:t>码</w:t>
                    </w:r>
                    <w:r>
                      <w:rPr>
                        <w:sz w:val="18"/>
                      </w:rPr>
                      <w:t>：</w:t>
                    </w:r>
                    <w:r>
                      <w:rPr>
                        <w:rFonts w:hint="eastAsia"/>
                        <w:sz w:val="18"/>
                      </w:rPr>
                      <w:t>301178</w:t>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1124585</wp:posOffset>
              </wp:positionH>
              <wp:positionV relativeFrom="page">
                <wp:posOffset>705485</wp:posOffset>
              </wp:positionV>
              <wp:extent cx="5311775" cy="0"/>
              <wp:effectExtent l="0" t="0" r="0" b="0"/>
              <wp:wrapNone/>
              <wp:docPr id="41" name="直接连接符 41"/>
              <wp:cNvGraphicFramePr/>
              <a:graphic xmlns:a="http://schemas.openxmlformats.org/drawingml/2006/main">
                <a:graphicData uri="http://schemas.microsoft.com/office/word/2010/wordprocessingShape">
                  <wps:wsp>
                    <wps:cNvCnPr/>
                    <wps:spPr>
                      <a:xfrm>
                        <a:off x="0" y="0"/>
                        <a:ext cx="5311775"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88.55pt;margin-top:55.55pt;height:0pt;width:418.25pt;mso-position-horizontal-relative:page;mso-position-vertical-relative:page;z-index:-251657216;mso-width-relative:page;mso-height-relative:page;" filled="f" stroked="t" coordsize="21600,21600" o:gfxdata="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V&#10;9DvW1QAAAAwBAAAPAAAAAAAAAAEAIAAAACIAAABkcnMvZG93bnJldi54bWxQSwECFAAUAAAACACH&#10;TuJAt6jVW+4BAADaAwAADgAAAAAAAAABACAAAAAkAQAAZHJzL2Uyb0RvYy54bWxQSwUGAAAAAAYA&#10;BgBZAQAAhAUAAAAA&#10;">
              <v:fill on="f" focussize="0,0"/>
              <v:stroke weight="0.72pt" color="#000000" joinstyle="round"/>
              <v:imagedata o:title=""/>
              <o:lock v:ext="edit" aspectratio="f"/>
            </v:lin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1130300</wp:posOffset>
              </wp:positionH>
              <wp:positionV relativeFrom="page">
                <wp:posOffset>544195</wp:posOffset>
              </wp:positionV>
              <wp:extent cx="1739900" cy="1397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739900" cy="139700"/>
                      </a:xfrm>
                      <a:prstGeom prst="rect">
                        <a:avLst/>
                      </a:prstGeom>
                      <a:noFill/>
                      <a:ln>
                        <a:noFill/>
                      </a:ln>
                    </wps:spPr>
                    <wps:txbx>
                      <w:txbxContent>
                        <w:p w14:paraId="3CCB1CD2">
                          <w:pPr>
                            <w:spacing w:line="220" w:lineRule="exact"/>
                            <w:ind w:left="20"/>
                            <w:jc w:val="left"/>
                            <w:rPr>
                              <w:sz w:val="18"/>
                            </w:rPr>
                          </w:pPr>
                          <w:r>
                            <w:rPr>
                              <w:rFonts w:ascii="Arial Black" w:hAnsi="Arial Black"/>
                              <w:sz w:val="18"/>
                            </w:rPr>
                            <w:t>T.Y.M.</w:t>
                          </w:r>
                          <w:r>
                            <w:rPr>
                              <w:rFonts w:hint="eastAsia"/>
                              <w:sz w:val="18"/>
                            </w:rPr>
                            <w:t>天</w:t>
                          </w:r>
                          <w:r>
                            <w:rPr>
                              <w:sz w:val="18"/>
                            </w:rPr>
                            <w:t>亿马股份</w:t>
                          </w:r>
                        </w:p>
                      </w:txbxContent>
                    </wps:txbx>
                    <wps:bodyPr lIns="0" tIns="0" rIns="0" bIns="0" upright="1"/>
                  </wps:wsp>
                </a:graphicData>
              </a:graphic>
            </wp:anchor>
          </w:drawing>
        </mc:Choice>
        <mc:Fallback>
          <w:pict>
            <v:shape id="_x0000_s1026" o:spid="_x0000_s1026" o:spt="202" type="#_x0000_t202" style="position:absolute;left:0pt;margin-left:89pt;margin-top:42.85pt;height:11pt;width:137pt;mso-position-horizontal-relative:page;mso-position-vertical-relative:page;z-index:-251656192;mso-width-relative:page;mso-height-relative:page;" filled="f" stroked="f" coordsize="21600,21600" o:gfxdata="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agCkS2AAAAAoBAAAPAAAAAAAAAAEAIAAAACIAAABkcnMvZG93bnJldi54bWxQSwEC&#10;FAAUAAAACACHTuJALwL1RbsBAAB0AwAADgAAAAAAAAABACAAAAAnAQAAZHJzL2Uyb0RvYy54bWxQ&#10;SwUGAAAAAAYABgBZAQAAVAUAAAAA&#10;">
              <v:fill on="f" focussize="0,0"/>
              <v:stroke on="f"/>
              <v:imagedata o:title=""/>
              <o:lock v:ext="edit" aspectratio="f"/>
              <v:textbox inset="0mm,0mm,0mm,0mm">
                <w:txbxContent>
                  <w:p w14:paraId="3CCB1CD2">
                    <w:pPr>
                      <w:spacing w:line="220" w:lineRule="exact"/>
                      <w:ind w:left="20"/>
                      <w:jc w:val="left"/>
                      <w:rPr>
                        <w:sz w:val="18"/>
                      </w:rPr>
                    </w:pPr>
                    <w:r>
                      <w:rPr>
                        <w:rFonts w:ascii="Arial Black" w:hAnsi="Arial Black"/>
                        <w:sz w:val="18"/>
                      </w:rPr>
                      <w:t>T.Y.M.</w:t>
                    </w:r>
                    <w:r>
                      <w:rPr>
                        <w:rFonts w:hint="eastAsia"/>
                        <w:sz w:val="18"/>
                      </w:rPr>
                      <w:t>天</w:t>
                    </w:r>
                    <w:r>
                      <w:rPr>
                        <w:sz w:val="18"/>
                      </w:rPr>
                      <w:t>亿马股份</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6D45C5"/>
    <w:multiLevelType w:val="multilevel"/>
    <w:tmpl w:val="066D45C5"/>
    <w:lvl w:ilvl="0" w:tentative="0">
      <w:start w:val="1"/>
      <w:numFmt w:val="chineseCountingThousand"/>
      <w:lvlText w:val="(%1)"/>
      <w:lvlJc w:val="left"/>
      <w:pPr>
        <w:ind w:left="1202"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06CE46C9"/>
    <w:multiLevelType w:val="multilevel"/>
    <w:tmpl w:val="06CE46C9"/>
    <w:lvl w:ilvl="0" w:tentative="0">
      <w:start w:val="1"/>
      <w:numFmt w:val="chineseCountingThousand"/>
      <w:lvlText w:val="(%1)"/>
      <w:lvlJc w:val="left"/>
      <w:pPr>
        <w:ind w:left="1202"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12B444B1"/>
    <w:multiLevelType w:val="multilevel"/>
    <w:tmpl w:val="12B444B1"/>
    <w:lvl w:ilvl="0" w:tentative="0">
      <w:start w:val="1"/>
      <w:numFmt w:val="chineseCountingThousand"/>
      <w:lvlText w:val="第%1条"/>
      <w:lvlJc w:val="left"/>
      <w:pPr>
        <w:ind w:left="902" w:hanging="420"/>
      </w:pPr>
      <w:rPr>
        <w:rFonts w:hint="eastAsia"/>
        <w:b/>
        <w:i w:val="0"/>
      </w:rPr>
    </w:lvl>
    <w:lvl w:ilvl="1" w:tentative="0">
      <w:start w:val="1"/>
      <w:numFmt w:val="chineseCountingThousand"/>
      <w:lvlText w:val="(%2)"/>
      <w:lvlJc w:val="left"/>
      <w:pPr>
        <w:ind w:left="922" w:hanging="440"/>
      </w:pPr>
      <w:rPr>
        <w:rFonts w:hint="default"/>
      </w:rPr>
    </w:lvl>
    <w:lvl w:ilvl="2" w:tentative="0">
      <w:start w:val="1"/>
      <w:numFmt w:val="decimal"/>
      <w:lvlText w:val="%3."/>
      <w:lvlJc w:val="left"/>
      <w:pPr>
        <w:ind w:left="1320" w:hanging="44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15021591"/>
    <w:multiLevelType w:val="multilevel"/>
    <w:tmpl w:val="15021591"/>
    <w:lvl w:ilvl="0" w:tentative="0">
      <w:start w:val="1"/>
      <w:numFmt w:val="chineseCountingThousand"/>
      <w:lvlText w:val="(%1)"/>
      <w:lvlJc w:val="left"/>
      <w:pPr>
        <w:ind w:left="1202"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73156D7"/>
    <w:multiLevelType w:val="multilevel"/>
    <w:tmpl w:val="173156D7"/>
    <w:lvl w:ilvl="0" w:tentative="0">
      <w:start w:val="1"/>
      <w:numFmt w:val="chineseCountingThousand"/>
      <w:lvlText w:val="(%1)"/>
      <w:lvlJc w:val="left"/>
      <w:pPr>
        <w:ind w:left="1202"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E063836"/>
    <w:multiLevelType w:val="multilevel"/>
    <w:tmpl w:val="3E063836"/>
    <w:lvl w:ilvl="0" w:tentative="0">
      <w:start w:val="1"/>
      <w:numFmt w:val="chineseCountingThousand"/>
      <w:lvlText w:val="第%1条"/>
      <w:lvlJc w:val="left"/>
      <w:pPr>
        <w:ind w:left="902" w:hanging="420"/>
      </w:pPr>
      <w:rPr>
        <w:rFonts w:hint="eastAsia"/>
        <w:b/>
        <w:i w:val="0"/>
      </w:rPr>
    </w:lvl>
    <w:lvl w:ilvl="1" w:tentative="0">
      <w:start w:val="1"/>
      <w:numFmt w:val="chineseCountingThousand"/>
      <w:lvlText w:val="(%2)"/>
      <w:lvlJc w:val="left"/>
      <w:pPr>
        <w:ind w:left="922" w:hanging="440"/>
      </w:pPr>
      <w:rPr>
        <w:rFonts w:hint="default"/>
      </w:rPr>
    </w:lvl>
    <w:lvl w:ilvl="2" w:tentative="0">
      <w:start w:val="1"/>
      <w:numFmt w:val="decimal"/>
      <w:lvlText w:val="%3."/>
      <w:lvlJc w:val="left"/>
      <w:pPr>
        <w:ind w:left="1320" w:hanging="44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2"/>
  </w:num>
  <w:num w:numId="2">
    <w:abstractNumId w:val="3"/>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D2D"/>
    <w:rsid w:val="00014F0B"/>
    <w:rsid w:val="000312BE"/>
    <w:rsid w:val="000424B7"/>
    <w:rsid w:val="00042D69"/>
    <w:rsid w:val="000476A1"/>
    <w:rsid w:val="000631A2"/>
    <w:rsid w:val="000639A4"/>
    <w:rsid w:val="00063B55"/>
    <w:rsid w:val="000731D4"/>
    <w:rsid w:val="0008199B"/>
    <w:rsid w:val="00083072"/>
    <w:rsid w:val="000A0A3A"/>
    <w:rsid w:val="000B1C06"/>
    <w:rsid w:val="000B1DF3"/>
    <w:rsid w:val="00111BC2"/>
    <w:rsid w:val="00112B5B"/>
    <w:rsid w:val="00115E70"/>
    <w:rsid w:val="001170C6"/>
    <w:rsid w:val="001204E1"/>
    <w:rsid w:val="00133ABA"/>
    <w:rsid w:val="00136280"/>
    <w:rsid w:val="00137EF3"/>
    <w:rsid w:val="00156970"/>
    <w:rsid w:val="00163EA3"/>
    <w:rsid w:val="00176410"/>
    <w:rsid w:val="001814D0"/>
    <w:rsid w:val="001843A0"/>
    <w:rsid w:val="001856BF"/>
    <w:rsid w:val="00197DCC"/>
    <w:rsid w:val="001A3188"/>
    <w:rsid w:val="001C50C0"/>
    <w:rsid w:val="001F3DD7"/>
    <w:rsid w:val="001F62BB"/>
    <w:rsid w:val="00206948"/>
    <w:rsid w:val="0021083D"/>
    <w:rsid w:val="00240666"/>
    <w:rsid w:val="00257E21"/>
    <w:rsid w:val="00271AA2"/>
    <w:rsid w:val="00277022"/>
    <w:rsid w:val="00281F9E"/>
    <w:rsid w:val="0028324A"/>
    <w:rsid w:val="002901E4"/>
    <w:rsid w:val="00295064"/>
    <w:rsid w:val="002A7D35"/>
    <w:rsid w:val="002B0490"/>
    <w:rsid w:val="002E7102"/>
    <w:rsid w:val="002F5319"/>
    <w:rsid w:val="002F730B"/>
    <w:rsid w:val="00300CCF"/>
    <w:rsid w:val="00302893"/>
    <w:rsid w:val="00323902"/>
    <w:rsid w:val="00347068"/>
    <w:rsid w:val="00347532"/>
    <w:rsid w:val="0037448E"/>
    <w:rsid w:val="003802B2"/>
    <w:rsid w:val="00385744"/>
    <w:rsid w:val="00391D30"/>
    <w:rsid w:val="003935BC"/>
    <w:rsid w:val="003A122D"/>
    <w:rsid w:val="003B4AFE"/>
    <w:rsid w:val="003B6D0F"/>
    <w:rsid w:val="003C281D"/>
    <w:rsid w:val="003E658F"/>
    <w:rsid w:val="003E73BA"/>
    <w:rsid w:val="003F3A54"/>
    <w:rsid w:val="003F50D6"/>
    <w:rsid w:val="004009D0"/>
    <w:rsid w:val="004013FA"/>
    <w:rsid w:val="0043325F"/>
    <w:rsid w:val="00446E14"/>
    <w:rsid w:val="00452039"/>
    <w:rsid w:val="00484105"/>
    <w:rsid w:val="004850D8"/>
    <w:rsid w:val="00492E7A"/>
    <w:rsid w:val="004C5746"/>
    <w:rsid w:val="004D3F60"/>
    <w:rsid w:val="004F7553"/>
    <w:rsid w:val="0050018C"/>
    <w:rsid w:val="00512AAB"/>
    <w:rsid w:val="0052061B"/>
    <w:rsid w:val="005254EA"/>
    <w:rsid w:val="0053670C"/>
    <w:rsid w:val="00554895"/>
    <w:rsid w:val="00584489"/>
    <w:rsid w:val="00586D73"/>
    <w:rsid w:val="005923E5"/>
    <w:rsid w:val="005A29CB"/>
    <w:rsid w:val="005C0B69"/>
    <w:rsid w:val="005C167E"/>
    <w:rsid w:val="005D76EB"/>
    <w:rsid w:val="005E0AEA"/>
    <w:rsid w:val="005E78A0"/>
    <w:rsid w:val="005F2BBA"/>
    <w:rsid w:val="006029EA"/>
    <w:rsid w:val="00607D6A"/>
    <w:rsid w:val="00611E7E"/>
    <w:rsid w:val="0062071C"/>
    <w:rsid w:val="00622FE4"/>
    <w:rsid w:val="006376B3"/>
    <w:rsid w:val="00643FF8"/>
    <w:rsid w:val="00655065"/>
    <w:rsid w:val="0067365E"/>
    <w:rsid w:val="006A19FA"/>
    <w:rsid w:val="006B5D2D"/>
    <w:rsid w:val="006B6CF6"/>
    <w:rsid w:val="006E1116"/>
    <w:rsid w:val="006F2B91"/>
    <w:rsid w:val="006F695E"/>
    <w:rsid w:val="006F789F"/>
    <w:rsid w:val="00705EC5"/>
    <w:rsid w:val="00706C53"/>
    <w:rsid w:val="00707A58"/>
    <w:rsid w:val="00711A4D"/>
    <w:rsid w:val="00721E1B"/>
    <w:rsid w:val="00723FD8"/>
    <w:rsid w:val="00732678"/>
    <w:rsid w:val="00734A15"/>
    <w:rsid w:val="00744D2D"/>
    <w:rsid w:val="007659B6"/>
    <w:rsid w:val="00772722"/>
    <w:rsid w:val="00777AA6"/>
    <w:rsid w:val="00786EB2"/>
    <w:rsid w:val="00790688"/>
    <w:rsid w:val="00794A63"/>
    <w:rsid w:val="007C0356"/>
    <w:rsid w:val="007C7280"/>
    <w:rsid w:val="007F22A8"/>
    <w:rsid w:val="007F2F5D"/>
    <w:rsid w:val="007F73ED"/>
    <w:rsid w:val="00807FE5"/>
    <w:rsid w:val="008127B8"/>
    <w:rsid w:val="0081683D"/>
    <w:rsid w:val="0082120F"/>
    <w:rsid w:val="008224C0"/>
    <w:rsid w:val="008255E1"/>
    <w:rsid w:val="0083203C"/>
    <w:rsid w:val="00835EBE"/>
    <w:rsid w:val="00843AFE"/>
    <w:rsid w:val="00845888"/>
    <w:rsid w:val="0085683A"/>
    <w:rsid w:val="00864F79"/>
    <w:rsid w:val="00872C6B"/>
    <w:rsid w:val="00881302"/>
    <w:rsid w:val="008840CA"/>
    <w:rsid w:val="008848A6"/>
    <w:rsid w:val="008901CC"/>
    <w:rsid w:val="008A7550"/>
    <w:rsid w:val="008B3D66"/>
    <w:rsid w:val="008C3A2C"/>
    <w:rsid w:val="008D1814"/>
    <w:rsid w:val="0090437C"/>
    <w:rsid w:val="009303CB"/>
    <w:rsid w:val="00942B53"/>
    <w:rsid w:val="00964B36"/>
    <w:rsid w:val="00966293"/>
    <w:rsid w:val="00981F05"/>
    <w:rsid w:val="00985F1F"/>
    <w:rsid w:val="009D1B80"/>
    <w:rsid w:val="009F40DA"/>
    <w:rsid w:val="00A00E4C"/>
    <w:rsid w:val="00A17CD8"/>
    <w:rsid w:val="00A21D64"/>
    <w:rsid w:val="00A509C1"/>
    <w:rsid w:val="00A825B6"/>
    <w:rsid w:val="00A93462"/>
    <w:rsid w:val="00A96350"/>
    <w:rsid w:val="00AB2DA1"/>
    <w:rsid w:val="00AB3BF5"/>
    <w:rsid w:val="00AB3F8B"/>
    <w:rsid w:val="00AC2BC1"/>
    <w:rsid w:val="00AE5CB7"/>
    <w:rsid w:val="00AF24A3"/>
    <w:rsid w:val="00AF2711"/>
    <w:rsid w:val="00AF35EF"/>
    <w:rsid w:val="00B04386"/>
    <w:rsid w:val="00B145D9"/>
    <w:rsid w:val="00B20134"/>
    <w:rsid w:val="00B32539"/>
    <w:rsid w:val="00B36275"/>
    <w:rsid w:val="00B46172"/>
    <w:rsid w:val="00B53452"/>
    <w:rsid w:val="00B62986"/>
    <w:rsid w:val="00B62DF4"/>
    <w:rsid w:val="00B837EF"/>
    <w:rsid w:val="00B84285"/>
    <w:rsid w:val="00B87CD6"/>
    <w:rsid w:val="00B91426"/>
    <w:rsid w:val="00B92CD3"/>
    <w:rsid w:val="00B94544"/>
    <w:rsid w:val="00BB29C4"/>
    <w:rsid w:val="00BC5E3C"/>
    <w:rsid w:val="00BD5398"/>
    <w:rsid w:val="00C0643F"/>
    <w:rsid w:val="00C43B66"/>
    <w:rsid w:val="00C52369"/>
    <w:rsid w:val="00C71D4A"/>
    <w:rsid w:val="00C7234F"/>
    <w:rsid w:val="00C74B05"/>
    <w:rsid w:val="00C81589"/>
    <w:rsid w:val="00C8610B"/>
    <w:rsid w:val="00C94FF5"/>
    <w:rsid w:val="00CD5FC9"/>
    <w:rsid w:val="00CF0B59"/>
    <w:rsid w:val="00CF4776"/>
    <w:rsid w:val="00D009EA"/>
    <w:rsid w:val="00D07DB8"/>
    <w:rsid w:val="00D12783"/>
    <w:rsid w:val="00D22730"/>
    <w:rsid w:val="00D22A74"/>
    <w:rsid w:val="00D3086C"/>
    <w:rsid w:val="00D33170"/>
    <w:rsid w:val="00D43154"/>
    <w:rsid w:val="00D57539"/>
    <w:rsid w:val="00D705C1"/>
    <w:rsid w:val="00D71D33"/>
    <w:rsid w:val="00D74D13"/>
    <w:rsid w:val="00D9322F"/>
    <w:rsid w:val="00DE4AD1"/>
    <w:rsid w:val="00DF083F"/>
    <w:rsid w:val="00DF1CFA"/>
    <w:rsid w:val="00DF2573"/>
    <w:rsid w:val="00DF3D69"/>
    <w:rsid w:val="00DF6AA1"/>
    <w:rsid w:val="00DF6EE7"/>
    <w:rsid w:val="00E022E4"/>
    <w:rsid w:val="00E03DE5"/>
    <w:rsid w:val="00E11B6A"/>
    <w:rsid w:val="00E17F6D"/>
    <w:rsid w:val="00E30BAC"/>
    <w:rsid w:val="00E42A51"/>
    <w:rsid w:val="00E444F1"/>
    <w:rsid w:val="00E44ECD"/>
    <w:rsid w:val="00E54B0E"/>
    <w:rsid w:val="00E556C5"/>
    <w:rsid w:val="00E669B6"/>
    <w:rsid w:val="00E73156"/>
    <w:rsid w:val="00E7393E"/>
    <w:rsid w:val="00E76A60"/>
    <w:rsid w:val="00EA2DDF"/>
    <w:rsid w:val="00EA78A7"/>
    <w:rsid w:val="00EB088D"/>
    <w:rsid w:val="00EB5118"/>
    <w:rsid w:val="00EB752D"/>
    <w:rsid w:val="00EC43D4"/>
    <w:rsid w:val="00EE1155"/>
    <w:rsid w:val="00EE2224"/>
    <w:rsid w:val="00F018BC"/>
    <w:rsid w:val="00F21B6B"/>
    <w:rsid w:val="00F40841"/>
    <w:rsid w:val="00F45A3B"/>
    <w:rsid w:val="00F936F5"/>
    <w:rsid w:val="00FA56AC"/>
    <w:rsid w:val="00FA628C"/>
    <w:rsid w:val="00FC35FB"/>
    <w:rsid w:val="00FE77B4"/>
    <w:rsid w:val="00FF0FBA"/>
    <w:rsid w:val="09D54125"/>
    <w:rsid w:val="09FA5993"/>
    <w:rsid w:val="0B792C38"/>
    <w:rsid w:val="1226151D"/>
    <w:rsid w:val="1F8B2AE2"/>
    <w:rsid w:val="20605D1D"/>
    <w:rsid w:val="2D39592C"/>
    <w:rsid w:val="2DE24215"/>
    <w:rsid w:val="41BE5A2A"/>
    <w:rsid w:val="50A0169A"/>
    <w:rsid w:val="52A57F6E"/>
    <w:rsid w:val="59777658"/>
    <w:rsid w:val="63343EC4"/>
    <w:rsid w:val="756920F3"/>
    <w:rsid w:val="7E871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Times New Roman" w:asciiTheme="minorHAnsi" w:hAnsiTheme="minorHAnsi" w:eastAsiaTheme="minorEastAsia"/>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1"/>
    <w:semiHidden/>
    <w:unhideWhenUsed/>
    <w:uiPriority w:val="99"/>
    <w:pPr>
      <w:jc w:val="left"/>
    </w:pPr>
  </w:style>
  <w:style w:type="paragraph" w:styleId="3">
    <w:name w:val="Body Text"/>
    <w:basedOn w:val="1"/>
    <w:link w:val="12"/>
    <w:qFormat/>
    <w:uiPriority w:val="0"/>
    <w:rPr>
      <w:rFonts w:ascii="Times New Roman" w:hAnsi="Times New Roman" w:eastAsia="宋体"/>
      <w:sz w:val="28"/>
    </w:rPr>
  </w:style>
  <w:style w:type="paragraph" w:styleId="4">
    <w:name w:val="Balloon Text"/>
    <w:basedOn w:val="1"/>
    <w:link w:val="20"/>
    <w:semiHidden/>
    <w:unhideWhenUsed/>
    <w:uiPriority w:val="99"/>
    <w:rPr>
      <w:sz w:val="18"/>
      <w:szCs w:val="18"/>
    </w:rPr>
  </w:style>
  <w:style w:type="paragraph" w:styleId="5">
    <w:name w:val="footer"/>
    <w:basedOn w:val="1"/>
    <w:link w:val="13"/>
    <w:qFormat/>
    <w:uiPriority w:val="0"/>
    <w:pPr>
      <w:tabs>
        <w:tab w:val="center" w:pos="4153"/>
        <w:tab w:val="right" w:pos="8306"/>
      </w:tabs>
      <w:snapToGrid w:val="0"/>
      <w:jc w:val="left"/>
    </w:pPr>
    <w:rPr>
      <w:rFonts w:eastAsia="方正仿宋简体"/>
      <w:sz w:val="18"/>
      <w:szCs w:val="20"/>
    </w:rPr>
  </w:style>
  <w:style w:type="paragraph" w:styleId="6">
    <w:name w:val="header"/>
    <w:basedOn w:val="1"/>
    <w:link w:val="19"/>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uiPriority w:val="0"/>
    <w:pPr>
      <w:widowControl/>
      <w:spacing w:before="100" w:beforeAutospacing="1" w:after="100" w:afterAutospacing="1"/>
      <w:jc w:val="left"/>
    </w:pPr>
    <w:rPr>
      <w:rFonts w:ascii="宋体" w:hAnsi="宋体" w:cs="宋体"/>
      <w:color w:val="000000"/>
      <w:kern w:val="0"/>
      <w:sz w:val="24"/>
    </w:rPr>
  </w:style>
  <w:style w:type="paragraph" w:styleId="8">
    <w:name w:val="annotation subject"/>
    <w:basedOn w:val="2"/>
    <w:next w:val="2"/>
    <w:link w:val="22"/>
    <w:semiHidden/>
    <w:unhideWhenUsed/>
    <w:uiPriority w:val="99"/>
    <w:rPr>
      <w:b/>
      <w:bCs/>
    </w:rPr>
  </w:style>
  <w:style w:type="character" w:styleId="11">
    <w:name w:val="annotation reference"/>
    <w:basedOn w:val="10"/>
    <w:semiHidden/>
    <w:unhideWhenUsed/>
    <w:uiPriority w:val="99"/>
    <w:rPr>
      <w:sz w:val="21"/>
      <w:szCs w:val="21"/>
    </w:rPr>
  </w:style>
  <w:style w:type="character" w:customStyle="1" w:styleId="12">
    <w:name w:val="正文文本 Char"/>
    <w:basedOn w:val="10"/>
    <w:link w:val="3"/>
    <w:qFormat/>
    <w:uiPriority w:val="0"/>
    <w:rPr>
      <w:rFonts w:ascii="Times New Roman" w:hAnsi="Times New Roman" w:eastAsia="宋体" w:cs="Times New Roman"/>
      <w:sz w:val="28"/>
      <w:szCs w:val="24"/>
    </w:rPr>
  </w:style>
  <w:style w:type="character" w:customStyle="1" w:styleId="13">
    <w:name w:val="页脚 Char"/>
    <w:basedOn w:val="10"/>
    <w:link w:val="5"/>
    <w:qFormat/>
    <w:uiPriority w:val="0"/>
    <w:rPr>
      <w:rFonts w:eastAsia="方正仿宋简体" w:cs="Times New Roman"/>
      <w:sz w:val="18"/>
      <w:szCs w:val="20"/>
    </w:rPr>
  </w:style>
  <w:style w:type="paragraph" w:customStyle="1" w:styleId="14">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15">
    <w:name w:val="CM16"/>
    <w:basedOn w:val="14"/>
    <w:next w:val="14"/>
    <w:qFormat/>
    <w:uiPriority w:val="0"/>
    <w:pPr>
      <w:spacing w:after="478"/>
    </w:pPr>
    <w:rPr>
      <w:rFonts w:cs="Times New Roman"/>
      <w:color w:val="auto"/>
    </w:rPr>
  </w:style>
  <w:style w:type="paragraph" w:customStyle="1" w:styleId="16">
    <w:name w:val="CM17"/>
    <w:basedOn w:val="14"/>
    <w:next w:val="14"/>
    <w:qFormat/>
    <w:uiPriority w:val="0"/>
    <w:pPr>
      <w:spacing w:after="315"/>
    </w:pPr>
    <w:rPr>
      <w:rFonts w:cs="Times New Roman"/>
      <w:color w:val="auto"/>
    </w:rPr>
  </w:style>
  <w:style w:type="paragraph" w:customStyle="1" w:styleId="17">
    <w:name w:val="CM2"/>
    <w:basedOn w:val="14"/>
    <w:next w:val="14"/>
    <w:qFormat/>
    <w:uiPriority w:val="0"/>
    <w:pPr>
      <w:spacing w:line="468" w:lineRule="atLeast"/>
    </w:pPr>
    <w:rPr>
      <w:rFonts w:cs="Times New Roman"/>
      <w:color w:val="auto"/>
    </w:rPr>
  </w:style>
  <w:style w:type="paragraph" w:customStyle="1" w:styleId="18">
    <w:name w:val="content"/>
    <w:basedOn w:val="1"/>
    <w:qFormat/>
    <w:uiPriority w:val="0"/>
    <w:pPr>
      <w:widowControl/>
      <w:spacing w:line="300" w:lineRule="auto"/>
    </w:pPr>
    <w:rPr>
      <w:rFonts w:ascii="华文仿宋" w:hAnsi="华文仿宋" w:eastAsia="华文仿宋" w:cs="宋体"/>
      <w:kern w:val="0"/>
      <w:sz w:val="32"/>
      <w:szCs w:val="32"/>
    </w:rPr>
  </w:style>
  <w:style w:type="character" w:customStyle="1" w:styleId="19">
    <w:name w:val="页眉 Char"/>
    <w:basedOn w:val="10"/>
    <w:link w:val="6"/>
    <w:uiPriority w:val="99"/>
    <w:rPr>
      <w:rFonts w:cs="Times New Roman"/>
      <w:sz w:val="18"/>
      <w:szCs w:val="18"/>
    </w:rPr>
  </w:style>
  <w:style w:type="character" w:customStyle="1" w:styleId="20">
    <w:name w:val="批注框文本 Char"/>
    <w:basedOn w:val="10"/>
    <w:link w:val="4"/>
    <w:semiHidden/>
    <w:uiPriority w:val="99"/>
    <w:rPr>
      <w:rFonts w:cs="Times New Roman"/>
      <w:sz w:val="18"/>
      <w:szCs w:val="18"/>
    </w:rPr>
  </w:style>
  <w:style w:type="character" w:customStyle="1" w:styleId="21">
    <w:name w:val="批注文字 Char"/>
    <w:basedOn w:val="10"/>
    <w:link w:val="2"/>
    <w:semiHidden/>
    <w:uiPriority w:val="99"/>
    <w:rPr>
      <w:rFonts w:cs="Times New Roman"/>
      <w:szCs w:val="24"/>
    </w:rPr>
  </w:style>
  <w:style w:type="character" w:customStyle="1" w:styleId="22">
    <w:name w:val="批注主题 Char"/>
    <w:basedOn w:val="21"/>
    <w:link w:val="8"/>
    <w:semiHidden/>
    <w:uiPriority w:val="99"/>
    <w:rPr>
      <w:rFonts w:cs="Times New Roman"/>
      <w:b/>
      <w:bCs/>
      <w:szCs w:val="24"/>
    </w:rPr>
  </w:style>
  <w:style w:type="paragraph" w:styleId="2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D85A28-2F7B-4C5B-ACFA-E7BF406C463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3249</Words>
  <Characters>3249</Characters>
  <Lines>23</Lines>
  <Paragraphs>6</Paragraphs>
  <TotalTime>1</TotalTime>
  <ScaleCrop>false</ScaleCrop>
  <LinksUpToDate>false</LinksUpToDate>
  <CharactersWithSpaces>3257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2026-06-01T07:59:00Z</dcterms:created>
  <dc:creator>陈璐冰</dc:creator>
  <cp:lastModifiedBy>黄舒倩</cp:lastModifiedBy>
  <dcterms:modified xsi:type="dcterms:W3CDTF">2026-06-14T04:07:27Z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eyJoZGlkIjoiYjc3NTVmODk5OWI4YTU0YmU5MTlhYzJjMjBkNzFlNmEiLCJ1c2VySWQiOiIyNDMwNTgyMjAifQ==</vt:lpwstr>
  </property>
  <property fmtid="{D5CDD505-2E9C-101B-9397-08002B2CF9AE}" pid="3" name="KSOProductBuildVer">
    <vt:lpwstr>2052-12.1.0.26895</vt:lpwstr>
  </property>
  <property fmtid="{D5CDD505-2E9C-101B-9397-08002B2CF9AE}" pid="4" name="ICV">
    <vt:lpwstr>3EE3263DEE9546678BE3D9050CDD06A9_12</vt:lpwstr>
  </property>
</Properties>
</file>