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57238B" w14:textId="77777777" w:rsidR="00AE1DA4" w:rsidRDefault="00AF08B9">
      <w:pPr>
        <w:spacing w:line="360" w:lineRule="auto"/>
        <w:jc w:val="center"/>
        <w:rPr>
          <w:rFonts w:ascii="仿宋" w:eastAsia="仿宋" w:hAnsi="仿宋" w:cs="Times New Roman"/>
          <w:sz w:val="28"/>
          <w:szCs w:val="20"/>
          <w:lang w:eastAsia="zh-CN"/>
        </w:rPr>
      </w:pPr>
      <w:r>
        <w:rPr>
          <w:rFonts w:ascii="仿宋" w:eastAsia="仿宋" w:hAnsi="仿宋" w:cs="Times New Roman" w:hint="eastAsia"/>
          <w:sz w:val="28"/>
          <w:szCs w:val="20"/>
          <w:lang w:eastAsia="zh-CN"/>
        </w:rPr>
        <w:t>证券代码：</w:t>
      </w:r>
      <w:r>
        <w:rPr>
          <w:rFonts w:ascii="仿宋" w:eastAsia="仿宋" w:hAnsi="仿宋" w:cs="Times New Roman" w:hint="eastAsia"/>
          <w:sz w:val="28"/>
          <w:szCs w:val="20"/>
          <w:lang w:eastAsia="zh-CN"/>
        </w:rPr>
        <w:t xml:space="preserve">301178    </w:t>
      </w:r>
      <w:r>
        <w:rPr>
          <w:rFonts w:ascii="仿宋" w:eastAsia="仿宋" w:hAnsi="仿宋" w:cs="Times New Roman" w:hint="eastAsia"/>
          <w:sz w:val="28"/>
          <w:szCs w:val="20"/>
          <w:lang w:eastAsia="zh-CN"/>
        </w:rPr>
        <w:t>证券简称：天亿马</w:t>
      </w:r>
      <w:r>
        <w:rPr>
          <w:rFonts w:ascii="仿宋" w:eastAsia="仿宋" w:hAnsi="仿宋" w:cs="Times New Roman" w:hint="eastAsia"/>
          <w:sz w:val="28"/>
          <w:szCs w:val="20"/>
          <w:lang w:eastAsia="zh-CN"/>
        </w:rPr>
        <w:t xml:space="preserve">    </w:t>
      </w:r>
      <w:r>
        <w:rPr>
          <w:rFonts w:ascii="仿宋" w:eastAsia="仿宋" w:hAnsi="仿宋" w:cs="Times New Roman" w:hint="eastAsia"/>
          <w:sz w:val="28"/>
          <w:szCs w:val="20"/>
          <w:lang w:eastAsia="zh-CN"/>
        </w:rPr>
        <w:t>公告编号：</w:t>
      </w:r>
      <w:r>
        <w:rPr>
          <w:rFonts w:ascii="仿宋" w:eastAsia="仿宋" w:hAnsi="仿宋" w:cs="Times New Roman" w:hint="eastAsia"/>
          <w:sz w:val="28"/>
          <w:szCs w:val="20"/>
          <w:lang w:eastAsia="zh-CN"/>
        </w:rPr>
        <w:t>2026-036</w:t>
      </w:r>
    </w:p>
    <w:p w14:paraId="282B9D32" w14:textId="77777777" w:rsidR="00AE1DA4" w:rsidRDefault="00AF08B9">
      <w:pPr>
        <w:widowControl w:val="0"/>
        <w:kinsoku/>
        <w:snapToGrid/>
        <w:spacing w:line="360" w:lineRule="auto"/>
        <w:jc w:val="center"/>
        <w:textAlignment w:val="auto"/>
        <w:rPr>
          <w:rFonts w:ascii="黑体" w:eastAsia="黑体" w:hAnsi="黑体" w:cs="Times New Roman"/>
          <w:snapToGrid/>
          <w:kern w:val="2"/>
          <w:sz w:val="36"/>
          <w:szCs w:val="36"/>
          <w:lang w:eastAsia="zh-CN"/>
        </w:rPr>
      </w:pPr>
      <w:r>
        <w:rPr>
          <w:rFonts w:ascii="黑体" w:eastAsia="黑体" w:hAnsi="黑体" w:cs="Times New Roman" w:hint="eastAsia"/>
          <w:snapToGrid/>
          <w:kern w:val="2"/>
          <w:sz w:val="36"/>
          <w:szCs w:val="36"/>
          <w:lang w:eastAsia="zh-CN"/>
        </w:rPr>
        <w:t>广东天亿马信息产业股份有限公司</w:t>
      </w:r>
    </w:p>
    <w:p w14:paraId="70D2440D" w14:textId="77777777" w:rsidR="00AE1DA4" w:rsidRDefault="00AF08B9">
      <w:pPr>
        <w:widowControl w:val="0"/>
        <w:kinsoku/>
        <w:snapToGrid/>
        <w:spacing w:line="360" w:lineRule="auto"/>
        <w:jc w:val="center"/>
        <w:textAlignment w:val="auto"/>
        <w:rPr>
          <w:rFonts w:ascii="宋体" w:eastAsia="宋体" w:hAnsi="宋体" w:cs="宋体"/>
          <w:sz w:val="30"/>
          <w:szCs w:val="30"/>
          <w:lang w:eastAsia="zh-CN"/>
        </w:rPr>
      </w:pPr>
      <w:r>
        <w:rPr>
          <w:rFonts w:ascii="黑体" w:eastAsia="黑体" w:hAnsi="黑体" w:cs="Times New Roman"/>
          <w:snapToGrid/>
          <w:kern w:val="2"/>
          <w:sz w:val="36"/>
          <w:szCs w:val="36"/>
          <w:lang w:eastAsia="zh-CN"/>
        </w:rPr>
        <w:t>关于实施</w:t>
      </w:r>
      <w:r>
        <w:rPr>
          <w:rFonts w:ascii="黑体" w:eastAsia="黑体" w:hAnsi="黑体" w:cs="Times New Roman"/>
          <w:snapToGrid/>
          <w:kern w:val="2"/>
          <w:sz w:val="36"/>
          <w:szCs w:val="36"/>
          <w:lang w:eastAsia="zh-CN"/>
        </w:rPr>
        <w:t>2025</w:t>
      </w:r>
      <w:r>
        <w:rPr>
          <w:rFonts w:ascii="黑体" w:eastAsia="黑体" w:hAnsi="黑体" w:cs="Times New Roman"/>
          <w:snapToGrid/>
          <w:kern w:val="2"/>
          <w:sz w:val="36"/>
          <w:szCs w:val="36"/>
          <w:lang w:eastAsia="zh-CN"/>
        </w:rPr>
        <w:t>年年度权益分派后本次重组所涉发行股份购买资产及募集配套资金的股份发行价格及发行数量调整的公告</w:t>
      </w:r>
    </w:p>
    <w:tbl>
      <w:tblPr>
        <w:tblStyle w:val="TableNormal"/>
        <w:tblW w:w="7962" w:type="dxa"/>
        <w:tblInd w:w="29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962"/>
      </w:tblGrid>
      <w:tr w:rsidR="00AE1DA4" w14:paraId="079FE122" w14:textId="77777777">
        <w:trPr>
          <w:trHeight w:val="776"/>
        </w:trPr>
        <w:tc>
          <w:tcPr>
            <w:tcW w:w="7962" w:type="dxa"/>
          </w:tcPr>
          <w:p w14:paraId="3AA324B2" w14:textId="77777777" w:rsidR="00AE1DA4" w:rsidRDefault="00AF08B9">
            <w:pPr>
              <w:kinsoku/>
              <w:autoSpaceDE/>
              <w:autoSpaceDN/>
              <w:adjustRightInd/>
              <w:snapToGrid/>
              <w:spacing w:line="440" w:lineRule="exact"/>
              <w:ind w:firstLineChars="200" w:firstLine="560"/>
              <w:jc w:val="both"/>
              <w:textAlignment w:val="auto"/>
              <w:rPr>
                <w:rFonts w:ascii="楷体" w:eastAsia="楷体" w:hAnsi="楷体" w:cs="宋体"/>
                <w:snapToGrid/>
                <w:sz w:val="28"/>
                <w:szCs w:val="24"/>
                <w:lang w:eastAsia="zh-CN"/>
              </w:rPr>
            </w:pPr>
            <w:r>
              <w:rPr>
                <w:rFonts w:ascii="楷体" w:eastAsia="楷体" w:hAnsi="楷体" w:cs="宋体" w:hint="eastAsia"/>
                <w:snapToGrid/>
                <w:sz w:val="28"/>
                <w:szCs w:val="24"/>
                <w:lang w:eastAsia="zh-CN"/>
              </w:rPr>
              <w:t>本公司及董事会全体成员保证信息披露的内容真实、准确、完整，没有虚假记载、误导性陈述或者重大遗漏。</w:t>
            </w:r>
          </w:p>
        </w:tc>
      </w:tr>
    </w:tbl>
    <w:p w14:paraId="1E5900EF" w14:textId="77777777" w:rsidR="00AE1DA4" w:rsidRDefault="00AE1DA4">
      <w:pPr>
        <w:spacing w:line="360" w:lineRule="auto"/>
        <w:rPr>
          <w:rFonts w:ascii="宋体" w:eastAsia="宋体" w:hAnsi="宋体" w:cs="宋体"/>
          <w:sz w:val="24"/>
          <w:szCs w:val="24"/>
          <w:lang w:eastAsia="zh-CN"/>
        </w:rPr>
      </w:pPr>
    </w:p>
    <w:p w14:paraId="52DC7626" w14:textId="77777777" w:rsidR="00AE1DA4" w:rsidRDefault="00AF08B9">
      <w:pPr>
        <w:widowControl w:val="0"/>
        <w:kinsoku/>
        <w:autoSpaceDE/>
        <w:autoSpaceDN/>
        <w:adjustRightInd/>
        <w:snapToGrid/>
        <w:spacing w:line="360" w:lineRule="auto"/>
        <w:ind w:firstLineChars="200" w:firstLine="562"/>
        <w:jc w:val="both"/>
        <w:textAlignment w:val="auto"/>
        <w:outlineLvl w:val="0"/>
        <w:rPr>
          <w:rFonts w:ascii="仿宋" w:eastAsia="仿宋" w:hAnsi="仿宋" w:cs="仿宋"/>
          <w:b/>
          <w:snapToGrid/>
          <w:kern w:val="2"/>
          <w:sz w:val="28"/>
          <w:szCs w:val="28"/>
          <w:lang w:eastAsia="zh-CN"/>
        </w:rPr>
      </w:pPr>
      <w:r>
        <w:rPr>
          <w:rFonts w:ascii="仿宋" w:eastAsia="仿宋" w:hAnsi="仿宋" w:cs="仿宋" w:hint="eastAsia"/>
          <w:b/>
          <w:snapToGrid/>
          <w:kern w:val="2"/>
          <w:sz w:val="28"/>
          <w:szCs w:val="28"/>
          <w:lang w:eastAsia="zh-CN"/>
        </w:rPr>
        <w:t>特别提示：</w:t>
      </w:r>
    </w:p>
    <w:p w14:paraId="7099DD9E"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因公司已实施完成</w:t>
      </w:r>
      <w:r>
        <w:rPr>
          <w:rFonts w:ascii="仿宋" w:eastAsia="仿宋" w:hAnsi="仿宋" w:cs="仿宋" w:hint="eastAsia"/>
          <w:snapToGrid/>
          <w:kern w:val="2"/>
          <w:sz w:val="28"/>
          <w:szCs w:val="28"/>
          <w:lang w:eastAsia="zh-CN"/>
        </w:rPr>
        <w:t>2025</w:t>
      </w:r>
      <w:r>
        <w:rPr>
          <w:rFonts w:ascii="仿宋" w:eastAsia="仿宋" w:hAnsi="仿宋" w:cs="仿宋"/>
          <w:snapToGrid/>
          <w:kern w:val="2"/>
          <w:sz w:val="28"/>
          <w:szCs w:val="28"/>
          <w:lang w:eastAsia="zh-CN"/>
        </w:rPr>
        <w:t>年年度权益分派，公司对本次发行股份及支付现金购买资产的股份发行价格进行</w:t>
      </w:r>
      <w:r>
        <w:rPr>
          <w:rFonts w:ascii="仿宋" w:eastAsia="仿宋" w:hAnsi="仿宋" w:cs="仿宋" w:hint="eastAsia"/>
          <w:snapToGrid/>
          <w:kern w:val="2"/>
          <w:sz w:val="28"/>
          <w:szCs w:val="28"/>
          <w:lang w:eastAsia="zh-CN"/>
        </w:rPr>
        <w:t>除权</w:t>
      </w:r>
      <w:r>
        <w:rPr>
          <w:rFonts w:ascii="仿宋" w:eastAsia="仿宋" w:hAnsi="仿宋" w:cs="仿宋"/>
          <w:snapToGrid/>
          <w:kern w:val="2"/>
          <w:sz w:val="28"/>
          <w:szCs w:val="28"/>
          <w:lang w:eastAsia="zh-CN"/>
        </w:rPr>
        <w:t>除息，发行股份购买资产</w:t>
      </w:r>
      <w:r>
        <w:rPr>
          <w:rFonts w:ascii="仿宋" w:eastAsia="仿宋" w:hAnsi="仿宋" w:cs="仿宋" w:hint="eastAsia"/>
          <w:snapToGrid/>
          <w:kern w:val="2"/>
          <w:sz w:val="28"/>
          <w:szCs w:val="28"/>
          <w:lang w:eastAsia="zh-CN"/>
        </w:rPr>
        <w:t>的股份</w:t>
      </w:r>
      <w:r>
        <w:rPr>
          <w:rFonts w:ascii="仿宋" w:eastAsia="仿宋" w:hAnsi="仿宋" w:cs="仿宋"/>
          <w:snapToGrid/>
          <w:kern w:val="2"/>
          <w:sz w:val="28"/>
          <w:szCs w:val="28"/>
          <w:lang w:eastAsia="zh-CN"/>
        </w:rPr>
        <w:t>发行价格由</w:t>
      </w:r>
      <w:r>
        <w:rPr>
          <w:rFonts w:ascii="仿宋" w:eastAsia="仿宋" w:hAnsi="仿宋" w:cs="仿宋"/>
          <w:snapToGrid/>
          <w:kern w:val="2"/>
          <w:sz w:val="28"/>
          <w:szCs w:val="28"/>
          <w:lang w:eastAsia="zh-CN"/>
        </w:rPr>
        <w:t>26.76</w:t>
      </w:r>
      <w:r>
        <w:rPr>
          <w:rFonts w:ascii="仿宋" w:eastAsia="仿宋" w:hAnsi="仿宋" w:cs="仿宋"/>
          <w:snapToGrid/>
          <w:kern w:val="2"/>
          <w:sz w:val="28"/>
          <w:szCs w:val="28"/>
          <w:lang w:eastAsia="zh-CN"/>
        </w:rPr>
        <w:t>元</w:t>
      </w:r>
      <w:r>
        <w:rPr>
          <w:rFonts w:ascii="仿宋" w:eastAsia="仿宋" w:hAnsi="仿宋" w:cs="仿宋"/>
          <w:snapToGrid/>
          <w:kern w:val="2"/>
          <w:sz w:val="28"/>
          <w:szCs w:val="28"/>
          <w:lang w:eastAsia="zh-CN"/>
        </w:rPr>
        <w:t>/</w:t>
      </w:r>
      <w:r>
        <w:rPr>
          <w:rFonts w:ascii="仿宋" w:eastAsia="仿宋" w:hAnsi="仿宋" w:cs="仿宋"/>
          <w:snapToGrid/>
          <w:kern w:val="2"/>
          <w:sz w:val="28"/>
          <w:szCs w:val="28"/>
          <w:lang w:eastAsia="zh-CN"/>
        </w:rPr>
        <w:t>股调整为</w:t>
      </w:r>
      <w:r>
        <w:rPr>
          <w:rFonts w:ascii="仿宋" w:eastAsia="仿宋" w:hAnsi="仿宋" w:cs="仿宋"/>
          <w:snapToGrid/>
          <w:kern w:val="2"/>
          <w:sz w:val="28"/>
          <w:szCs w:val="28"/>
          <w:lang w:eastAsia="zh-CN"/>
        </w:rPr>
        <w:t>19.18</w:t>
      </w:r>
      <w:r>
        <w:rPr>
          <w:rFonts w:ascii="仿宋" w:eastAsia="仿宋" w:hAnsi="仿宋" w:cs="仿宋"/>
          <w:snapToGrid/>
          <w:kern w:val="2"/>
          <w:sz w:val="28"/>
          <w:szCs w:val="28"/>
          <w:lang w:eastAsia="zh-CN"/>
        </w:rPr>
        <w:t>元</w:t>
      </w:r>
      <w:r>
        <w:rPr>
          <w:rFonts w:ascii="仿宋" w:eastAsia="仿宋" w:hAnsi="仿宋" w:cs="仿宋"/>
          <w:snapToGrid/>
          <w:kern w:val="2"/>
          <w:sz w:val="28"/>
          <w:szCs w:val="28"/>
          <w:lang w:eastAsia="zh-CN"/>
        </w:rPr>
        <w:t>/</w:t>
      </w:r>
      <w:r>
        <w:rPr>
          <w:rFonts w:ascii="仿宋" w:eastAsia="仿宋" w:hAnsi="仿宋" w:cs="仿宋"/>
          <w:snapToGrid/>
          <w:kern w:val="2"/>
          <w:sz w:val="28"/>
          <w:szCs w:val="28"/>
          <w:lang w:eastAsia="zh-CN"/>
        </w:rPr>
        <w:t>股，发行数量相应由</w:t>
      </w:r>
      <w:r>
        <w:rPr>
          <w:rFonts w:ascii="仿宋" w:eastAsia="仿宋" w:hAnsi="仿宋" w:cs="仿宋"/>
          <w:snapToGrid/>
          <w:kern w:val="2"/>
          <w:sz w:val="28"/>
          <w:szCs w:val="28"/>
          <w:lang w:eastAsia="zh-CN"/>
        </w:rPr>
        <w:t>21,762,605</w:t>
      </w:r>
      <w:r>
        <w:rPr>
          <w:rFonts w:ascii="仿宋" w:eastAsia="仿宋" w:hAnsi="仿宋" w:cs="仿宋"/>
          <w:snapToGrid/>
          <w:kern w:val="2"/>
          <w:sz w:val="28"/>
          <w:szCs w:val="28"/>
          <w:lang w:eastAsia="zh-CN"/>
        </w:rPr>
        <w:t>股调整为</w:t>
      </w:r>
      <w:r>
        <w:rPr>
          <w:rFonts w:ascii="仿宋" w:eastAsia="仿宋" w:hAnsi="仿宋" w:cs="仿宋"/>
          <w:snapToGrid/>
          <w:kern w:val="2"/>
          <w:sz w:val="28"/>
          <w:szCs w:val="28"/>
          <w:lang w:eastAsia="zh-CN"/>
        </w:rPr>
        <w:t>30,363,264</w:t>
      </w:r>
      <w:r>
        <w:rPr>
          <w:rFonts w:ascii="仿宋" w:eastAsia="仿宋" w:hAnsi="仿宋" w:cs="仿宋"/>
          <w:snapToGrid/>
          <w:kern w:val="2"/>
          <w:sz w:val="28"/>
          <w:szCs w:val="28"/>
          <w:lang w:eastAsia="zh-CN"/>
        </w:rPr>
        <w:t>股，募集配套资金</w:t>
      </w:r>
      <w:r>
        <w:rPr>
          <w:rFonts w:ascii="仿宋" w:eastAsia="仿宋" w:hAnsi="仿宋" w:cs="仿宋" w:hint="eastAsia"/>
          <w:snapToGrid/>
          <w:kern w:val="2"/>
          <w:sz w:val="28"/>
          <w:szCs w:val="28"/>
          <w:lang w:eastAsia="zh-CN"/>
        </w:rPr>
        <w:t>的股份发行价格由</w:t>
      </w:r>
      <w:r>
        <w:rPr>
          <w:rFonts w:ascii="仿宋" w:eastAsia="仿宋" w:hAnsi="仿宋" w:cs="仿宋"/>
          <w:snapToGrid/>
          <w:kern w:val="2"/>
          <w:sz w:val="28"/>
          <w:szCs w:val="28"/>
          <w:lang w:eastAsia="zh-CN"/>
        </w:rPr>
        <w:t>32.74</w:t>
      </w:r>
      <w:r>
        <w:rPr>
          <w:rFonts w:ascii="仿宋" w:eastAsia="仿宋" w:hAnsi="仿宋" w:cs="仿宋"/>
          <w:snapToGrid/>
          <w:kern w:val="2"/>
          <w:sz w:val="28"/>
          <w:szCs w:val="28"/>
          <w:lang w:eastAsia="zh-CN"/>
        </w:rPr>
        <w:t>元</w:t>
      </w:r>
      <w:r>
        <w:rPr>
          <w:rFonts w:ascii="仿宋" w:eastAsia="仿宋" w:hAnsi="仿宋" w:cs="仿宋"/>
          <w:snapToGrid/>
          <w:kern w:val="2"/>
          <w:sz w:val="28"/>
          <w:szCs w:val="28"/>
          <w:lang w:eastAsia="zh-CN"/>
        </w:rPr>
        <w:t>/</w:t>
      </w:r>
      <w:r>
        <w:rPr>
          <w:rFonts w:ascii="仿宋" w:eastAsia="仿宋" w:hAnsi="仿宋" w:cs="仿宋"/>
          <w:snapToGrid/>
          <w:kern w:val="2"/>
          <w:sz w:val="28"/>
          <w:szCs w:val="28"/>
          <w:lang w:eastAsia="zh-CN"/>
        </w:rPr>
        <w:t>股调整为</w:t>
      </w:r>
      <w:r>
        <w:rPr>
          <w:rFonts w:ascii="仿宋" w:eastAsia="仿宋" w:hAnsi="仿宋" w:cs="仿宋"/>
          <w:snapToGrid/>
          <w:kern w:val="2"/>
          <w:sz w:val="28"/>
          <w:szCs w:val="28"/>
          <w:lang w:eastAsia="zh-CN"/>
        </w:rPr>
        <w:t>23.48</w:t>
      </w:r>
      <w:r>
        <w:rPr>
          <w:rFonts w:ascii="仿宋" w:eastAsia="仿宋" w:hAnsi="仿宋" w:cs="仿宋"/>
          <w:snapToGrid/>
          <w:kern w:val="2"/>
          <w:sz w:val="28"/>
          <w:szCs w:val="28"/>
          <w:lang w:eastAsia="zh-CN"/>
        </w:rPr>
        <w:t>元</w:t>
      </w:r>
      <w:r>
        <w:rPr>
          <w:rFonts w:ascii="仿宋" w:eastAsia="仿宋" w:hAnsi="仿宋" w:cs="仿宋"/>
          <w:snapToGrid/>
          <w:kern w:val="2"/>
          <w:sz w:val="28"/>
          <w:szCs w:val="28"/>
          <w:lang w:eastAsia="zh-CN"/>
        </w:rPr>
        <w:t>/</w:t>
      </w:r>
      <w:r>
        <w:rPr>
          <w:rFonts w:ascii="仿宋" w:eastAsia="仿宋" w:hAnsi="仿宋" w:cs="仿宋"/>
          <w:snapToGrid/>
          <w:kern w:val="2"/>
          <w:sz w:val="28"/>
          <w:szCs w:val="28"/>
          <w:lang w:eastAsia="zh-CN"/>
        </w:rPr>
        <w:t>股</w:t>
      </w:r>
      <w:r>
        <w:rPr>
          <w:rFonts w:ascii="仿宋" w:eastAsia="仿宋" w:hAnsi="仿宋" w:cs="仿宋" w:hint="eastAsia"/>
          <w:snapToGrid/>
          <w:kern w:val="2"/>
          <w:sz w:val="28"/>
          <w:szCs w:val="28"/>
          <w:lang w:eastAsia="zh-CN"/>
        </w:rPr>
        <w:t>，发行数量</w:t>
      </w:r>
      <w:r>
        <w:rPr>
          <w:rFonts w:ascii="仿宋" w:eastAsia="仿宋" w:hAnsi="仿宋" w:cs="仿宋"/>
          <w:snapToGrid/>
          <w:kern w:val="2"/>
          <w:sz w:val="28"/>
          <w:szCs w:val="28"/>
          <w:lang w:eastAsia="zh-CN"/>
        </w:rPr>
        <w:t>由</w:t>
      </w:r>
      <w:r>
        <w:rPr>
          <w:rFonts w:ascii="仿宋" w:eastAsia="仿宋" w:hAnsi="仿宋" w:cs="仿宋" w:hint="eastAsia"/>
          <w:snapToGrid/>
          <w:kern w:val="2"/>
          <w:sz w:val="28"/>
          <w:szCs w:val="28"/>
          <w:lang w:eastAsia="zh-CN"/>
        </w:rPr>
        <w:t>不超过</w:t>
      </w:r>
      <w:r>
        <w:rPr>
          <w:rFonts w:ascii="仿宋" w:eastAsia="仿宋" w:hAnsi="仿宋" w:cs="仿宋"/>
          <w:snapToGrid/>
          <w:kern w:val="2"/>
          <w:sz w:val="28"/>
          <w:szCs w:val="28"/>
          <w:lang w:eastAsia="zh-CN"/>
        </w:rPr>
        <w:t>4,734,270</w:t>
      </w:r>
      <w:r>
        <w:rPr>
          <w:rFonts w:ascii="仿宋" w:eastAsia="仿宋" w:hAnsi="仿宋" w:cs="仿宋"/>
          <w:snapToGrid/>
          <w:kern w:val="2"/>
          <w:sz w:val="28"/>
          <w:szCs w:val="28"/>
          <w:lang w:eastAsia="zh-CN"/>
        </w:rPr>
        <w:t>股调整为</w:t>
      </w:r>
      <w:r>
        <w:rPr>
          <w:rFonts w:ascii="仿宋" w:eastAsia="仿宋" w:hAnsi="仿宋" w:cs="仿宋" w:hint="eastAsia"/>
          <w:snapToGrid/>
          <w:kern w:val="2"/>
          <w:sz w:val="28"/>
          <w:szCs w:val="28"/>
          <w:lang w:eastAsia="zh-CN"/>
        </w:rPr>
        <w:t>不超过</w:t>
      </w:r>
      <w:r>
        <w:rPr>
          <w:rFonts w:ascii="仿宋" w:eastAsia="仿宋" w:hAnsi="仿宋" w:cs="仿宋"/>
          <w:snapToGrid/>
          <w:kern w:val="2"/>
          <w:sz w:val="28"/>
          <w:szCs w:val="28"/>
          <w:lang w:eastAsia="zh-CN"/>
        </w:rPr>
        <w:t>6,601,362</w:t>
      </w:r>
      <w:r>
        <w:rPr>
          <w:rFonts w:ascii="仿宋" w:eastAsia="仿宋" w:hAnsi="仿宋" w:cs="仿宋"/>
          <w:snapToGrid/>
          <w:kern w:val="2"/>
          <w:sz w:val="28"/>
          <w:szCs w:val="28"/>
          <w:lang w:eastAsia="zh-CN"/>
        </w:rPr>
        <w:t>股</w:t>
      </w:r>
      <w:r>
        <w:rPr>
          <w:rFonts w:ascii="仿宋" w:eastAsia="仿宋" w:hAnsi="仿宋" w:cs="仿宋" w:hint="eastAsia"/>
          <w:snapToGrid/>
          <w:kern w:val="2"/>
          <w:sz w:val="28"/>
          <w:szCs w:val="28"/>
          <w:lang w:eastAsia="zh-CN"/>
        </w:rPr>
        <w:t>。</w:t>
      </w:r>
    </w:p>
    <w:p w14:paraId="2B05E58E" w14:textId="77777777" w:rsidR="00AE1DA4" w:rsidRDefault="00AF08B9">
      <w:pPr>
        <w:widowControl w:val="0"/>
        <w:kinsoku/>
        <w:autoSpaceDE/>
        <w:autoSpaceDN/>
        <w:adjustRightInd/>
        <w:snapToGrid/>
        <w:spacing w:line="360" w:lineRule="auto"/>
        <w:ind w:firstLineChars="200" w:firstLine="562"/>
        <w:jc w:val="both"/>
        <w:textAlignment w:val="auto"/>
        <w:outlineLvl w:val="0"/>
        <w:rPr>
          <w:rFonts w:ascii="仿宋" w:eastAsia="仿宋" w:hAnsi="仿宋" w:cs="仿宋"/>
          <w:b/>
          <w:snapToGrid/>
          <w:kern w:val="2"/>
          <w:sz w:val="28"/>
          <w:szCs w:val="28"/>
          <w:lang w:eastAsia="zh-CN"/>
        </w:rPr>
      </w:pPr>
      <w:r>
        <w:rPr>
          <w:rFonts w:ascii="仿宋" w:eastAsia="仿宋" w:hAnsi="仿宋" w:cs="仿宋" w:hint="eastAsia"/>
          <w:b/>
          <w:snapToGrid/>
          <w:kern w:val="2"/>
          <w:sz w:val="28"/>
          <w:szCs w:val="28"/>
          <w:lang w:eastAsia="zh-CN"/>
        </w:rPr>
        <w:t>一、</w:t>
      </w:r>
      <w:r>
        <w:rPr>
          <w:rFonts w:ascii="仿宋" w:eastAsia="仿宋" w:hAnsi="仿宋" w:cs="仿宋"/>
          <w:b/>
          <w:snapToGrid/>
          <w:kern w:val="2"/>
          <w:sz w:val="28"/>
          <w:szCs w:val="28"/>
          <w:lang w:eastAsia="zh-CN"/>
        </w:rPr>
        <w:t>发行股份购买资产的基本情况</w:t>
      </w:r>
    </w:p>
    <w:p w14:paraId="55285D82" w14:textId="77777777" w:rsidR="00AE1DA4" w:rsidRDefault="00AF08B9">
      <w:pPr>
        <w:spacing w:beforeLines="50" w:before="120" w:afterLines="50" w:after="120" w:line="360" w:lineRule="auto"/>
        <w:ind w:firstLineChars="200" w:firstLine="560"/>
        <w:jc w:val="both"/>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广东天亿马信息产业股份有限公司（以下简称</w:t>
      </w:r>
      <w:r>
        <w:rPr>
          <w:rFonts w:ascii="仿宋" w:eastAsia="仿宋" w:hAnsi="仿宋" w:cs="仿宋"/>
          <w:snapToGrid/>
          <w:kern w:val="2"/>
          <w:sz w:val="28"/>
          <w:szCs w:val="28"/>
          <w:lang w:eastAsia="zh-CN"/>
        </w:rPr>
        <w:t>“</w:t>
      </w:r>
      <w:r>
        <w:rPr>
          <w:rFonts w:ascii="仿宋" w:eastAsia="仿宋" w:hAnsi="仿宋" w:cs="仿宋"/>
          <w:snapToGrid/>
          <w:kern w:val="2"/>
          <w:sz w:val="28"/>
          <w:szCs w:val="28"/>
          <w:lang w:eastAsia="zh-CN"/>
        </w:rPr>
        <w:t>公司</w:t>
      </w:r>
      <w:r>
        <w:rPr>
          <w:rFonts w:ascii="仿宋" w:eastAsia="仿宋" w:hAnsi="仿宋" w:cs="仿宋"/>
          <w:snapToGrid/>
          <w:kern w:val="2"/>
          <w:sz w:val="28"/>
          <w:szCs w:val="28"/>
          <w:lang w:eastAsia="zh-CN"/>
        </w:rPr>
        <w:t>”</w:t>
      </w:r>
      <w:r>
        <w:rPr>
          <w:rFonts w:ascii="仿宋" w:eastAsia="仿宋" w:hAnsi="仿宋" w:cs="仿宋" w:hint="eastAsia"/>
          <w:snapToGrid/>
          <w:kern w:val="2"/>
          <w:sz w:val="28"/>
          <w:szCs w:val="28"/>
          <w:lang w:eastAsia="zh-CN"/>
        </w:rPr>
        <w:t>、“上市公司”</w:t>
      </w:r>
      <w:r>
        <w:rPr>
          <w:rFonts w:ascii="仿宋" w:eastAsia="仿宋" w:hAnsi="仿宋" w:cs="仿宋"/>
          <w:snapToGrid/>
          <w:kern w:val="2"/>
          <w:sz w:val="28"/>
          <w:szCs w:val="28"/>
          <w:lang w:eastAsia="zh-CN"/>
        </w:rPr>
        <w:t>）拟通过发行股份及支付现金方式购买广东星云开物科技股份有限公司</w:t>
      </w:r>
      <w:r>
        <w:rPr>
          <w:rFonts w:ascii="仿宋" w:eastAsia="仿宋" w:hAnsi="仿宋" w:cs="仿宋"/>
          <w:snapToGrid/>
          <w:kern w:val="2"/>
          <w:sz w:val="28"/>
          <w:szCs w:val="28"/>
          <w:lang w:eastAsia="zh-CN"/>
        </w:rPr>
        <w:t>98.5632%</w:t>
      </w:r>
      <w:r>
        <w:rPr>
          <w:rFonts w:ascii="仿宋" w:eastAsia="仿宋" w:hAnsi="仿宋" w:cs="仿宋"/>
          <w:snapToGrid/>
          <w:kern w:val="2"/>
          <w:sz w:val="28"/>
          <w:szCs w:val="28"/>
          <w:lang w:eastAsia="zh-CN"/>
        </w:rPr>
        <w:t>股权并募集配套资金（以下简称</w:t>
      </w:r>
      <w:r>
        <w:rPr>
          <w:rFonts w:ascii="仿宋" w:eastAsia="仿宋" w:hAnsi="仿宋" w:cs="仿宋"/>
          <w:snapToGrid/>
          <w:kern w:val="2"/>
          <w:sz w:val="28"/>
          <w:szCs w:val="28"/>
          <w:lang w:eastAsia="zh-CN"/>
        </w:rPr>
        <w:t>“</w:t>
      </w:r>
      <w:r>
        <w:rPr>
          <w:rFonts w:ascii="仿宋" w:eastAsia="仿宋" w:hAnsi="仿宋" w:cs="仿宋"/>
          <w:snapToGrid/>
          <w:kern w:val="2"/>
          <w:sz w:val="28"/>
          <w:szCs w:val="28"/>
          <w:lang w:eastAsia="zh-CN"/>
        </w:rPr>
        <w:t>本次交易</w:t>
      </w:r>
      <w:r>
        <w:rPr>
          <w:rFonts w:ascii="仿宋" w:eastAsia="仿宋" w:hAnsi="仿宋" w:cs="仿宋"/>
          <w:snapToGrid/>
          <w:kern w:val="2"/>
          <w:sz w:val="28"/>
          <w:szCs w:val="28"/>
          <w:lang w:eastAsia="zh-CN"/>
        </w:rPr>
        <w:t>”</w:t>
      </w:r>
      <w:r>
        <w:rPr>
          <w:rFonts w:ascii="仿宋" w:eastAsia="仿宋" w:hAnsi="仿宋" w:cs="仿宋"/>
          <w:snapToGrid/>
          <w:kern w:val="2"/>
          <w:sz w:val="28"/>
          <w:szCs w:val="28"/>
          <w:lang w:eastAsia="zh-CN"/>
        </w:rPr>
        <w:t>）</w:t>
      </w:r>
      <w:r>
        <w:rPr>
          <w:rFonts w:ascii="仿宋" w:eastAsia="仿宋" w:hAnsi="仿宋" w:cs="仿宋" w:hint="eastAsia"/>
          <w:snapToGrid/>
          <w:kern w:val="2"/>
          <w:sz w:val="28"/>
          <w:szCs w:val="28"/>
          <w:lang w:eastAsia="zh-CN"/>
        </w:rPr>
        <w:t>。</w:t>
      </w:r>
    </w:p>
    <w:p w14:paraId="5534C48A" w14:textId="77777777" w:rsidR="00AE1DA4" w:rsidRDefault="00AF08B9">
      <w:pPr>
        <w:spacing w:beforeLines="50" w:before="120" w:afterLines="50" w:after="120" w:line="360" w:lineRule="auto"/>
        <w:ind w:firstLineChars="200" w:firstLine="560"/>
        <w:jc w:val="both"/>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本次交易中，公司向交易对方支付标的资产的交易对价共计</w:t>
      </w:r>
      <w:r>
        <w:rPr>
          <w:rFonts w:ascii="仿宋" w:eastAsia="仿宋" w:hAnsi="仿宋" w:cs="仿宋"/>
          <w:snapToGrid/>
          <w:kern w:val="2"/>
          <w:sz w:val="28"/>
          <w:szCs w:val="28"/>
          <w:lang w:eastAsia="zh-CN"/>
        </w:rPr>
        <w:t>118,850.53</w:t>
      </w:r>
      <w:r>
        <w:rPr>
          <w:rFonts w:ascii="仿宋" w:eastAsia="仿宋" w:hAnsi="仿宋" w:cs="仿宋" w:hint="eastAsia"/>
          <w:snapToGrid/>
          <w:kern w:val="2"/>
          <w:sz w:val="28"/>
          <w:szCs w:val="28"/>
          <w:lang w:eastAsia="zh-CN"/>
        </w:rPr>
        <w:t>万元，其中</w:t>
      </w:r>
      <w:r>
        <w:rPr>
          <w:rFonts w:ascii="仿宋" w:eastAsia="仿宋" w:hAnsi="仿宋" w:cs="仿宋"/>
          <w:snapToGrid/>
          <w:kern w:val="2"/>
          <w:sz w:val="28"/>
          <w:szCs w:val="28"/>
          <w:lang w:eastAsia="zh-CN"/>
        </w:rPr>
        <w:t>60,613.77</w:t>
      </w:r>
      <w:r>
        <w:rPr>
          <w:rFonts w:ascii="仿宋" w:eastAsia="仿宋" w:hAnsi="仿宋" w:cs="仿宋" w:hint="eastAsia"/>
          <w:snapToGrid/>
          <w:kern w:val="2"/>
          <w:sz w:val="28"/>
          <w:szCs w:val="28"/>
          <w:lang w:eastAsia="zh-CN"/>
        </w:rPr>
        <w:t>万元由公司以现金方式支付，剩余</w:t>
      </w:r>
      <w:r>
        <w:rPr>
          <w:rFonts w:ascii="仿宋" w:eastAsia="仿宋" w:hAnsi="仿宋" w:cs="仿宋"/>
          <w:snapToGrid/>
          <w:kern w:val="2"/>
          <w:sz w:val="28"/>
          <w:szCs w:val="28"/>
          <w:lang w:eastAsia="zh-CN"/>
        </w:rPr>
        <w:t>58,236.76</w:t>
      </w:r>
      <w:r>
        <w:rPr>
          <w:rFonts w:ascii="仿宋" w:eastAsia="仿宋" w:hAnsi="仿宋" w:cs="仿宋" w:hint="eastAsia"/>
          <w:snapToGrid/>
          <w:kern w:val="2"/>
          <w:sz w:val="28"/>
          <w:szCs w:val="28"/>
          <w:lang w:eastAsia="zh-CN"/>
        </w:rPr>
        <w:t>万元由公司以发行股份方式支付，按照发行价格</w:t>
      </w:r>
      <w:r>
        <w:rPr>
          <w:rFonts w:ascii="仿宋" w:eastAsia="仿宋" w:hAnsi="仿宋" w:cs="仿宋"/>
          <w:snapToGrid/>
          <w:kern w:val="2"/>
          <w:sz w:val="28"/>
          <w:szCs w:val="28"/>
          <w:lang w:eastAsia="zh-CN"/>
        </w:rPr>
        <w:t>26.76</w:t>
      </w:r>
      <w:r>
        <w:rPr>
          <w:rFonts w:ascii="仿宋" w:eastAsia="仿宋" w:hAnsi="仿宋" w:cs="仿宋" w:hint="eastAsia"/>
          <w:snapToGrid/>
          <w:kern w:val="2"/>
          <w:sz w:val="28"/>
          <w:szCs w:val="28"/>
          <w:lang w:eastAsia="zh-CN"/>
        </w:rPr>
        <w:t>元</w:t>
      </w:r>
      <w:r>
        <w:rPr>
          <w:rFonts w:ascii="仿宋" w:eastAsia="仿宋" w:hAnsi="仿宋" w:cs="仿宋"/>
          <w:snapToGrid/>
          <w:kern w:val="2"/>
          <w:sz w:val="28"/>
          <w:szCs w:val="28"/>
          <w:lang w:eastAsia="zh-CN"/>
        </w:rPr>
        <w:t>/</w:t>
      </w:r>
      <w:r>
        <w:rPr>
          <w:rFonts w:ascii="仿宋" w:eastAsia="仿宋" w:hAnsi="仿宋" w:cs="仿宋" w:hint="eastAsia"/>
          <w:snapToGrid/>
          <w:kern w:val="2"/>
          <w:sz w:val="28"/>
          <w:szCs w:val="28"/>
          <w:lang w:eastAsia="zh-CN"/>
        </w:rPr>
        <w:t>股计算，发行数量为</w:t>
      </w:r>
      <w:r>
        <w:rPr>
          <w:rFonts w:ascii="仿宋" w:eastAsia="仿宋" w:hAnsi="仿宋" w:cs="仿宋"/>
          <w:snapToGrid/>
          <w:kern w:val="2"/>
          <w:sz w:val="28"/>
          <w:szCs w:val="28"/>
          <w:lang w:eastAsia="zh-CN"/>
        </w:rPr>
        <w:t>21,762,605</w:t>
      </w:r>
      <w:r>
        <w:rPr>
          <w:rFonts w:ascii="仿宋" w:eastAsia="仿宋" w:hAnsi="仿宋" w:cs="仿宋" w:hint="eastAsia"/>
          <w:snapToGrid/>
          <w:kern w:val="2"/>
          <w:sz w:val="28"/>
          <w:szCs w:val="28"/>
          <w:lang w:eastAsia="zh-CN"/>
        </w:rPr>
        <w:t>股。同时，公司拟向</w:t>
      </w:r>
      <w:r>
        <w:rPr>
          <w:rFonts w:ascii="仿宋" w:eastAsia="仿宋" w:hAnsi="仿宋" w:cs="仿宋"/>
          <w:snapToGrid/>
          <w:kern w:val="2"/>
          <w:sz w:val="28"/>
          <w:szCs w:val="28"/>
          <w:lang w:eastAsia="zh-CN"/>
        </w:rPr>
        <w:t>实际控制人之一马学沛先生发行股份募集配套资金</w:t>
      </w:r>
      <w:r>
        <w:rPr>
          <w:rFonts w:ascii="仿宋" w:eastAsia="仿宋" w:hAnsi="仿宋" w:cs="仿宋" w:hint="eastAsia"/>
          <w:snapToGrid/>
          <w:kern w:val="2"/>
          <w:sz w:val="28"/>
          <w:szCs w:val="28"/>
          <w:lang w:eastAsia="zh-CN"/>
        </w:rPr>
        <w:t>，募集配套资金总额为不超过</w:t>
      </w:r>
      <w:r>
        <w:rPr>
          <w:rFonts w:ascii="仿宋" w:eastAsia="仿宋" w:hAnsi="仿宋" w:cs="仿宋"/>
          <w:snapToGrid/>
          <w:kern w:val="2"/>
          <w:sz w:val="28"/>
          <w:szCs w:val="28"/>
          <w:lang w:eastAsia="zh-CN"/>
        </w:rPr>
        <w:lastRenderedPageBreak/>
        <w:t>1</w:t>
      </w:r>
      <w:r>
        <w:rPr>
          <w:rFonts w:ascii="仿宋" w:eastAsia="仿宋" w:hAnsi="仿宋" w:cs="仿宋" w:hint="eastAsia"/>
          <w:snapToGrid/>
          <w:kern w:val="2"/>
          <w:sz w:val="28"/>
          <w:szCs w:val="28"/>
          <w:lang w:eastAsia="zh-CN"/>
        </w:rPr>
        <w:t>5</w:t>
      </w:r>
      <w:r>
        <w:rPr>
          <w:rFonts w:ascii="仿宋" w:eastAsia="仿宋" w:hAnsi="仿宋" w:cs="仿宋"/>
          <w:snapToGrid/>
          <w:kern w:val="2"/>
          <w:sz w:val="28"/>
          <w:szCs w:val="28"/>
          <w:lang w:eastAsia="zh-CN"/>
        </w:rPr>
        <w:t>,</w:t>
      </w:r>
      <w:r>
        <w:rPr>
          <w:rFonts w:ascii="仿宋" w:eastAsia="仿宋" w:hAnsi="仿宋" w:cs="仿宋" w:hint="eastAsia"/>
          <w:snapToGrid/>
          <w:kern w:val="2"/>
          <w:sz w:val="28"/>
          <w:szCs w:val="28"/>
          <w:lang w:eastAsia="zh-CN"/>
        </w:rPr>
        <w:t>5</w:t>
      </w:r>
      <w:r>
        <w:rPr>
          <w:rFonts w:ascii="仿宋" w:eastAsia="仿宋" w:hAnsi="仿宋" w:cs="仿宋"/>
          <w:snapToGrid/>
          <w:kern w:val="2"/>
          <w:sz w:val="28"/>
          <w:szCs w:val="28"/>
          <w:lang w:eastAsia="zh-CN"/>
        </w:rPr>
        <w:t>00.00</w:t>
      </w:r>
      <w:r>
        <w:rPr>
          <w:rFonts w:ascii="仿宋" w:eastAsia="仿宋" w:hAnsi="仿宋" w:cs="仿宋" w:hint="eastAsia"/>
          <w:snapToGrid/>
          <w:kern w:val="2"/>
          <w:sz w:val="28"/>
          <w:szCs w:val="28"/>
          <w:lang w:eastAsia="zh-CN"/>
        </w:rPr>
        <w:t>万元，按照发行价格</w:t>
      </w:r>
      <w:r>
        <w:rPr>
          <w:rFonts w:ascii="仿宋" w:eastAsia="仿宋" w:hAnsi="仿宋" w:cs="仿宋"/>
          <w:snapToGrid/>
          <w:kern w:val="2"/>
          <w:sz w:val="28"/>
          <w:szCs w:val="28"/>
          <w:lang w:eastAsia="zh-CN"/>
        </w:rPr>
        <w:t>32.74</w:t>
      </w:r>
      <w:r>
        <w:rPr>
          <w:rFonts w:ascii="仿宋" w:eastAsia="仿宋" w:hAnsi="仿宋" w:cs="仿宋" w:hint="eastAsia"/>
          <w:snapToGrid/>
          <w:kern w:val="2"/>
          <w:sz w:val="28"/>
          <w:szCs w:val="28"/>
          <w:lang w:eastAsia="zh-CN"/>
        </w:rPr>
        <w:t>元</w:t>
      </w:r>
      <w:r>
        <w:rPr>
          <w:rFonts w:ascii="仿宋" w:eastAsia="仿宋" w:hAnsi="仿宋" w:cs="仿宋"/>
          <w:snapToGrid/>
          <w:kern w:val="2"/>
          <w:sz w:val="28"/>
          <w:szCs w:val="28"/>
          <w:lang w:eastAsia="zh-CN"/>
        </w:rPr>
        <w:t>/</w:t>
      </w:r>
      <w:r>
        <w:rPr>
          <w:rFonts w:ascii="仿宋" w:eastAsia="仿宋" w:hAnsi="仿宋" w:cs="仿宋" w:hint="eastAsia"/>
          <w:snapToGrid/>
          <w:kern w:val="2"/>
          <w:sz w:val="28"/>
          <w:szCs w:val="28"/>
          <w:lang w:eastAsia="zh-CN"/>
        </w:rPr>
        <w:t>股计算，发行数量为不超过</w:t>
      </w:r>
      <w:r>
        <w:rPr>
          <w:rFonts w:ascii="仿宋" w:eastAsia="仿宋" w:hAnsi="仿宋" w:cs="仿宋"/>
          <w:snapToGrid/>
          <w:kern w:val="2"/>
          <w:sz w:val="28"/>
          <w:szCs w:val="28"/>
          <w:lang w:eastAsia="zh-CN"/>
        </w:rPr>
        <w:t>4,734,270</w:t>
      </w:r>
      <w:r>
        <w:rPr>
          <w:rFonts w:ascii="仿宋" w:eastAsia="仿宋" w:hAnsi="仿宋" w:cs="仿宋"/>
          <w:snapToGrid/>
          <w:kern w:val="2"/>
          <w:sz w:val="28"/>
          <w:szCs w:val="28"/>
          <w:lang w:eastAsia="zh-CN"/>
        </w:rPr>
        <w:t>股</w:t>
      </w:r>
      <w:r>
        <w:rPr>
          <w:rFonts w:ascii="仿宋" w:eastAsia="仿宋" w:hAnsi="仿宋" w:cs="仿宋" w:hint="eastAsia"/>
          <w:snapToGrid/>
          <w:kern w:val="2"/>
          <w:sz w:val="28"/>
          <w:szCs w:val="28"/>
          <w:lang w:eastAsia="zh-CN"/>
        </w:rPr>
        <w:t>。根据本次交易方案，</w:t>
      </w:r>
      <w:r>
        <w:rPr>
          <w:rFonts w:ascii="仿宋" w:eastAsia="仿宋" w:hAnsi="仿宋" w:cs="仿宋"/>
          <w:snapToGrid/>
          <w:kern w:val="2"/>
          <w:sz w:val="28"/>
          <w:szCs w:val="28"/>
          <w:lang w:eastAsia="zh-CN"/>
        </w:rPr>
        <w:t>自本次发行的定价基准日至发行日期间，上市公司如有派息、送股、资本公积金转增股本等除权、除息事项，</w:t>
      </w:r>
      <w:r>
        <w:rPr>
          <w:rFonts w:ascii="仿宋" w:eastAsia="仿宋" w:hAnsi="仿宋" w:cs="仿宋" w:hint="eastAsia"/>
          <w:snapToGrid/>
          <w:kern w:val="2"/>
          <w:sz w:val="28"/>
          <w:szCs w:val="28"/>
          <w:lang w:eastAsia="zh-CN"/>
        </w:rPr>
        <w:t>则</w:t>
      </w:r>
      <w:r>
        <w:rPr>
          <w:rFonts w:ascii="仿宋" w:eastAsia="仿宋" w:hAnsi="仿宋" w:cs="仿宋"/>
          <w:snapToGrid/>
          <w:kern w:val="2"/>
          <w:sz w:val="28"/>
          <w:szCs w:val="28"/>
          <w:lang w:eastAsia="zh-CN"/>
        </w:rPr>
        <w:t>上述发行价格将根据</w:t>
      </w:r>
      <w:r>
        <w:rPr>
          <w:rFonts w:ascii="仿宋" w:eastAsia="仿宋" w:hAnsi="仿宋" w:cs="仿宋" w:hint="eastAsia"/>
          <w:snapToGrid/>
          <w:kern w:val="2"/>
          <w:sz w:val="28"/>
          <w:szCs w:val="28"/>
          <w:lang w:eastAsia="zh-CN"/>
        </w:rPr>
        <w:t>中国证券监督管理委员会</w:t>
      </w:r>
      <w:r>
        <w:rPr>
          <w:rFonts w:ascii="仿宋" w:eastAsia="仿宋" w:hAnsi="仿宋" w:cs="仿宋"/>
          <w:snapToGrid/>
          <w:kern w:val="2"/>
          <w:sz w:val="28"/>
          <w:szCs w:val="28"/>
          <w:lang w:eastAsia="zh-CN"/>
        </w:rPr>
        <w:t>及</w:t>
      </w:r>
      <w:r>
        <w:rPr>
          <w:rFonts w:ascii="仿宋" w:eastAsia="仿宋" w:hAnsi="仿宋" w:cs="仿宋" w:hint="eastAsia"/>
          <w:snapToGrid/>
          <w:kern w:val="2"/>
          <w:sz w:val="28"/>
          <w:szCs w:val="28"/>
          <w:lang w:eastAsia="zh-CN"/>
        </w:rPr>
        <w:t>深圳证券交易所</w:t>
      </w:r>
      <w:r>
        <w:rPr>
          <w:rFonts w:ascii="仿宋" w:eastAsia="仿宋" w:hAnsi="仿宋" w:cs="仿宋"/>
          <w:snapToGrid/>
          <w:kern w:val="2"/>
          <w:sz w:val="28"/>
          <w:szCs w:val="28"/>
          <w:lang w:eastAsia="zh-CN"/>
        </w:rPr>
        <w:t>的相关规则进行相应调整</w:t>
      </w:r>
      <w:r>
        <w:rPr>
          <w:rFonts w:ascii="仿宋" w:eastAsia="仿宋" w:hAnsi="仿宋" w:cs="仿宋" w:hint="eastAsia"/>
          <w:snapToGrid/>
          <w:kern w:val="2"/>
          <w:sz w:val="28"/>
          <w:szCs w:val="28"/>
          <w:lang w:eastAsia="zh-CN"/>
        </w:rPr>
        <w:t>。</w:t>
      </w:r>
    </w:p>
    <w:p w14:paraId="72FBA9A1" w14:textId="77777777" w:rsidR="00AE1DA4" w:rsidRDefault="00AF08B9">
      <w:pPr>
        <w:widowControl w:val="0"/>
        <w:kinsoku/>
        <w:autoSpaceDE/>
        <w:autoSpaceDN/>
        <w:adjustRightInd/>
        <w:snapToGrid/>
        <w:spacing w:line="360" w:lineRule="auto"/>
        <w:ind w:firstLineChars="200" w:firstLine="562"/>
        <w:jc w:val="both"/>
        <w:textAlignment w:val="auto"/>
        <w:outlineLvl w:val="0"/>
        <w:rPr>
          <w:rFonts w:ascii="仿宋" w:eastAsia="仿宋" w:hAnsi="仿宋" w:cs="仿宋"/>
          <w:b/>
          <w:snapToGrid/>
          <w:kern w:val="2"/>
          <w:sz w:val="28"/>
          <w:szCs w:val="28"/>
          <w:lang w:eastAsia="zh-CN"/>
        </w:rPr>
      </w:pPr>
      <w:r>
        <w:rPr>
          <w:rFonts w:ascii="仿宋" w:eastAsia="仿宋" w:hAnsi="仿宋" w:cs="仿宋" w:hint="eastAsia"/>
          <w:b/>
          <w:snapToGrid/>
          <w:kern w:val="2"/>
          <w:sz w:val="28"/>
          <w:szCs w:val="28"/>
          <w:lang w:eastAsia="zh-CN"/>
        </w:rPr>
        <w:t>二、</w:t>
      </w:r>
      <w:r>
        <w:rPr>
          <w:rFonts w:ascii="仿宋" w:eastAsia="仿宋" w:hAnsi="仿宋" w:cs="仿宋" w:hint="eastAsia"/>
          <w:b/>
          <w:snapToGrid/>
          <w:kern w:val="2"/>
          <w:sz w:val="28"/>
          <w:szCs w:val="28"/>
          <w:lang w:eastAsia="zh-CN"/>
        </w:rPr>
        <w:t>2025</w:t>
      </w:r>
      <w:r>
        <w:rPr>
          <w:rFonts w:ascii="仿宋" w:eastAsia="仿宋" w:hAnsi="仿宋" w:cs="仿宋" w:hint="eastAsia"/>
          <w:b/>
          <w:snapToGrid/>
          <w:kern w:val="2"/>
          <w:sz w:val="28"/>
          <w:szCs w:val="28"/>
          <w:lang w:eastAsia="zh-CN"/>
        </w:rPr>
        <w:t>年年度权益分派实施情况</w:t>
      </w:r>
    </w:p>
    <w:p w14:paraId="58B71E05" w14:textId="64644D7F"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公司于</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年</w:t>
      </w:r>
      <w:r>
        <w:rPr>
          <w:rFonts w:ascii="仿宋" w:eastAsia="仿宋" w:hAnsi="仿宋" w:cs="仿宋"/>
          <w:snapToGrid/>
          <w:kern w:val="2"/>
          <w:sz w:val="28"/>
          <w:szCs w:val="28"/>
          <w:lang w:eastAsia="zh-CN"/>
        </w:rPr>
        <w:t>4</w:t>
      </w:r>
      <w:r>
        <w:rPr>
          <w:rFonts w:ascii="仿宋" w:eastAsia="仿宋" w:hAnsi="仿宋" w:cs="仿宋" w:hint="eastAsia"/>
          <w:snapToGrid/>
          <w:kern w:val="2"/>
          <w:sz w:val="28"/>
          <w:szCs w:val="28"/>
          <w:lang w:eastAsia="zh-CN"/>
        </w:rPr>
        <w:t>月</w:t>
      </w:r>
      <w:r>
        <w:rPr>
          <w:rFonts w:ascii="仿宋" w:eastAsia="仿宋" w:hAnsi="仿宋" w:cs="仿宋"/>
          <w:snapToGrid/>
          <w:kern w:val="2"/>
          <w:sz w:val="28"/>
          <w:szCs w:val="28"/>
          <w:lang w:eastAsia="zh-CN"/>
        </w:rPr>
        <w:t>2</w:t>
      </w:r>
      <w:r>
        <w:rPr>
          <w:rFonts w:ascii="仿宋" w:eastAsia="仿宋" w:hAnsi="仿宋" w:cs="仿宋" w:hint="eastAsia"/>
          <w:snapToGrid/>
          <w:kern w:val="2"/>
          <w:sz w:val="28"/>
          <w:szCs w:val="28"/>
          <w:lang w:eastAsia="zh-CN"/>
        </w:rPr>
        <w:t>1</w:t>
      </w:r>
      <w:r>
        <w:rPr>
          <w:rFonts w:ascii="仿宋" w:eastAsia="仿宋" w:hAnsi="仿宋" w:cs="仿宋" w:hint="eastAsia"/>
          <w:snapToGrid/>
          <w:kern w:val="2"/>
          <w:sz w:val="28"/>
          <w:szCs w:val="28"/>
          <w:lang w:eastAsia="zh-CN"/>
        </w:rPr>
        <w:t>日召开</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5</w:t>
      </w:r>
      <w:r>
        <w:rPr>
          <w:rFonts w:ascii="仿宋" w:eastAsia="仿宋" w:hAnsi="仿宋" w:cs="仿宋" w:hint="eastAsia"/>
          <w:snapToGrid/>
          <w:kern w:val="2"/>
          <w:sz w:val="28"/>
          <w:szCs w:val="28"/>
          <w:lang w:eastAsia="zh-CN"/>
        </w:rPr>
        <w:t>年年度股东会，审议通过了《</w:t>
      </w:r>
      <w:r>
        <w:rPr>
          <w:rFonts w:ascii="仿宋" w:eastAsia="仿宋" w:hAnsi="仿宋" w:cs="仿宋"/>
          <w:snapToGrid/>
          <w:kern w:val="2"/>
          <w:sz w:val="28"/>
          <w:szCs w:val="28"/>
          <w:lang w:eastAsia="zh-CN"/>
        </w:rPr>
        <w:t>关于</w:t>
      </w:r>
      <w:r>
        <w:rPr>
          <w:rFonts w:ascii="仿宋" w:eastAsia="仿宋" w:hAnsi="仿宋" w:cs="仿宋"/>
          <w:snapToGrid/>
          <w:kern w:val="2"/>
          <w:sz w:val="28"/>
          <w:szCs w:val="28"/>
          <w:lang w:eastAsia="zh-CN"/>
        </w:rPr>
        <w:t>2025</w:t>
      </w:r>
      <w:r>
        <w:rPr>
          <w:rFonts w:ascii="仿宋" w:eastAsia="仿宋" w:hAnsi="仿宋" w:cs="仿宋"/>
          <w:snapToGrid/>
          <w:kern w:val="2"/>
          <w:sz w:val="28"/>
          <w:szCs w:val="28"/>
          <w:lang w:eastAsia="zh-CN"/>
        </w:rPr>
        <w:t>年度利润分配预案的议案</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5</w:t>
      </w:r>
      <w:r>
        <w:rPr>
          <w:rFonts w:ascii="仿宋" w:eastAsia="仿宋" w:hAnsi="仿宋" w:cs="仿宋" w:hint="eastAsia"/>
          <w:snapToGrid/>
          <w:kern w:val="2"/>
          <w:sz w:val="28"/>
          <w:szCs w:val="28"/>
          <w:lang w:eastAsia="zh-CN"/>
        </w:rPr>
        <w:t>年年度权益分派方案为</w:t>
      </w:r>
      <w:r>
        <w:rPr>
          <w:rFonts w:ascii="仿宋" w:eastAsia="仿宋" w:hAnsi="仿宋" w:cs="仿宋"/>
          <w:snapToGrid/>
          <w:kern w:val="2"/>
          <w:sz w:val="28"/>
          <w:szCs w:val="28"/>
          <w:lang w:eastAsia="zh-CN"/>
        </w:rPr>
        <w:t>以公司</w:t>
      </w:r>
      <w:r>
        <w:rPr>
          <w:rFonts w:ascii="仿宋" w:eastAsia="仿宋" w:hAnsi="仿宋" w:cs="仿宋"/>
          <w:snapToGrid/>
          <w:kern w:val="2"/>
          <w:sz w:val="28"/>
          <w:szCs w:val="28"/>
          <w:lang w:eastAsia="zh-CN"/>
        </w:rPr>
        <w:t>总股本剔除已回购股份</w:t>
      </w:r>
      <w:r>
        <w:rPr>
          <w:rFonts w:ascii="仿宋" w:eastAsia="仿宋" w:hAnsi="仿宋" w:cs="仿宋"/>
          <w:snapToGrid/>
          <w:kern w:val="2"/>
          <w:sz w:val="28"/>
          <w:szCs w:val="28"/>
          <w:lang w:eastAsia="zh-CN"/>
        </w:rPr>
        <w:t>1,224,140</w:t>
      </w:r>
      <w:r>
        <w:rPr>
          <w:rFonts w:ascii="仿宋" w:eastAsia="仿宋" w:hAnsi="仿宋" w:cs="仿宋"/>
          <w:snapToGrid/>
          <w:kern w:val="2"/>
          <w:sz w:val="28"/>
          <w:szCs w:val="28"/>
          <w:lang w:eastAsia="zh-CN"/>
        </w:rPr>
        <w:t>股后的</w:t>
      </w:r>
      <w:r>
        <w:rPr>
          <w:rFonts w:ascii="仿宋" w:eastAsia="仿宋" w:hAnsi="仿宋" w:cs="仿宋"/>
          <w:snapToGrid/>
          <w:kern w:val="2"/>
          <w:sz w:val="28"/>
          <w:szCs w:val="28"/>
          <w:lang w:eastAsia="zh-CN"/>
        </w:rPr>
        <w:t>65,628,660</w:t>
      </w:r>
      <w:r>
        <w:rPr>
          <w:rFonts w:ascii="仿宋" w:eastAsia="仿宋" w:hAnsi="仿宋" w:cs="仿宋"/>
          <w:snapToGrid/>
          <w:kern w:val="2"/>
          <w:sz w:val="28"/>
          <w:szCs w:val="28"/>
          <w:lang w:eastAsia="zh-CN"/>
        </w:rPr>
        <w:t>股为基数，向全体股东每</w:t>
      </w:r>
      <w:r>
        <w:rPr>
          <w:rFonts w:ascii="仿宋" w:eastAsia="仿宋" w:hAnsi="仿宋" w:cs="仿宋"/>
          <w:snapToGrid/>
          <w:kern w:val="2"/>
          <w:sz w:val="28"/>
          <w:szCs w:val="28"/>
          <w:lang w:eastAsia="zh-CN"/>
        </w:rPr>
        <w:t>10</w:t>
      </w:r>
      <w:r>
        <w:rPr>
          <w:rFonts w:ascii="仿宋" w:eastAsia="仿宋" w:hAnsi="仿宋" w:cs="仿宋"/>
          <w:snapToGrid/>
          <w:kern w:val="2"/>
          <w:sz w:val="28"/>
          <w:szCs w:val="28"/>
          <w:lang w:eastAsia="zh-CN"/>
        </w:rPr>
        <w:t>股派</w:t>
      </w:r>
      <w:r>
        <w:rPr>
          <w:rFonts w:ascii="仿宋" w:eastAsia="仿宋" w:hAnsi="仿宋" w:cs="仿宋"/>
          <w:snapToGrid/>
          <w:kern w:val="2"/>
          <w:sz w:val="28"/>
          <w:szCs w:val="28"/>
          <w:lang w:eastAsia="zh-CN"/>
        </w:rPr>
        <w:t>0.50</w:t>
      </w:r>
      <w:r>
        <w:rPr>
          <w:rFonts w:ascii="仿宋" w:eastAsia="仿宋" w:hAnsi="仿宋" w:cs="仿宋"/>
          <w:snapToGrid/>
          <w:kern w:val="2"/>
          <w:sz w:val="28"/>
          <w:szCs w:val="28"/>
          <w:lang w:eastAsia="zh-CN"/>
        </w:rPr>
        <w:t>元</w:t>
      </w:r>
      <w:r>
        <w:rPr>
          <w:rFonts w:ascii="仿宋" w:eastAsia="仿宋" w:hAnsi="仿宋" w:cs="仿宋" w:hint="eastAsia"/>
          <w:snapToGrid/>
          <w:kern w:val="2"/>
          <w:sz w:val="28"/>
          <w:szCs w:val="28"/>
          <w:lang w:eastAsia="zh-CN"/>
        </w:rPr>
        <w:t>（含税）</w:t>
      </w:r>
      <w:r>
        <w:rPr>
          <w:rFonts w:ascii="仿宋" w:eastAsia="仿宋" w:hAnsi="仿宋" w:cs="仿宋"/>
          <w:snapToGrid/>
          <w:kern w:val="2"/>
          <w:sz w:val="28"/>
          <w:szCs w:val="28"/>
          <w:lang w:eastAsia="zh-CN"/>
        </w:rPr>
        <w:t>人民币现金</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以资本公积金每</w:t>
      </w:r>
      <w:r>
        <w:rPr>
          <w:rFonts w:ascii="仿宋" w:eastAsia="仿宋" w:hAnsi="仿宋" w:cs="仿宋"/>
          <w:snapToGrid/>
          <w:kern w:val="2"/>
          <w:sz w:val="28"/>
          <w:szCs w:val="28"/>
          <w:lang w:eastAsia="zh-CN"/>
        </w:rPr>
        <w:t>10</w:t>
      </w:r>
      <w:r>
        <w:rPr>
          <w:rFonts w:ascii="仿宋" w:eastAsia="仿宋" w:hAnsi="仿宋" w:cs="仿宋"/>
          <w:snapToGrid/>
          <w:kern w:val="2"/>
          <w:sz w:val="28"/>
          <w:szCs w:val="28"/>
          <w:lang w:eastAsia="zh-CN"/>
        </w:rPr>
        <w:t>股转增</w:t>
      </w:r>
      <w:r>
        <w:rPr>
          <w:rFonts w:ascii="仿宋" w:eastAsia="仿宋" w:hAnsi="仿宋" w:cs="仿宋"/>
          <w:snapToGrid/>
          <w:kern w:val="2"/>
          <w:sz w:val="28"/>
          <w:szCs w:val="28"/>
          <w:lang w:eastAsia="zh-CN"/>
        </w:rPr>
        <w:t>4</w:t>
      </w:r>
      <w:r>
        <w:rPr>
          <w:rFonts w:ascii="仿宋" w:eastAsia="仿宋" w:hAnsi="仿宋" w:cs="仿宋"/>
          <w:snapToGrid/>
          <w:kern w:val="2"/>
          <w:sz w:val="28"/>
          <w:szCs w:val="28"/>
          <w:lang w:eastAsia="zh-CN"/>
        </w:rPr>
        <w:t>股，不</w:t>
      </w:r>
      <w:r>
        <w:rPr>
          <w:rFonts w:ascii="仿宋" w:eastAsia="仿宋" w:hAnsi="仿宋" w:cs="仿宋"/>
          <w:snapToGrid/>
          <w:kern w:val="2"/>
          <w:sz w:val="28"/>
          <w:szCs w:val="28"/>
          <w:lang w:eastAsia="zh-CN"/>
        </w:rPr>
        <w:t>送红股</w:t>
      </w:r>
      <w:r>
        <w:rPr>
          <w:rFonts w:ascii="仿宋" w:eastAsia="仿宋" w:hAnsi="仿宋" w:cs="仿宋" w:hint="eastAsia"/>
          <w:snapToGrid/>
          <w:kern w:val="2"/>
          <w:sz w:val="28"/>
          <w:szCs w:val="28"/>
          <w:lang w:eastAsia="zh-CN"/>
        </w:rPr>
        <w:t>。</w:t>
      </w:r>
    </w:p>
    <w:p w14:paraId="3EBE102E"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公司于</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年</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月</w:t>
      </w:r>
      <w:r>
        <w:rPr>
          <w:rFonts w:ascii="仿宋" w:eastAsia="仿宋" w:hAnsi="仿宋" w:cs="仿宋" w:hint="eastAsia"/>
          <w:snapToGrid/>
          <w:kern w:val="2"/>
          <w:sz w:val="28"/>
          <w:szCs w:val="28"/>
          <w:lang w:eastAsia="zh-CN"/>
        </w:rPr>
        <w:t>10</w:t>
      </w:r>
      <w:r>
        <w:rPr>
          <w:rFonts w:ascii="仿宋" w:eastAsia="仿宋" w:hAnsi="仿宋" w:cs="仿宋" w:hint="eastAsia"/>
          <w:snapToGrid/>
          <w:kern w:val="2"/>
          <w:sz w:val="28"/>
          <w:szCs w:val="28"/>
          <w:lang w:eastAsia="zh-CN"/>
        </w:rPr>
        <w:t>日披露了《</w:t>
      </w:r>
      <w:r>
        <w:rPr>
          <w:rFonts w:ascii="仿宋" w:eastAsia="仿宋" w:hAnsi="仿宋" w:cs="仿宋"/>
          <w:snapToGrid/>
          <w:kern w:val="2"/>
          <w:sz w:val="28"/>
          <w:szCs w:val="28"/>
          <w:lang w:eastAsia="zh-CN"/>
        </w:rPr>
        <w:t>2025</w:t>
      </w:r>
      <w:r>
        <w:rPr>
          <w:rFonts w:ascii="仿宋" w:eastAsia="仿宋" w:hAnsi="仿宋" w:cs="仿宋"/>
          <w:snapToGrid/>
          <w:kern w:val="2"/>
          <w:sz w:val="28"/>
          <w:szCs w:val="28"/>
          <w:lang w:eastAsia="zh-CN"/>
        </w:rPr>
        <w:t>年度权益分派实施公告</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5</w:t>
      </w:r>
      <w:r>
        <w:rPr>
          <w:rFonts w:ascii="仿宋" w:eastAsia="仿宋" w:hAnsi="仿宋" w:cs="仿宋" w:hint="eastAsia"/>
          <w:snapToGrid/>
          <w:kern w:val="2"/>
          <w:sz w:val="28"/>
          <w:szCs w:val="28"/>
          <w:lang w:eastAsia="zh-CN"/>
        </w:rPr>
        <w:t>年年度权益分派股权登记日为</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年</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月</w:t>
      </w:r>
      <w:r>
        <w:rPr>
          <w:rFonts w:ascii="仿宋" w:eastAsia="仿宋" w:hAnsi="仿宋" w:cs="仿宋" w:hint="eastAsia"/>
          <w:snapToGrid/>
          <w:kern w:val="2"/>
          <w:sz w:val="28"/>
          <w:szCs w:val="28"/>
          <w:lang w:eastAsia="zh-CN"/>
        </w:rPr>
        <w:t>15</w:t>
      </w:r>
      <w:r>
        <w:rPr>
          <w:rFonts w:ascii="仿宋" w:eastAsia="仿宋" w:hAnsi="仿宋" w:cs="仿宋" w:hint="eastAsia"/>
          <w:snapToGrid/>
          <w:kern w:val="2"/>
          <w:sz w:val="28"/>
          <w:szCs w:val="28"/>
          <w:lang w:eastAsia="zh-CN"/>
        </w:rPr>
        <w:t>日，除权除息日为</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年</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月</w:t>
      </w:r>
      <w:r>
        <w:rPr>
          <w:rFonts w:ascii="仿宋" w:eastAsia="仿宋" w:hAnsi="仿宋" w:cs="仿宋"/>
          <w:snapToGrid/>
          <w:kern w:val="2"/>
          <w:sz w:val="28"/>
          <w:szCs w:val="28"/>
          <w:lang w:eastAsia="zh-CN"/>
        </w:rPr>
        <w:t>1</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日。上述利润分配方案已于</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年</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月</w:t>
      </w:r>
      <w:r>
        <w:rPr>
          <w:rFonts w:ascii="仿宋" w:eastAsia="仿宋" w:hAnsi="仿宋" w:cs="仿宋"/>
          <w:snapToGrid/>
          <w:kern w:val="2"/>
          <w:sz w:val="28"/>
          <w:szCs w:val="28"/>
          <w:lang w:eastAsia="zh-CN"/>
        </w:rPr>
        <w:t>1</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日实施完毕。</w:t>
      </w:r>
    </w:p>
    <w:p w14:paraId="04952FF9" w14:textId="77777777" w:rsidR="00AE1DA4" w:rsidRDefault="00AF08B9">
      <w:pPr>
        <w:widowControl w:val="0"/>
        <w:kinsoku/>
        <w:autoSpaceDE/>
        <w:autoSpaceDN/>
        <w:adjustRightInd/>
        <w:snapToGrid/>
        <w:spacing w:line="360" w:lineRule="auto"/>
        <w:ind w:firstLineChars="200" w:firstLine="562"/>
        <w:jc w:val="both"/>
        <w:textAlignment w:val="auto"/>
        <w:outlineLvl w:val="0"/>
        <w:rPr>
          <w:rFonts w:ascii="仿宋" w:eastAsia="仿宋" w:hAnsi="仿宋" w:cs="仿宋"/>
          <w:b/>
          <w:snapToGrid/>
          <w:kern w:val="2"/>
          <w:sz w:val="28"/>
          <w:szCs w:val="28"/>
          <w:lang w:eastAsia="zh-CN"/>
        </w:rPr>
      </w:pPr>
      <w:r>
        <w:rPr>
          <w:rFonts w:ascii="仿宋" w:eastAsia="仿宋" w:hAnsi="仿宋" w:cs="仿宋" w:hint="eastAsia"/>
          <w:b/>
          <w:snapToGrid/>
          <w:kern w:val="2"/>
          <w:sz w:val="28"/>
          <w:szCs w:val="28"/>
          <w:lang w:eastAsia="zh-CN"/>
        </w:rPr>
        <w:t>三、</w:t>
      </w:r>
      <w:r>
        <w:rPr>
          <w:rFonts w:ascii="仿宋" w:eastAsia="仿宋" w:hAnsi="仿宋" w:cs="仿宋"/>
          <w:b/>
          <w:snapToGrid/>
          <w:kern w:val="2"/>
          <w:sz w:val="28"/>
          <w:szCs w:val="28"/>
          <w:lang w:eastAsia="zh-CN"/>
        </w:rPr>
        <w:t>发行价格、</w:t>
      </w:r>
      <w:r>
        <w:rPr>
          <w:rFonts w:ascii="仿宋" w:eastAsia="仿宋" w:hAnsi="仿宋" w:cs="仿宋"/>
          <w:b/>
          <w:snapToGrid/>
          <w:kern w:val="2"/>
          <w:sz w:val="28"/>
          <w:szCs w:val="28"/>
          <w:lang w:eastAsia="zh-CN"/>
        </w:rPr>
        <w:t xml:space="preserve"> </w:t>
      </w:r>
      <w:r>
        <w:rPr>
          <w:rFonts w:ascii="仿宋" w:eastAsia="仿宋" w:hAnsi="仿宋" w:cs="仿宋"/>
          <w:b/>
          <w:snapToGrid/>
          <w:kern w:val="2"/>
          <w:sz w:val="28"/>
          <w:szCs w:val="28"/>
          <w:lang w:eastAsia="zh-CN"/>
        </w:rPr>
        <w:t>发行数量调整情况</w:t>
      </w:r>
    </w:p>
    <w:p w14:paraId="2B1A873B"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根据本次交易方案，公司</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5</w:t>
      </w:r>
      <w:r>
        <w:rPr>
          <w:rFonts w:ascii="仿宋" w:eastAsia="仿宋" w:hAnsi="仿宋" w:cs="仿宋"/>
          <w:snapToGrid/>
          <w:kern w:val="2"/>
          <w:sz w:val="28"/>
          <w:szCs w:val="28"/>
          <w:lang w:eastAsia="zh-CN"/>
        </w:rPr>
        <w:t>年年度权益分派实施完毕后，</w:t>
      </w:r>
      <w:r>
        <w:rPr>
          <w:rFonts w:ascii="仿宋" w:eastAsia="仿宋" w:hAnsi="仿宋" w:cs="仿宋"/>
          <w:snapToGrid/>
          <w:kern w:val="2"/>
          <w:sz w:val="28"/>
          <w:szCs w:val="28"/>
          <w:lang w:eastAsia="zh-CN"/>
        </w:rPr>
        <w:t xml:space="preserve"> </w:t>
      </w:r>
      <w:r>
        <w:rPr>
          <w:rFonts w:ascii="仿宋" w:eastAsia="仿宋" w:hAnsi="仿宋" w:cs="仿宋"/>
          <w:snapToGrid/>
          <w:kern w:val="2"/>
          <w:sz w:val="28"/>
          <w:szCs w:val="28"/>
          <w:lang w:eastAsia="zh-CN"/>
        </w:rPr>
        <w:t>发行股份购买资产并募集配套资金的发行价格及发行数量做如下调整</w:t>
      </w:r>
      <w:r>
        <w:rPr>
          <w:rFonts w:ascii="仿宋" w:eastAsia="仿宋" w:hAnsi="仿宋" w:cs="仿宋" w:hint="eastAsia"/>
          <w:snapToGrid/>
          <w:kern w:val="2"/>
          <w:sz w:val="28"/>
          <w:szCs w:val="28"/>
          <w:lang w:eastAsia="zh-CN"/>
        </w:rPr>
        <w:t>：</w:t>
      </w:r>
    </w:p>
    <w:p w14:paraId="76598598" w14:textId="77777777" w:rsidR="00AE1DA4" w:rsidRDefault="00AF08B9">
      <w:pPr>
        <w:widowControl w:val="0"/>
        <w:kinsoku/>
        <w:autoSpaceDE/>
        <w:autoSpaceDN/>
        <w:adjustRightInd/>
        <w:snapToGrid/>
        <w:spacing w:line="360" w:lineRule="auto"/>
        <w:ind w:firstLineChars="200" w:firstLine="560"/>
        <w:jc w:val="both"/>
        <w:textAlignment w:val="auto"/>
        <w:outlineLvl w:val="1"/>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（一）发行股份购买资产</w:t>
      </w:r>
    </w:p>
    <w:p w14:paraId="2B245B5C"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1</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发行价格调整情况</w:t>
      </w:r>
    </w:p>
    <w:p w14:paraId="754418D5"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根据《广东天亿马信息产业股份有限公司发行股份及支付现金购买资产并募集配套资金暨关联交易报告书》及本次交易相关协议约定，</w:t>
      </w:r>
      <w:r>
        <w:rPr>
          <w:rFonts w:ascii="仿宋" w:eastAsia="仿宋" w:hAnsi="仿宋" w:cs="仿宋"/>
          <w:snapToGrid/>
          <w:kern w:val="2"/>
          <w:sz w:val="28"/>
          <w:szCs w:val="28"/>
          <w:lang w:eastAsia="zh-CN"/>
        </w:rPr>
        <w:t xml:space="preserve"> </w:t>
      </w:r>
      <w:r>
        <w:rPr>
          <w:rFonts w:ascii="仿宋" w:eastAsia="仿宋" w:hAnsi="仿宋" w:cs="仿宋" w:hint="eastAsia"/>
          <w:snapToGrid/>
          <w:kern w:val="2"/>
          <w:sz w:val="28"/>
          <w:szCs w:val="28"/>
          <w:lang w:eastAsia="zh-CN"/>
        </w:rPr>
        <w:t>上市公司在本次发行股份购买资产的定价基准日至发行日期间如有派息、</w:t>
      </w:r>
      <w:r>
        <w:rPr>
          <w:rFonts w:ascii="仿宋" w:eastAsia="仿宋" w:hAnsi="仿宋" w:cs="仿宋"/>
          <w:snapToGrid/>
          <w:kern w:val="2"/>
          <w:sz w:val="28"/>
          <w:szCs w:val="28"/>
          <w:lang w:eastAsia="zh-CN"/>
        </w:rPr>
        <w:t xml:space="preserve"> </w:t>
      </w:r>
      <w:r>
        <w:rPr>
          <w:rFonts w:ascii="仿宋" w:eastAsia="仿宋" w:hAnsi="仿宋" w:cs="仿宋" w:hint="eastAsia"/>
          <w:snapToGrid/>
          <w:kern w:val="2"/>
          <w:sz w:val="28"/>
          <w:szCs w:val="28"/>
          <w:lang w:eastAsia="zh-CN"/>
        </w:rPr>
        <w:t>送股、</w:t>
      </w:r>
      <w:r>
        <w:rPr>
          <w:rFonts w:ascii="仿宋" w:eastAsia="仿宋" w:hAnsi="仿宋" w:cs="仿宋"/>
          <w:snapToGrid/>
          <w:kern w:val="2"/>
          <w:sz w:val="28"/>
          <w:szCs w:val="28"/>
          <w:lang w:eastAsia="zh-CN"/>
        </w:rPr>
        <w:t xml:space="preserve"> </w:t>
      </w:r>
      <w:r>
        <w:rPr>
          <w:rFonts w:ascii="仿宋" w:eastAsia="仿宋" w:hAnsi="仿宋" w:cs="仿宋" w:hint="eastAsia"/>
          <w:snapToGrid/>
          <w:kern w:val="2"/>
          <w:sz w:val="28"/>
          <w:szCs w:val="28"/>
          <w:lang w:eastAsia="zh-CN"/>
        </w:rPr>
        <w:t>资本公积金转增股本等除权、除息事项，则按中国证监会及深圳证券交易所的相关规则对本次发行股份购买资产的发行</w:t>
      </w:r>
      <w:r>
        <w:rPr>
          <w:rFonts w:ascii="仿宋" w:eastAsia="仿宋" w:hAnsi="仿宋" w:cs="仿宋" w:hint="eastAsia"/>
          <w:snapToGrid/>
          <w:kern w:val="2"/>
          <w:sz w:val="28"/>
          <w:szCs w:val="28"/>
          <w:lang w:eastAsia="zh-CN"/>
        </w:rPr>
        <w:lastRenderedPageBreak/>
        <w:t>价格进行相应调整，发行价格的具体调整方法如下：</w:t>
      </w:r>
    </w:p>
    <w:p w14:paraId="15608367"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假设调整前发行价格为</w:t>
      </w:r>
      <w:r>
        <w:rPr>
          <w:rFonts w:ascii="仿宋" w:eastAsia="仿宋" w:hAnsi="仿宋" w:cs="仿宋"/>
          <w:snapToGrid/>
          <w:kern w:val="2"/>
          <w:sz w:val="28"/>
          <w:szCs w:val="28"/>
          <w:lang w:eastAsia="zh-CN"/>
        </w:rPr>
        <w:t>P0</w:t>
      </w:r>
      <w:r>
        <w:rPr>
          <w:rFonts w:ascii="仿宋" w:eastAsia="仿宋" w:hAnsi="仿宋" w:cs="仿宋" w:hint="eastAsia"/>
          <w:snapToGrid/>
          <w:kern w:val="2"/>
          <w:sz w:val="28"/>
          <w:szCs w:val="28"/>
          <w:lang w:eastAsia="zh-CN"/>
        </w:rPr>
        <w:t>，每股送股或转增股本数为</w:t>
      </w:r>
      <w:r>
        <w:rPr>
          <w:rFonts w:ascii="仿宋" w:eastAsia="仿宋" w:hAnsi="仿宋" w:cs="仿宋"/>
          <w:snapToGrid/>
          <w:kern w:val="2"/>
          <w:sz w:val="28"/>
          <w:szCs w:val="28"/>
          <w:lang w:eastAsia="zh-CN"/>
        </w:rPr>
        <w:t>N</w:t>
      </w:r>
      <w:r>
        <w:rPr>
          <w:rFonts w:ascii="仿宋" w:eastAsia="仿宋" w:hAnsi="仿宋" w:cs="仿宋" w:hint="eastAsia"/>
          <w:snapToGrid/>
          <w:kern w:val="2"/>
          <w:sz w:val="28"/>
          <w:szCs w:val="28"/>
          <w:lang w:eastAsia="zh-CN"/>
        </w:rPr>
        <w:t>，每股增发新股或配股数为</w:t>
      </w:r>
      <w:r>
        <w:rPr>
          <w:rFonts w:ascii="仿宋" w:eastAsia="仿宋" w:hAnsi="仿宋" w:cs="仿宋"/>
          <w:snapToGrid/>
          <w:kern w:val="2"/>
          <w:sz w:val="28"/>
          <w:szCs w:val="28"/>
          <w:lang w:eastAsia="zh-CN"/>
        </w:rPr>
        <w:t>K</w:t>
      </w:r>
      <w:r>
        <w:rPr>
          <w:rFonts w:ascii="仿宋" w:eastAsia="仿宋" w:hAnsi="仿宋" w:cs="仿宋" w:hint="eastAsia"/>
          <w:snapToGrid/>
          <w:kern w:val="2"/>
          <w:sz w:val="28"/>
          <w:szCs w:val="28"/>
          <w:lang w:eastAsia="zh-CN"/>
        </w:rPr>
        <w:t>，增发新股价或配股价为</w:t>
      </w:r>
      <w:r>
        <w:rPr>
          <w:rFonts w:ascii="仿宋" w:eastAsia="仿宋" w:hAnsi="仿宋" w:cs="仿宋"/>
          <w:snapToGrid/>
          <w:kern w:val="2"/>
          <w:sz w:val="28"/>
          <w:szCs w:val="28"/>
          <w:lang w:eastAsia="zh-CN"/>
        </w:rPr>
        <w:t>A</w:t>
      </w:r>
      <w:r>
        <w:rPr>
          <w:rFonts w:ascii="仿宋" w:eastAsia="仿宋" w:hAnsi="仿宋" w:cs="仿宋" w:hint="eastAsia"/>
          <w:snapToGrid/>
          <w:kern w:val="2"/>
          <w:sz w:val="28"/>
          <w:szCs w:val="28"/>
          <w:lang w:eastAsia="zh-CN"/>
        </w:rPr>
        <w:t>，每股派息为</w:t>
      </w:r>
      <w:r>
        <w:rPr>
          <w:rFonts w:ascii="仿宋" w:eastAsia="仿宋" w:hAnsi="仿宋" w:cs="仿宋"/>
          <w:snapToGrid/>
          <w:kern w:val="2"/>
          <w:sz w:val="28"/>
          <w:szCs w:val="28"/>
          <w:lang w:eastAsia="zh-CN"/>
        </w:rPr>
        <w:t>D</w:t>
      </w:r>
      <w:r>
        <w:rPr>
          <w:rFonts w:ascii="仿宋" w:eastAsia="仿宋" w:hAnsi="仿宋" w:cs="仿宋" w:hint="eastAsia"/>
          <w:snapToGrid/>
          <w:kern w:val="2"/>
          <w:sz w:val="28"/>
          <w:szCs w:val="28"/>
          <w:lang w:eastAsia="zh-CN"/>
        </w:rPr>
        <w:t>，调整后发行价格为</w:t>
      </w:r>
      <w:r>
        <w:rPr>
          <w:rFonts w:ascii="仿宋" w:eastAsia="仿宋" w:hAnsi="仿宋" w:cs="仿宋"/>
          <w:snapToGrid/>
          <w:kern w:val="2"/>
          <w:sz w:val="28"/>
          <w:szCs w:val="28"/>
          <w:lang w:eastAsia="zh-CN"/>
        </w:rPr>
        <w:t>P1</w:t>
      </w:r>
      <w:r>
        <w:rPr>
          <w:rFonts w:ascii="仿宋" w:eastAsia="仿宋" w:hAnsi="仿宋" w:cs="仿宋" w:hint="eastAsia"/>
          <w:snapToGrid/>
          <w:kern w:val="2"/>
          <w:sz w:val="28"/>
          <w:szCs w:val="28"/>
          <w:lang w:eastAsia="zh-CN"/>
        </w:rPr>
        <w:t>（调整值保留小数点后两位，最后</w:t>
      </w:r>
      <w:r>
        <w:rPr>
          <w:rFonts w:ascii="仿宋" w:eastAsia="仿宋" w:hAnsi="仿宋" w:cs="仿宋" w:hint="eastAsia"/>
          <w:snapToGrid/>
          <w:kern w:val="2"/>
          <w:sz w:val="28"/>
          <w:szCs w:val="28"/>
          <w:lang w:eastAsia="zh-CN"/>
        </w:rPr>
        <w:t>一位实行四舍五入），则：</w:t>
      </w:r>
    </w:p>
    <w:p w14:paraId="114569A6"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派息：</w:t>
      </w:r>
      <w:r>
        <w:rPr>
          <w:rFonts w:ascii="仿宋" w:eastAsia="仿宋" w:hAnsi="仿宋" w:cs="仿宋"/>
          <w:snapToGrid/>
          <w:kern w:val="2"/>
          <w:sz w:val="28"/>
          <w:szCs w:val="28"/>
          <w:lang w:eastAsia="zh-CN"/>
        </w:rPr>
        <w:t>P1</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P0</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D</w:t>
      </w:r>
    </w:p>
    <w:p w14:paraId="07DE0009"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送股或转增股本：</w:t>
      </w:r>
      <w:r>
        <w:rPr>
          <w:rFonts w:ascii="仿宋" w:eastAsia="仿宋" w:hAnsi="仿宋" w:cs="仿宋"/>
          <w:snapToGrid/>
          <w:kern w:val="2"/>
          <w:sz w:val="28"/>
          <w:szCs w:val="28"/>
          <w:lang w:eastAsia="zh-CN"/>
        </w:rPr>
        <w:t>P1</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P0/</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1</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N</w:t>
      </w:r>
      <w:r>
        <w:rPr>
          <w:rFonts w:ascii="仿宋" w:eastAsia="仿宋" w:hAnsi="仿宋" w:cs="仿宋" w:hint="eastAsia"/>
          <w:snapToGrid/>
          <w:kern w:val="2"/>
          <w:sz w:val="28"/>
          <w:szCs w:val="28"/>
          <w:lang w:eastAsia="zh-CN"/>
        </w:rPr>
        <w:t>）</w:t>
      </w:r>
    </w:p>
    <w:p w14:paraId="71822D9D"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增发新股或配股：</w:t>
      </w:r>
      <w:r>
        <w:rPr>
          <w:rFonts w:ascii="仿宋" w:eastAsia="仿宋" w:hAnsi="仿宋" w:cs="仿宋"/>
          <w:snapToGrid/>
          <w:kern w:val="2"/>
          <w:sz w:val="28"/>
          <w:szCs w:val="28"/>
          <w:lang w:eastAsia="zh-CN"/>
        </w:rPr>
        <w:t>P1</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P0</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A×K</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1</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K</w:t>
      </w:r>
      <w:r>
        <w:rPr>
          <w:rFonts w:ascii="仿宋" w:eastAsia="仿宋" w:hAnsi="仿宋" w:cs="仿宋" w:hint="eastAsia"/>
          <w:snapToGrid/>
          <w:kern w:val="2"/>
          <w:sz w:val="28"/>
          <w:szCs w:val="28"/>
          <w:lang w:eastAsia="zh-CN"/>
        </w:rPr>
        <w:t>）</w:t>
      </w:r>
    </w:p>
    <w:p w14:paraId="47A60BAB"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假设以上三项同时进行：</w:t>
      </w:r>
      <w:r>
        <w:rPr>
          <w:rFonts w:ascii="仿宋" w:eastAsia="仿宋" w:hAnsi="仿宋" w:cs="仿宋"/>
          <w:snapToGrid/>
          <w:kern w:val="2"/>
          <w:sz w:val="28"/>
          <w:szCs w:val="28"/>
          <w:lang w:eastAsia="zh-CN"/>
        </w:rPr>
        <w:t>P1</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P0</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D</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A×K</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1</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K</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N</w:t>
      </w:r>
      <w:r>
        <w:rPr>
          <w:rFonts w:ascii="仿宋" w:eastAsia="仿宋" w:hAnsi="仿宋" w:cs="仿宋" w:hint="eastAsia"/>
          <w:snapToGrid/>
          <w:kern w:val="2"/>
          <w:sz w:val="28"/>
          <w:szCs w:val="28"/>
          <w:lang w:eastAsia="zh-CN"/>
        </w:rPr>
        <w:t>）</w:t>
      </w:r>
    </w:p>
    <w:p w14:paraId="7316F830" w14:textId="3B4A0F5B"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公司于</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年</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月</w:t>
      </w:r>
      <w:r>
        <w:rPr>
          <w:rFonts w:ascii="仿宋" w:eastAsia="仿宋" w:hAnsi="仿宋" w:cs="仿宋"/>
          <w:snapToGrid/>
          <w:kern w:val="2"/>
          <w:sz w:val="28"/>
          <w:szCs w:val="28"/>
          <w:lang w:eastAsia="zh-CN"/>
        </w:rPr>
        <w:t>1</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日完成了</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5</w:t>
      </w:r>
      <w:r>
        <w:rPr>
          <w:rFonts w:ascii="仿宋" w:eastAsia="仿宋" w:hAnsi="仿宋" w:cs="仿宋" w:hint="eastAsia"/>
          <w:snapToGrid/>
          <w:kern w:val="2"/>
          <w:sz w:val="28"/>
          <w:szCs w:val="28"/>
          <w:lang w:eastAsia="zh-CN"/>
        </w:rPr>
        <w:t>年度利润分配方案的实施，以方案实施前的公司</w:t>
      </w:r>
      <w:r>
        <w:rPr>
          <w:rFonts w:ascii="仿宋" w:eastAsia="仿宋" w:hAnsi="仿宋" w:cs="仿宋"/>
          <w:snapToGrid/>
          <w:kern w:val="2"/>
          <w:sz w:val="28"/>
          <w:szCs w:val="28"/>
          <w:lang w:eastAsia="zh-CN"/>
        </w:rPr>
        <w:t>总股本剔除已回购股份</w:t>
      </w:r>
      <w:r>
        <w:rPr>
          <w:rFonts w:ascii="仿宋" w:eastAsia="仿宋" w:hAnsi="仿宋" w:cs="仿宋"/>
          <w:snapToGrid/>
          <w:kern w:val="2"/>
          <w:sz w:val="28"/>
          <w:szCs w:val="28"/>
          <w:lang w:eastAsia="zh-CN"/>
        </w:rPr>
        <w:t>1,224,140</w:t>
      </w:r>
      <w:r>
        <w:rPr>
          <w:rFonts w:ascii="仿宋" w:eastAsia="仿宋" w:hAnsi="仿宋" w:cs="仿宋"/>
          <w:snapToGrid/>
          <w:kern w:val="2"/>
          <w:sz w:val="28"/>
          <w:szCs w:val="28"/>
          <w:lang w:eastAsia="zh-CN"/>
        </w:rPr>
        <w:t>股后的</w:t>
      </w:r>
      <w:r>
        <w:rPr>
          <w:rFonts w:ascii="仿宋" w:eastAsia="仿宋" w:hAnsi="仿宋" w:cs="仿宋"/>
          <w:snapToGrid/>
          <w:kern w:val="2"/>
          <w:sz w:val="28"/>
          <w:szCs w:val="28"/>
          <w:lang w:eastAsia="zh-CN"/>
        </w:rPr>
        <w:t>65,628,660</w:t>
      </w:r>
      <w:r>
        <w:rPr>
          <w:rFonts w:ascii="仿宋" w:eastAsia="仿宋" w:hAnsi="仿宋" w:cs="仿宋"/>
          <w:snapToGrid/>
          <w:kern w:val="2"/>
          <w:sz w:val="28"/>
          <w:szCs w:val="28"/>
          <w:lang w:eastAsia="zh-CN"/>
        </w:rPr>
        <w:t>股为基数</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向全体股东每</w:t>
      </w:r>
      <w:r>
        <w:rPr>
          <w:rFonts w:ascii="仿宋" w:eastAsia="仿宋" w:hAnsi="仿宋" w:cs="仿宋"/>
          <w:snapToGrid/>
          <w:kern w:val="2"/>
          <w:sz w:val="28"/>
          <w:szCs w:val="28"/>
          <w:lang w:eastAsia="zh-CN"/>
        </w:rPr>
        <w:t>10</w:t>
      </w:r>
      <w:r>
        <w:rPr>
          <w:rFonts w:ascii="仿宋" w:eastAsia="仿宋" w:hAnsi="仿宋" w:cs="仿宋"/>
          <w:snapToGrid/>
          <w:kern w:val="2"/>
          <w:sz w:val="28"/>
          <w:szCs w:val="28"/>
          <w:lang w:eastAsia="zh-CN"/>
        </w:rPr>
        <w:t>股派</w:t>
      </w:r>
      <w:r>
        <w:rPr>
          <w:rFonts w:ascii="仿宋" w:eastAsia="仿宋" w:hAnsi="仿宋" w:cs="仿宋"/>
          <w:snapToGrid/>
          <w:kern w:val="2"/>
          <w:sz w:val="28"/>
          <w:szCs w:val="28"/>
          <w:lang w:eastAsia="zh-CN"/>
        </w:rPr>
        <w:t>0.50</w:t>
      </w:r>
      <w:r>
        <w:rPr>
          <w:rFonts w:ascii="仿宋" w:eastAsia="仿宋" w:hAnsi="仿宋" w:cs="仿宋"/>
          <w:snapToGrid/>
          <w:kern w:val="2"/>
          <w:sz w:val="28"/>
          <w:szCs w:val="28"/>
          <w:lang w:eastAsia="zh-CN"/>
        </w:rPr>
        <w:t>元（含税）人民币现金，以资本公积金每</w:t>
      </w:r>
      <w:r>
        <w:rPr>
          <w:rFonts w:ascii="仿宋" w:eastAsia="仿宋" w:hAnsi="仿宋" w:cs="仿宋"/>
          <w:snapToGrid/>
          <w:kern w:val="2"/>
          <w:sz w:val="28"/>
          <w:szCs w:val="28"/>
          <w:lang w:eastAsia="zh-CN"/>
        </w:rPr>
        <w:t>10</w:t>
      </w:r>
      <w:r>
        <w:rPr>
          <w:rFonts w:ascii="仿宋" w:eastAsia="仿宋" w:hAnsi="仿宋" w:cs="仿宋"/>
          <w:snapToGrid/>
          <w:kern w:val="2"/>
          <w:sz w:val="28"/>
          <w:szCs w:val="28"/>
          <w:lang w:eastAsia="zh-CN"/>
        </w:rPr>
        <w:t>股转增</w:t>
      </w:r>
      <w:r>
        <w:rPr>
          <w:rFonts w:ascii="仿宋" w:eastAsia="仿宋" w:hAnsi="仿宋" w:cs="仿宋"/>
          <w:snapToGrid/>
          <w:kern w:val="2"/>
          <w:sz w:val="28"/>
          <w:szCs w:val="28"/>
          <w:lang w:eastAsia="zh-CN"/>
        </w:rPr>
        <w:t>4</w:t>
      </w:r>
      <w:r>
        <w:rPr>
          <w:rFonts w:ascii="仿宋" w:eastAsia="仿宋" w:hAnsi="仿宋" w:cs="仿宋"/>
          <w:snapToGrid/>
          <w:kern w:val="2"/>
          <w:sz w:val="28"/>
          <w:szCs w:val="28"/>
          <w:lang w:eastAsia="zh-CN"/>
        </w:rPr>
        <w:t>股</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本次权益分派按公司总股本</w:t>
      </w:r>
      <w:r>
        <w:rPr>
          <w:rFonts w:ascii="仿宋" w:eastAsia="仿宋" w:hAnsi="仿宋" w:cs="仿宋"/>
          <w:snapToGrid/>
          <w:kern w:val="2"/>
          <w:sz w:val="28"/>
          <w:szCs w:val="28"/>
          <w:lang w:eastAsia="zh-CN"/>
        </w:rPr>
        <w:t>66,852,800.00</w:t>
      </w:r>
      <w:r>
        <w:rPr>
          <w:rFonts w:ascii="仿宋" w:eastAsia="仿宋" w:hAnsi="仿宋" w:cs="仿宋"/>
          <w:snapToGrid/>
          <w:kern w:val="2"/>
          <w:sz w:val="28"/>
          <w:szCs w:val="28"/>
          <w:lang w:eastAsia="zh-CN"/>
        </w:rPr>
        <w:t>股折算的每</w:t>
      </w:r>
      <w:r>
        <w:rPr>
          <w:rFonts w:ascii="仿宋" w:eastAsia="仿宋" w:hAnsi="仿宋" w:cs="仿宋"/>
          <w:snapToGrid/>
          <w:kern w:val="2"/>
          <w:sz w:val="28"/>
          <w:szCs w:val="28"/>
          <w:lang w:eastAsia="zh-CN"/>
        </w:rPr>
        <w:t>10</w:t>
      </w:r>
      <w:r>
        <w:rPr>
          <w:rFonts w:ascii="仿宋" w:eastAsia="仿宋" w:hAnsi="仿宋" w:cs="仿宋"/>
          <w:snapToGrid/>
          <w:kern w:val="2"/>
          <w:sz w:val="28"/>
          <w:szCs w:val="28"/>
          <w:lang w:eastAsia="zh-CN"/>
        </w:rPr>
        <w:t>股现金分红为</w:t>
      </w:r>
      <w:r>
        <w:rPr>
          <w:rFonts w:ascii="仿宋" w:eastAsia="仿宋" w:hAnsi="仿宋" w:cs="仿宋"/>
          <w:snapToGrid/>
          <w:kern w:val="2"/>
          <w:sz w:val="28"/>
          <w:szCs w:val="28"/>
          <w:lang w:eastAsia="zh-CN"/>
        </w:rPr>
        <w:t>0.490845</w:t>
      </w:r>
      <w:r>
        <w:rPr>
          <w:rFonts w:ascii="仿宋" w:eastAsia="仿宋" w:hAnsi="仿宋" w:cs="仿宋"/>
          <w:snapToGrid/>
          <w:kern w:val="2"/>
          <w:sz w:val="28"/>
          <w:szCs w:val="28"/>
          <w:lang w:eastAsia="zh-CN"/>
        </w:rPr>
        <w:t>元，按总股本折算的每</w:t>
      </w:r>
      <w:r>
        <w:rPr>
          <w:rFonts w:ascii="仿宋" w:eastAsia="仿宋" w:hAnsi="仿宋" w:cs="仿宋"/>
          <w:snapToGrid/>
          <w:kern w:val="2"/>
          <w:sz w:val="28"/>
          <w:szCs w:val="28"/>
          <w:lang w:eastAsia="zh-CN"/>
        </w:rPr>
        <w:t>10</w:t>
      </w:r>
      <w:r>
        <w:rPr>
          <w:rFonts w:ascii="仿宋" w:eastAsia="仿宋" w:hAnsi="仿宋" w:cs="仿宋"/>
          <w:snapToGrid/>
          <w:kern w:val="2"/>
          <w:sz w:val="28"/>
          <w:szCs w:val="28"/>
          <w:lang w:eastAsia="zh-CN"/>
        </w:rPr>
        <w:t>股资本公积金转增股本数量为</w:t>
      </w:r>
      <w:r>
        <w:rPr>
          <w:rFonts w:ascii="仿宋" w:eastAsia="仿宋" w:hAnsi="仿宋" w:cs="仿宋"/>
          <w:snapToGrid/>
          <w:kern w:val="2"/>
          <w:sz w:val="28"/>
          <w:szCs w:val="28"/>
          <w:lang w:eastAsia="zh-CN"/>
        </w:rPr>
        <w:t>3.926756</w:t>
      </w:r>
      <w:r>
        <w:rPr>
          <w:rFonts w:ascii="仿宋" w:eastAsia="仿宋" w:hAnsi="仿宋" w:cs="仿宋"/>
          <w:snapToGrid/>
          <w:kern w:val="2"/>
          <w:sz w:val="28"/>
          <w:szCs w:val="28"/>
          <w:lang w:eastAsia="zh-CN"/>
        </w:rPr>
        <w:t>股。本次发行股份购买资产的股份发行价格将由</w:t>
      </w:r>
      <w:r>
        <w:rPr>
          <w:rFonts w:ascii="仿宋" w:eastAsia="仿宋" w:hAnsi="仿宋" w:cs="仿宋"/>
          <w:snapToGrid/>
          <w:kern w:val="2"/>
          <w:sz w:val="28"/>
          <w:szCs w:val="28"/>
          <w:lang w:eastAsia="zh-CN"/>
        </w:rPr>
        <w:t>26.76</w:t>
      </w:r>
      <w:r>
        <w:rPr>
          <w:rFonts w:ascii="仿宋" w:eastAsia="仿宋" w:hAnsi="仿宋" w:cs="仿宋"/>
          <w:snapToGrid/>
          <w:kern w:val="2"/>
          <w:sz w:val="28"/>
          <w:szCs w:val="28"/>
          <w:lang w:eastAsia="zh-CN"/>
        </w:rPr>
        <w:t>元</w:t>
      </w:r>
      <w:r>
        <w:rPr>
          <w:rFonts w:ascii="仿宋" w:eastAsia="仿宋" w:hAnsi="仿宋" w:cs="仿宋"/>
          <w:snapToGrid/>
          <w:kern w:val="2"/>
          <w:sz w:val="28"/>
          <w:szCs w:val="28"/>
          <w:lang w:eastAsia="zh-CN"/>
        </w:rPr>
        <w:t>/</w:t>
      </w:r>
      <w:r>
        <w:rPr>
          <w:rFonts w:ascii="仿宋" w:eastAsia="仿宋" w:hAnsi="仿宋" w:cs="仿宋"/>
          <w:snapToGrid/>
          <w:kern w:val="2"/>
          <w:sz w:val="28"/>
          <w:szCs w:val="28"/>
          <w:lang w:eastAsia="zh-CN"/>
        </w:rPr>
        <w:t>股调整为</w:t>
      </w:r>
      <w:r>
        <w:rPr>
          <w:rFonts w:ascii="仿宋" w:eastAsia="仿宋" w:hAnsi="仿宋" w:cs="仿宋"/>
          <w:snapToGrid/>
          <w:kern w:val="2"/>
          <w:sz w:val="28"/>
          <w:szCs w:val="28"/>
          <w:lang w:eastAsia="zh-CN"/>
        </w:rPr>
        <w:t>19.18</w:t>
      </w:r>
      <w:r>
        <w:rPr>
          <w:rFonts w:ascii="仿宋" w:eastAsia="仿宋" w:hAnsi="仿宋" w:cs="仿宋"/>
          <w:snapToGrid/>
          <w:kern w:val="2"/>
          <w:sz w:val="28"/>
          <w:szCs w:val="28"/>
          <w:lang w:eastAsia="zh-CN"/>
        </w:rPr>
        <w:t>元</w:t>
      </w:r>
      <w:r>
        <w:rPr>
          <w:rFonts w:ascii="仿宋" w:eastAsia="仿宋" w:hAnsi="仿宋" w:cs="仿宋"/>
          <w:snapToGrid/>
          <w:kern w:val="2"/>
          <w:sz w:val="28"/>
          <w:szCs w:val="28"/>
          <w:lang w:eastAsia="zh-CN"/>
        </w:rPr>
        <w:t>/</w:t>
      </w:r>
      <w:r>
        <w:rPr>
          <w:rFonts w:ascii="仿宋" w:eastAsia="仿宋" w:hAnsi="仿宋" w:cs="仿宋"/>
          <w:snapToGrid/>
          <w:kern w:val="2"/>
          <w:sz w:val="28"/>
          <w:szCs w:val="28"/>
          <w:lang w:eastAsia="zh-CN"/>
        </w:rPr>
        <w:t>股</w:t>
      </w:r>
      <w:r>
        <w:rPr>
          <w:rFonts w:ascii="仿宋" w:eastAsia="仿宋" w:hAnsi="仿宋" w:cs="仿宋" w:hint="eastAsia"/>
          <w:snapToGrid/>
          <w:kern w:val="2"/>
          <w:sz w:val="28"/>
          <w:szCs w:val="28"/>
          <w:lang w:eastAsia="zh-CN"/>
        </w:rPr>
        <w:t>。</w:t>
      </w:r>
    </w:p>
    <w:p w14:paraId="00C6C194"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2.</w:t>
      </w:r>
      <w:r>
        <w:rPr>
          <w:rFonts w:ascii="仿宋" w:eastAsia="仿宋" w:hAnsi="仿宋" w:cs="仿宋" w:hint="eastAsia"/>
          <w:snapToGrid/>
          <w:kern w:val="2"/>
          <w:sz w:val="28"/>
          <w:szCs w:val="28"/>
          <w:lang w:eastAsia="zh-CN"/>
        </w:rPr>
        <w:t>发行数量调整情况</w:t>
      </w:r>
    </w:p>
    <w:p w14:paraId="2D37229D"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发行价格调整后，标的</w:t>
      </w:r>
      <w:r>
        <w:rPr>
          <w:rFonts w:ascii="仿宋" w:eastAsia="仿宋" w:hAnsi="仿宋" w:cs="仿宋" w:hint="eastAsia"/>
          <w:snapToGrid/>
          <w:kern w:val="2"/>
          <w:sz w:val="28"/>
          <w:szCs w:val="28"/>
          <w:lang w:eastAsia="zh-CN"/>
        </w:rPr>
        <w:t>资产</w:t>
      </w:r>
      <w:r>
        <w:rPr>
          <w:rFonts w:ascii="仿宋" w:eastAsia="仿宋" w:hAnsi="仿宋" w:cs="仿宋"/>
          <w:snapToGrid/>
          <w:kern w:val="2"/>
          <w:sz w:val="28"/>
          <w:szCs w:val="28"/>
          <w:lang w:eastAsia="zh-CN"/>
        </w:rPr>
        <w:t>股权的交易价格不做调整，因此本次交易中上市公司向交易对方发行的股份数量根据调整后的发行价格相应进行调整，调整后的发行股份数量具体情况如下：</w:t>
      </w:r>
    </w:p>
    <w:tbl>
      <w:tblPr>
        <w:tblW w:w="4799" w:type="pct"/>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53"/>
        <w:gridCol w:w="1960"/>
        <w:gridCol w:w="1567"/>
        <w:gridCol w:w="1986"/>
        <w:gridCol w:w="1842"/>
      </w:tblGrid>
      <w:tr w:rsidR="00AE1DA4" w14:paraId="7D24BE75" w14:textId="77777777">
        <w:trPr>
          <w:trHeight w:val="897"/>
          <w:tblHeader/>
          <w:jc w:val="center"/>
        </w:trPr>
        <w:tc>
          <w:tcPr>
            <w:tcW w:w="464" w:type="pct"/>
            <w:shd w:val="clear" w:color="auto" w:fill="FFFFFF"/>
            <w:tcMar>
              <w:top w:w="0" w:type="dxa"/>
              <w:left w:w="28" w:type="dxa"/>
              <w:bottom w:w="0" w:type="dxa"/>
              <w:right w:w="28" w:type="dxa"/>
            </w:tcMar>
            <w:vAlign w:val="center"/>
          </w:tcPr>
          <w:p w14:paraId="417906A0" w14:textId="77777777" w:rsidR="00AE1DA4" w:rsidRDefault="00AF08B9">
            <w:pPr>
              <w:keepNext/>
              <w:widowControl w:val="0"/>
              <w:kinsoku/>
              <w:autoSpaceDE/>
              <w:autoSpaceDN/>
              <w:adjustRightInd/>
              <w:snapToGrid/>
              <w:jc w:val="center"/>
              <w:textAlignment w:val="auto"/>
              <w:rPr>
                <w:rFonts w:ascii="仿宋" w:eastAsia="仿宋" w:hAnsi="仿宋" w:cs="Times New Roman"/>
                <w:b/>
                <w:bCs/>
                <w:snapToGrid/>
                <w:color w:val="auto"/>
                <w:lang w:eastAsia="zh-CN"/>
              </w:rPr>
            </w:pPr>
            <w:r>
              <w:rPr>
                <w:rFonts w:ascii="仿宋" w:eastAsia="仿宋" w:hAnsi="仿宋" w:cs="Times New Roman"/>
                <w:b/>
                <w:bCs/>
                <w:snapToGrid/>
                <w:color w:val="auto"/>
                <w:lang w:eastAsia="zh-CN"/>
              </w:rPr>
              <w:t>序号</w:t>
            </w:r>
          </w:p>
        </w:tc>
        <w:tc>
          <w:tcPr>
            <w:tcW w:w="1207" w:type="pct"/>
            <w:shd w:val="clear" w:color="auto" w:fill="FFFFFF"/>
            <w:tcMar>
              <w:top w:w="0" w:type="dxa"/>
              <w:left w:w="28" w:type="dxa"/>
              <w:bottom w:w="0" w:type="dxa"/>
              <w:right w:w="28" w:type="dxa"/>
            </w:tcMar>
            <w:vAlign w:val="center"/>
          </w:tcPr>
          <w:p w14:paraId="58810538" w14:textId="77777777" w:rsidR="00AE1DA4" w:rsidRDefault="00AF08B9">
            <w:pPr>
              <w:keepNext/>
              <w:widowControl w:val="0"/>
              <w:kinsoku/>
              <w:autoSpaceDE/>
              <w:autoSpaceDN/>
              <w:adjustRightInd/>
              <w:snapToGrid/>
              <w:jc w:val="center"/>
              <w:textAlignment w:val="auto"/>
              <w:rPr>
                <w:rFonts w:ascii="仿宋" w:eastAsia="仿宋" w:hAnsi="仿宋" w:cs="Times New Roman"/>
                <w:b/>
                <w:bCs/>
                <w:snapToGrid/>
                <w:color w:val="auto"/>
                <w:lang w:eastAsia="zh-CN"/>
              </w:rPr>
            </w:pPr>
            <w:r>
              <w:rPr>
                <w:rFonts w:ascii="仿宋" w:eastAsia="仿宋" w:hAnsi="仿宋" w:cs="Times New Roman"/>
                <w:b/>
                <w:bCs/>
                <w:snapToGrid/>
                <w:color w:val="auto"/>
                <w:lang w:eastAsia="zh-CN"/>
              </w:rPr>
              <w:t>交易对方</w:t>
            </w:r>
          </w:p>
        </w:tc>
        <w:tc>
          <w:tcPr>
            <w:tcW w:w="966" w:type="pct"/>
            <w:shd w:val="clear" w:color="auto" w:fill="FFFFFF"/>
            <w:tcMar>
              <w:top w:w="0" w:type="dxa"/>
              <w:left w:w="28" w:type="dxa"/>
              <w:bottom w:w="0" w:type="dxa"/>
              <w:right w:w="28" w:type="dxa"/>
            </w:tcMar>
            <w:vAlign w:val="center"/>
          </w:tcPr>
          <w:p w14:paraId="37C2F0E3" w14:textId="77777777" w:rsidR="00AE1DA4" w:rsidRDefault="00AF08B9">
            <w:pPr>
              <w:keepNext/>
              <w:widowControl w:val="0"/>
              <w:kinsoku/>
              <w:autoSpaceDE/>
              <w:autoSpaceDN/>
              <w:adjustRightInd/>
              <w:snapToGrid/>
              <w:jc w:val="center"/>
              <w:textAlignment w:val="auto"/>
              <w:rPr>
                <w:rFonts w:ascii="仿宋" w:eastAsia="仿宋" w:hAnsi="仿宋" w:cs="Times New Roman"/>
                <w:b/>
                <w:bCs/>
                <w:snapToGrid/>
                <w:color w:val="auto"/>
                <w:lang w:eastAsia="zh-CN"/>
              </w:rPr>
            </w:pPr>
            <w:r>
              <w:rPr>
                <w:rFonts w:ascii="仿宋" w:eastAsia="仿宋" w:hAnsi="仿宋" w:cs="Times New Roman"/>
                <w:b/>
                <w:bCs/>
                <w:snapToGrid/>
                <w:color w:val="auto"/>
                <w:lang w:eastAsia="zh-CN"/>
              </w:rPr>
              <w:t>股份对价</w:t>
            </w:r>
          </w:p>
          <w:p w14:paraId="46FF4478" w14:textId="77777777" w:rsidR="00AE1DA4" w:rsidRDefault="00AF08B9">
            <w:pPr>
              <w:keepNext/>
              <w:widowControl w:val="0"/>
              <w:kinsoku/>
              <w:autoSpaceDE/>
              <w:autoSpaceDN/>
              <w:adjustRightInd/>
              <w:snapToGrid/>
              <w:jc w:val="center"/>
              <w:textAlignment w:val="auto"/>
              <w:rPr>
                <w:rFonts w:ascii="仿宋" w:eastAsia="仿宋" w:hAnsi="仿宋" w:cs="Times New Roman"/>
                <w:b/>
                <w:bCs/>
                <w:snapToGrid/>
                <w:color w:val="auto"/>
                <w:lang w:eastAsia="zh-CN"/>
              </w:rPr>
            </w:pPr>
            <w:r>
              <w:rPr>
                <w:rFonts w:ascii="仿宋" w:eastAsia="仿宋" w:hAnsi="仿宋" w:cs="Times New Roman"/>
                <w:b/>
                <w:bCs/>
                <w:snapToGrid/>
                <w:color w:val="auto"/>
                <w:lang w:eastAsia="zh-CN"/>
              </w:rPr>
              <w:t>（万元）</w:t>
            </w:r>
          </w:p>
        </w:tc>
        <w:tc>
          <w:tcPr>
            <w:tcW w:w="1225" w:type="pct"/>
            <w:shd w:val="clear" w:color="auto" w:fill="FFFFFF"/>
            <w:vAlign w:val="center"/>
          </w:tcPr>
          <w:p w14:paraId="0F1B2956" w14:textId="77777777" w:rsidR="00AE1DA4" w:rsidRDefault="00AF08B9">
            <w:pPr>
              <w:keepNext/>
              <w:widowControl w:val="0"/>
              <w:kinsoku/>
              <w:autoSpaceDE/>
              <w:autoSpaceDN/>
              <w:adjustRightInd/>
              <w:snapToGrid/>
              <w:jc w:val="center"/>
              <w:textAlignment w:val="auto"/>
              <w:rPr>
                <w:rFonts w:ascii="仿宋" w:eastAsia="仿宋" w:hAnsi="仿宋" w:cs="Times New Roman"/>
                <w:b/>
                <w:bCs/>
                <w:snapToGrid/>
                <w:color w:val="auto"/>
                <w:lang w:eastAsia="zh-CN"/>
              </w:rPr>
            </w:pPr>
            <w:r>
              <w:rPr>
                <w:rFonts w:ascii="仿宋" w:eastAsia="仿宋" w:hAnsi="仿宋" w:cs="Times New Roman"/>
                <w:b/>
                <w:bCs/>
                <w:snapToGrid/>
                <w:color w:val="auto"/>
                <w:lang w:eastAsia="zh-CN"/>
              </w:rPr>
              <w:t>发行价格调整前发行股份数量（股）</w:t>
            </w:r>
          </w:p>
        </w:tc>
        <w:tc>
          <w:tcPr>
            <w:tcW w:w="1136" w:type="pct"/>
            <w:shd w:val="clear" w:color="auto" w:fill="FFFFFF"/>
            <w:tcMar>
              <w:top w:w="0" w:type="dxa"/>
              <w:left w:w="28" w:type="dxa"/>
              <w:bottom w:w="0" w:type="dxa"/>
              <w:right w:w="28" w:type="dxa"/>
            </w:tcMar>
            <w:vAlign w:val="center"/>
          </w:tcPr>
          <w:p w14:paraId="46E31FDD" w14:textId="77777777" w:rsidR="00AE1DA4" w:rsidRDefault="00AF08B9">
            <w:pPr>
              <w:keepNext/>
              <w:widowControl w:val="0"/>
              <w:kinsoku/>
              <w:autoSpaceDE/>
              <w:autoSpaceDN/>
              <w:adjustRightInd/>
              <w:snapToGrid/>
              <w:jc w:val="center"/>
              <w:textAlignment w:val="auto"/>
              <w:rPr>
                <w:rFonts w:ascii="仿宋" w:eastAsia="仿宋" w:hAnsi="仿宋" w:cs="Times New Roman"/>
                <w:b/>
                <w:bCs/>
                <w:snapToGrid/>
                <w:color w:val="auto"/>
                <w:lang w:eastAsia="zh-CN"/>
              </w:rPr>
            </w:pPr>
            <w:r>
              <w:rPr>
                <w:rFonts w:ascii="仿宋" w:eastAsia="仿宋" w:hAnsi="仿宋" w:cs="Times New Roman"/>
                <w:b/>
                <w:bCs/>
                <w:snapToGrid/>
                <w:color w:val="auto"/>
                <w:lang w:eastAsia="zh-CN"/>
              </w:rPr>
              <w:t>发行价格调整后发行股份数量（股）</w:t>
            </w:r>
          </w:p>
        </w:tc>
      </w:tr>
      <w:tr w:rsidR="00AE1DA4" w14:paraId="30CE1C19" w14:textId="77777777">
        <w:trPr>
          <w:trHeight w:val="374"/>
          <w:jc w:val="center"/>
        </w:trPr>
        <w:tc>
          <w:tcPr>
            <w:tcW w:w="464" w:type="pct"/>
            <w:shd w:val="clear" w:color="auto" w:fill="FFFFFF"/>
            <w:tcMar>
              <w:top w:w="0" w:type="dxa"/>
              <w:left w:w="28" w:type="dxa"/>
              <w:bottom w:w="0" w:type="dxa"/>
              <w:right w:w="28" w:type="dxa"/>
            </w:tcMar>
            <w:vAlign w:val="center"/>
          </w:tcPr>
          <w:p w14:paraId="44884F10"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1</w:t>
            </w:r>
          </w:p>
        </w:tc>
        <w:tc>
          <w:tcPr>
            <w:tcW w:w="1207" w:type="pct"/>
            <w:shd w:val="clear" w:color="auto" w:fill="FFFFFF"/>
            <w:tcMar>
              <w:top w:w="0" w:type="dxa"/>
              <w:left w:w="28" w:type="dxa"/>
              <w:bottom w:w="0" w:type="dxa"/>
              <w:right w:w="28" w:type="dxa"/>
            </w:tcMar>
            <w:vAlign w:val="center"/>
          </w:tcPr>
          <w:p w14:paraId="339860A7"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snapToGrid/>
                <w:lang w:eastAsia="zh-CN" w:bidi="ar"/>
              </w:rPr>
              <w:t>陈耿豪</w:t>
            </w:r>
          </w:p>
        </w:tc>
        <w:tc>
          <w:tcPr>
            <w:tcW w:w="966" w:type="pct"/>
            <w:shd w:val="clear" w:color="auto" w:fill="FFFFFF"/>
            <w:tcMar>
              <w:top w:w="0" w:type="dxa"/>
              <w:left w:w="28" w:type="dxa"/>
              <w:bottom w:w="0" w:type="dxa"/>
              <w:right w:w="28" w:type="dxa"/>
            </w:tcMar>
            <w:vAlign w:val="center"/>
          </w:tcPr>
          <w:p w14:paraId="1882EC1C"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11,613.84</w:t>
            </w:r>
          </w:p>
        </w:tc>
        <w:tc>
          <w:tcPr>
            <w:tcW w:w="1225" w:type="pct"/>
            <w:shd w:val="clear" w:color="auto" w:fill="FFFFFF"/>
            <w:vAlign w:val="center"/>
          </w:tcPr>
          <w:p w14:paraId="1609EC92"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4,340,000</w:t>
            </w:r>
          </w:p>
        </w:tc>
        <w:tc>
          <w:tcPr>
            <w:tcW w:w="1136" w:type="pct"/>
            <w:shd w:val="clear" w:color="auto" w:fill="FFFFFF"/>
            <w:tcMar>
              <w:top w:w="0" w:type="dxa"/>
              <w:left w:w="28" w:type="dxa"/>
              <w:bottom w:w="0" w:type="dxa"/>
              <w:right w:w="28" w:type="dxa"/>
            </w:tcMar>
            <w:vAlign w:val="center"/>
          </w:tcPr>
          <w:p w14:paraId="7719DFF0"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6,055,182</w:t>
            </w:r>
          </w:p>
        </w:tc>
      </w:tr>
      <w:tr w:rsidR="00AE1DA4" w14:paraId="4E07718B" w14:textId="77777777">
        <w:trPr>
          <w:trHeight w:val="397"/>
          <w:jc w:val="center"/>
        </w:trPr>
        <w:tc>
          <w:tcPr>
            <w:tcW w:w="464" w:type="pct"/>
            <w:shd w:val="clear" w:color="auto" w:fill="FFFFFF"/>
            <w:tcMar>
              <w:top w:w="0" w:type="dxa"/>
              <w:left w:w="28" w:type="dxa"/>
              <w:bottom w:w="0" w:type="dxa"/>
              <w:right w:w="28" w:type="dxa"/>
            </w:tcMar>
            <w:vAlign w:val="center"/>
          </w:tcPr>
          <w:p w14:paraId="6A0FE11D"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2</w:t>
            </w:r>
          </w:p>
        </w:tc>
        <w:tc>
          <w:tcPr>
            <w:tcW w:w="1207" w:type="pct"/>
            <w:shd w:val="clear" w:color="auto" w:fill="FFFFFF"/>
            <w:tcMar>
              <w:top w:w="0" w:type="dxa"/>
              <w:left w:w="28" w:type="dxa"/>
              <w:bottom w:w="0" w:type="dxa"/>
              <w:right w:w="28" w:type="dxa"/>
            </w:tcMar>
            <w:vAlign w:val="center"/>
          </w:tcPr>
          <w:p w14:paraId="299B27E6"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color w:val="auto"/>
                <w:lang w:eastAsia="zh-CN"/>
              </w:rPr>
              <w:t>南通成为常青股权投资合伙企业（有限合伙）</w:t>
            </w:r>
          </w:p>
        </w:tc>
        <w:tc>
          <w:tcPr>
            <w:tcW w:w="966" w:type="pct"/>
            <w:shd w:val="clear" w:color="auto" w:fill="FFFFFF"/>
            <w:tcMar>
              <w:top w:w="0" w:type="dxa"/>
              <w:left w:w="28" w:type="dxa"/>
              <w:bottom w:w="0" w:type="dxa"/>
              <w:right w:w="28" w:type="dxa"/>
            </w:tcMar>
            <w:vAlign w:val="center"/>
          </w:tcPr>
          <w:p w14:paraId="441AA0A1"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7,472.90</w:t>
            </w:r>
          </w:p>
        </w:tc>
        <w:tc>
          <w:tcPr>
            <w:tcW w:w="1225" w:type="pct"/>
            <w:shd w:val="clear" w:color="auto" w:fill="FFFFFF"/>
            <w:vAlign w:val="center"/>
          </w:tcPr>
          <w:p w14:paraId="6FE3E0F5"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2,792,562</w:t>
            </w:r>
          </w:p>
        </w:tc>
        <w:tc>
          <w:tcPr>
            <w:tcW w:w="1136" w:type="pct"/>
            <w:shd w:val="clear" w:color="auto" w:fill="FFFFFF"/>
            <w:tcMar>
              <w:top w:w="0" w:type="dxa"/>
              <w:left w:w="28" w:type="dxa"/>
              <w:bottom w:w="0" w:type="dxa"/>
              <w:right w:w="28" w:type="dxa"/>
            </w:tcMar>
            <w:vAlign w:val="center"/>
          </w:tcPr>
          <w:p w14:paraId="15C90068"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3,896,191</w:t>
            </w:r>
          </w:p>
        </w:tc>
      </w:tr>
      <w:tr w:rsidR="00AE1DA4" w14:paraId="1B739225" w14:textId="77777777">
        <w:trPr>
          <w:trHeight w:val="397"/>
          <w:jc w:val="center"/>
        </w:trPr>
        <w:tc>
          <w:tcPr>
            <w:tcW w:w="464" w:type="pct"/>
            <w:shd w:val="clear" w:color="auto" w:fill="FFFFFF"/>
            <w:tcMar>
              <w:top w:w="0" w:type="dxa"/>
              <w:left w:w="28" w:type="dxa"/>
              <w:bottom w:w="0" w:type="dxa"/>
              <w:right w:w="28" w:type="dxa"/>
            </w:tcMar>
            <w:vAlign w:val="center"/>
          </w:tcPr>
          <w:p w14:paraId="4736C01E"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3</w:t>
            </w:r>
          </w:p>
        </w:tc>
        <w:tc>
          <w:tcPr>
            <w:tcW w:w="1207" w:type="pct"/>
            <w:shd w:val="clear" w:color="auto" w:fill="FFFFFF"/>
            <w:tcMar>
              <w:top w:w="0" w:type="dxa"/>
              <w:left w:w="28" w:type="dxa"/>
              <w:bottom w:w="0" w:type="dxa"/>
              <w:right w:w="28" w:type="dxa"/>
            </w:tcMar>
            <w:vAlign w:val="center"/>
          </w:tcPr>
          <w:p w14:paraId="5141F01B"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color w:val="auto"/>
                <w:lang w:eastAsia="zh-CN"/>
              </w:rPr>
              <w:t>珠海广发信德科文创业投资基金（有限合伙）</w:t>
            </w:r>
          </w:p>
        </w:tc>
        <w:tc>
          <w:tcPr>
            <w:tcW w:w="966" w:type="pct"/>
            <w:shd w:val="clear" w:color="auto" w:fill="FFFFFF"/>
            <w:tcMar>
              <w:top w:w="0" w:type="dxa"/>
              <w:left w:w="28" w:type="dxa"/>
              <w:bottom w:w="0" w:type="dxa"/>
              <w:right w:w="28" w:type="dxa"/>
            </w:tcMar>
            <w:vAlign w:val="center"/>
          </w:tcPr>
          <w:p w14:paraId="3AE1B823"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5,224.10</w:t>
            </w:r>
          </w:p>
        </w:tc>
        <w:tc>
          <w:tcPr>
            <w:tcW w:w="1225" w:type="pct"/>
            <w:shd w:val="clear" w:color="auto" w:fill="FFFFFF"/>
            <w:vAlign w:val="center"/>
          </w:tcPr>
          <w:p w14:paraId="0547233A"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1,952,205</w:t>
            </w:r>
          </w:p>
        </w:tc>
        <w:tc>
          <w:tcPr>
            <w:tcW w:w="1136" w:type="pct"/>
            <w:shd w:val="clear" w:color="auto" w:fill="FFFFFF"/>
            <w:tcMar>
              <w:top w:w="0" w:type="dxa"/>
              <w:left w:w="28" w:type="dxa"/>
              <w:bottom w:w="0" w:type="dxa"/>
              <w:right w:w="28" w:type="dxa"/>
            </w:tcMar>
            <w:vAlign w:val="center"/>
          </w:tcPr>
          <w:p w14:paraId="2E74B55B"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2,723,722</w:t>
            </w:r>
          </w:p>
        </w:tc>
      </w:tr>
      <w:tr w:rsidR="00AE1DA4" w14:paraId="375032A5" w14:textId="77777777">
        <w:trPr>
          <w:trHeight w:val="397"/>
          <w:jc w:val="center"/>
        </w:trPr>
        <w:tc>
          <w:tcPr>
            <w:tcW w:w="464" w:type="pct"/>
            <w:shd w:val="clear" w:color="auto" w:fill="FFFFFF"/>
            <w:tcMar>
              <w:top w:w="0" w:type="dxa"/>
              <w:left w:w="28" w:type="dxa"/>
              <w:bottom w:w="0" w:type="dxa"/>
              <w:right w:w="28" w:type="dxa"/>
            </w:tcMar>
            <w:vAlign w:val="center"/>
          </w:tcPr>
          <w:p w14:paraId="5618471E"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lastRenderedPageBreak/>
              <w:t>4</w:t>
            </w:r>
          </w:p>
        </w:tc>
        <w:tc>
          <w:tcPr>
            <w:tcW w:w="1207" w:type="pct"/>
            <w:shd w:val="clear" w:color="auto" w:fill="FFFFFF"/>
            <w:tcMar>
              <w:top w:w="0" w:type="dxa"/>
              <w:left w:w="28" w:type="dxa"/>
              <w:bottom w:w="0" w:type="dxa"/>
              <w:right w:w="28" w:type="dxa"/>
            </w:tcMar>
            <w:vAlign w:val="center"/>
          </w:tcPr>
          <w:p w14:paraId="67F53734"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苏州市德同合心创业投资合伙企业（有限合伙）</w:t>
            </w:r>
          </w:p>
        </w:tc>
        <w:tc>
          <w:tcPr>
            <w:tcW w:w="966" w:type="pct"/>
            <w:shd w:val="clear" w:color="auto" w:fill="FFFFFF"/>
            <w:tcMar>
              <w:top w:w="0" w:type="dxa"/>
              <w:left w:w="28" w:type="dxa"/>
              <w:bottom w:w="0" w:type="dxa"/>
              <w:right w:w="28" w:type="dxa"/>
            </w:tcMar>
            <w:vAlign w:val="center"/>
          </w:tcPr>
          <w:p w14:paraId="34097F85"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2,340.65</w:t>
            </w:r>
          </w:p>
        </w:tc>
        <w:tc>
          <w:tcPr>
            <w:tcW w:w="1225" w:type="pct"/>
            <w:shd w:val="clear" w:color="auto" w:fill="FFFFFF"/>
            <w:vAlign w:val="center"/>
          </w:tcPr>
          <w:p w14:paraId="4B1B80A1"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874,680</w:t>
            </w:r>
          </w:p>
        </w:tc>
        <w:tc>
          <w:tcPr>
            <w:tcW w:w="1136" w:type="pct"/>
            <w:shd w:val="clear" w:color="auto" w:fill="FFFFFF"/>
            <w:tcMar>
              <w:top w:w="0" w:type="dxa"/>
              <w:left w:w="28" w:type="dxa"/>
              <w:bottom w:w="0" w:type="dxa"/>
              <w:right w:w="28" w:type="dxa"/>
            </w:tcMar>
            <w:vAlign w:val="center"/>
          </w:tcPr>
          <w:p w14:paraId="332364DB"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1,220,357</w:t>
            </w:r>
          </w:p>
        </w:tc>
      </w:tr>
      <w:tr w:rsidR="00AE1DA4" w14:paraId="216AA0C3" w14:textId="77777777">
        <w:trPr>
          <w:trHeight w:val="397"/>
          <w:jc w:val="center"/>
        </w:trPr>
        <w:tc>
          <w:tcPr>
            <w:tcW w:w="464" w:type="pct"/>
            <w:shd w:val="clear" w:color="auto" w:fill="FFFFFF"/>
            <w:tcMar>
              <w:top w:w="0" w:type="dxa"/>
              <w:left w:w="28" w:type="dxa"/>
              <w:bottom w:w="0" w:type="dxa"/>
              <w:right w:w="28" w:type="dxa"/>
            </w:tcMar>
            <w:vAlign w:val="center"/>
          </w:tcPr>
          <w:p w14:paraId="517A110E"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5</w:t>
            </w:r>
          </w:p>
        </w:tc>
        <w:tc>
          <w:tcPr>
            <w:tcW w:w="1207" w:type="pct"/>
            <w:shd w:val="clear" w:color="auto" w:fill="FFFFFF"/>
            <w:tcMar>
              <w:top w:w="0" w:type="dxa"/>
              <w:left w:w="28" w:type="dxa"/>
              <w:bottom w:w="0" w:type="dxa"/>
              <w:right w:w="28" w:type="dxa"/>
            </w:tcMar>
            <w:vAlign w:val="center"/>
          </w:tcPr>
          <w:p w14:paraId="219DD4D3"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泰安乐陶陶投资服务合伙企业（有限合伙）</w:t>
            </w:r>
          </w:p>
        </w:tc>
        <w:tc>
          <w:tcPr>
            <w:tcW w:w="966" w:type="pct"/>
            <w:shd w:val="clear" w:color="auto" w:fill="FFFFFF"/>
            <w:tcMar>
              <w:top w:w="0" w:type="dxa"/>
              <w:left w:w="28" w:type="dxa"/>
              <w:bottom w:w="0" w:type="dxa"/>
              <w:right w:w="28" w:type="dxa"/>
            </w:tcMar>
            <w:vAlign w:val="center"/>
          </w:tcPr>
          <w:p w14:paraId="2CDB7DA0"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2,340.11</w:t>
            </w:r>
          </w:p>
        </w:tc>
        <w:tc>
          <w:tcPr>
            <w:tcW w:w="1225" w:type="pct"/>
            <w:shd w:val="clear" w:color="auto" w:fill="FFFFFF"/>
            <w:vAlign w:val="center"/>
          </w:tcPr>
          <w:p w14:paraId="2F4BB878"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874,481</w:t>
            </w:r>
          </w:p>
        </w:tc>
        <w:tc>
          <w:tcPr>
            <w:tcW w:w="1136" w:type="pct"/>
            <w:shd w:val="clear" w:color="auto" w:fill="FFFFFF"/>
            <w:tcMar>
              <w:top w:w="0" w:type="dxa"/>
              <w:left w:w="28" w:type="dxa"/>
              <w:bottom w:w="0" w:type="dxa"/>
              <w:right w:w="28" w:type="dxa"/>
            </w:tcMar>
            <w:vAlign w:val="center"/>
          </w:tcPr>
          <w:p w14:paraId="3A1CA5AF"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1,220,079</w:t>
            </w:r>
          </w:p>
        </w:tc>
      </w:tr>
      <w:tr w:rsidR="00AE1DA4" w14:paraId="5D74EABE" w14:textId="77777777">
        <w:trPr>
          <w:trHeight w:val="397"/>
          <w:jc w:val="center"/>
        </w:trPr>
        <w:tc>
          <w:tcPr>
            <w:tcW w:w="464" w:type="pct"/>
            <w:shd w:val="clear" w:color="auto" w:fill="FFFFFF"/>
            <w:tcMar>
              <w:top w:w="0" w:type="dxa"/>
              <w:left w:w="28" w:type="dxa"/>
              <w:bottom w:w="0" w:type="dxa"/>
              <w:right w:w="28" w:type="dxa"/>
            </w:tcMar>
            <w:vAlign w:val="center"/>
          </w:tcPr>
          <w:p w14:paraId="165860C6"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6</w:t>
            </w:r>
          </w:p>
        </w:tc>
        <w:tc>
          <w:tcPr>
            <w:tcW w:w="1207" w:type="pct"/>
            <w:shd w:val="clear" w:color="auto" w:fill="FFFFFF"/>
            <w:tcMar>
              <w:top w:w="0" w:type="dxa"/>
              <w:left w:w="28" w:type="dxa"/>
              <w:bottom w:w="0" w:type="dxa"/>
              <w:right w:w="28" w:type="dxa"/>
            </w:tcMar>
            <w:vAlign w:val="center"/>
          </w:tcPr>
          <w:p w14:paraId="517CFC43"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林芝利新信息技术有限公司</w:t>
            </w:r>
          </w:p>
        </w:tc>
        <w:tc>
          <w:tcPr>
            <w:tcW w:w="966" w:type="pct"/>
            <w:shd w:val="clear" w:color="auto" w:fill="FFFFFF"/>
            <w:tcMar>
              <w:top w:w="0" w:type="dxa"/>
              <w:left w:w="28" w:type="dxa"/>
              <w:bottom w:w="0" w:type="dxa"/>
              <w:right w:w="28" w:type="dxa"/>
            </w:tcMar>
            <w:vAlign w:val="center"/>
          </w:tcPr>
          <w:p w14:paraId="43D01AC4"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2,987.67</w:t>
            </w:r>
          </w:p>
        </w:tc>
        <w:tc>
          <w:tcPr>
            <w:tcW w:w="1225" w:type="pct"/>
            <w:shd w:val="clear" w:color="auto" w:fill="FFFFFF"/>
            <w:vAlign w:val="center"/>
          </w:tcPr>
          <w:p w14:paraId="4BF089B6"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1,116,469</w:t>
            </w:r>
          </w:p>
        </w:tc>
        <w:tc>
          <w:tcPr>
            <w:tcW w:w="1136" w:type="pct"/>
            <w:shd w:val="clear" w:color="auto" w:fill="FFFFFF"/>
            <w:tcMar>
              <w:top w:w="0" w:type="dxa"/>
              <w:left w:w="28" w:type="dxa"/>
              <w:bottom w:w="0" w:type="dxa"/>
              <w:right w:w="28" w:type="dxa"/>
            </w:tcMar>
            <w:vAlign w:val="center"/>
          </w:tcPr>
          <w:p w14:paraId="78868208"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1,557,701</w:t>
            </w:r>
          </w:p>
        </w:tc>
      </w:tr>
      <w:tr w:rsidR="00AE1DA4" w14:paraId="6E551EA0" w14:textId="77777777">
        <w:trPr>
          <w:trHeight w:val="397"/>
          <w:jc w:val="center"/>
        </w:trPr>
        <w:tc>
          <w:tcPr>
            <w:tcW w:w="464" w:type="pct"/>
            <w:shd w:val="clear" w:color="auto" w:fill="FFFFFF"/>
            <w:tcMar>
              <w:top w:w="0" w:type="dxa"/>
              <w:left w:w="28" w:type="dxa"/>
              <w:bottom w:w="0" w:type="dxa"/>
              <w:right w:w="28" w:type="dxa"/>
            </w:tcMar>
            <w:vAlign w:val="center"/>
          </w:tcPr>
          <w:p w14:paraId="2CD879C4"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7</w:t>
            </w:r>
          </w:p>
        </w:tc>
        <w:tc>
          <w:tcPr>
            <w:tcW w:w="1207" w:type="pct"/>
            <w:shd w:val="clear" w:color="auto" w:fill="FFFFFF"/>
            <w:tcMar>
              <w:top w:w="0" w:type="dxa"/>
              <w:left w:w="28" w:type="dxa"/>
              <w:bottom w:w="0" w:type="dxa"/>
              <w:right w:w="28" w:type="dxa"/>
            </w:tcMar>
            <w:vAlign w:val="center"/>
          </w:tcPr>
          <w:p w14:paraId="717D1908"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snapToGrid/>
                <w:lang w:eastAsia="zh-CN" w:bidi="ar"/>
              </w:rPr>
              <w:t>杨凯然</w:t>
            </w:r>
          </w:p>
        </w:tc>
        <w:tc>
          <w:tcPr>
            <w:tcW w:w="966" w:type="pct"/>
            <w:shd w:val="clear" w:color="auto" w:fill="FFFFFF"/>
            <w:tcMar>
              <w:top w:w="0" w:type="dxa"/>
              <w:left w:w="28" w:type="dxa"/>
              <w:bottom w:w="0" w:type="dxa"/>
              <w:right w:w="28" w:type="dxa"/>
            </w:tcMar>
            <w:vAlign w:val="center"/>
          </w:tcPr>
          <w:p w14:paraId="1C20A9FC"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6,223.41</w:t>
            </w:r>
          </w:p>
        </w:tc>
        <w:tc>
          <w:tcPr>
            <w:tcW w:w="1225" w:type="pct"/>
            <w:shd w:val="clear" w:color="auto" w:fill="FFFFFF"/>
            <w:vAlign w:val="center"/>
          </w:tcPr>
          <w:p w14:paraId="2A905CBF"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2,325,638</w:t>
            </w:r>
          </w:p>
        </w:tc>
        <w:tc>
          <w:tcPr>
            <w:tcW w:w="1136" w:type="pct"/>
            <w:shd w:val="clear" w:color="auto" w:fill="FFFFFF"/>
            <w:tcMar>
              <w:top w:w="0" w:type="dxa"/>
              <w:left w:w="28" w:type="dxa"/>
              <w:bottom w:w="0" w:type="dxa"/>
              <w:right w:w="28" w:type="dxa"/>
            </w:tcMar>
            <w:vAlign w:val="center"/>
          </w:tcPr>
          <w:p w14:paraId="367BDFD1"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3,244,738</w:t>
            </w:r>
          </w:p>
        </w:tc>
      </w:tr>
      <w:tr w:rsidR="00AE1DA4" w14:paraId="01A21C65" w14:textId="77777777">
        <w:trPr>
          <w:trHeight w:val="397"/>
          <w:jc w:val="center"/>
        </w:trPr>
        <w:tc>
          <w:tcPr>
            <w:tcW w:w="464" w:type="pct"/>
            <w:shd w:val="clear" w:color="auto" w:fill="FFFFFF"/>
            <w:tcMar>
              <w:top w:w="0" w:type="dxa"/>
              <w:left w:w="28" w:type="dxa"/>
              <w:bottom w:w="0" w:type="dxa"/>
              <w:right w:w="28" w:type="dxa"/>
            </w:tcMar>
            <w:vAlign w:val="center"/>
          </w:tcPr>
          <w:p w14:paraId="774B213A"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8</w:t>
            </w:r>
          </w:p>
        </w:tc>
        <w:tc>
          <w:tcPr>
            <w:tcW w:w="1207" w:type="pct"/>
            <w:shd w:val="clear" w:color="auto" w:fill="FFFFFF"/>
            <w:tcMar>
              <w:top w:w="0" w:type="dxa"/>
              <w:left w:w="28" w:type="dxa"/>
              <w:bottom w:w="0" w:type="dxa"/>
              <w:right w:w="28" w:type="dxa"/>
            </w:tcMar>
            <w:vAlign w:val="center"/>
          </w:tcPr>
          <w:p w14:paraId="23B57596"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snapToGrid/>
                <w:lang w:eastAsia="zh-CN" w:bidi="ar"/>
              </w:rPr>
              <w:t>张杰波</w:t>
            </w:r>
          </w:p>
        </w:tc>
        <w:tc>
          <w:tcPr>
            <w:tcW w:w="966" w:type="pct"/>
            <w:shd w:val="clear" w:color="auto" w:fill="FFFFFF"/>
            <w:tcMar>
              <w:top w:w="0" w:type="dxa"/>
              <w:left w:w="28" w:type="dxa"/>
              <w:bottom w:w="0" w:type="dxa"/>
              <w:right w:w="28" w:type="dxa"/>
            </w:tcMar>
            <w:vAlign w:val="center"/>
          </w:tcPr>
          <w:p w14:paraId="62C8F114"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5,731.62</w:t>
            </w:r>
          </w:p>
        </w:tc>
        <w:tc>
          <w:tcPr>
            <w:tcW w:w="1225" w:type="pct"/>
            <w:shd w:val="clear" w:color="auto" w:fill="FFFFFF"/>
            <w:vAlign w:val="center"/>
          </w:tcPr>
          <w:p w14:paraId="1A8F65CB"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2,141,860</w:t>
            </w:r>
          </w:p>
        </w:tc>
        <w:tc>
          <w:tcPr>
            <w:tcW w:w="1136" w:type="pct"/>
            <w:shd w:val="clear" w:color="auto" w:fill="FFFFFF"/>
            <w:tcMar>
              <w:top w:w="0" w:type="dxa"/>
              <w:left w:w="28" w:type="dxa"/>
              <w:bottom w:w="0" w:type="dxa"/>
              <w:right w:w="28" w:type="dxa"/>
            </w:tcMar>
            <w:vAlign w:val="center"/>
          </w:tcPr>
          <w:p w14:paraId="45AFBC76"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2,988,330</w:t>
            </w:r>
          </w:p>
        </w:tc>
      </w:tr>
      <w:tr w:rsidR="00AE1DA4" w14:paraId="5ED02594" w14:textId="77777777">
        <w:trPr>
          <w:trHeight w:val="397"/>
          <w:jc w:val="center"/>
        </w:trPr>
        <w:tc>
          <w:tcPr>
            <w:tcW w:w="464" w:type="pct"/>
            <w:shd w:val="clear" w:color="auto" w:fill="FFFFFF"/>
            <w:tcMar>
              <w:top w:w="0" w:type="dxa"/>
              <w:left w:w="28" w:type="dxa"/>
              <w:bottom w:w="0" w:type="dxa"/>
              <w:right w:w="28" w:type="dxa"/>
            </w:tcMar>
            <w:vAlign w:val="center"/>
          </w:tcPr>
          <w:p w14:paraId="709C9562"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9</w:t>
            </w:r>
          </w:p>
        </w:tc>
        <w:tc>
          <w:tcPr>
            <w:tcW w:w="1207" w:type="pct"/>
            <w:shd w:val="clear" w:color="auto" w:fill="FFFFFF"/>
            <w:tcMar>
              <w:top w:w="0" w:type="dxa"/>
              <w:left w:w="28" w:type="dxa"/>
              <w:bottom w:w="0" w:type="dxa"/>
              <w:right w:w="28" w:type="dxa"/>
            </w:tcMar>
            <w:vAlign w:val="center"/>
          </w:tcPr>
          <w:p w14:paraId="5A5BE2F1"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璀璨远见（深圳）企业管理合伙企业（有限合伙）</w:t>
            </w:r>
          </w:p>
        </w:tc>
        <w:tc>
          <w:tcPr>
            <w:tcW w:w="966" w:type="pct"/>
            <w:shd w:val="clear" w:color="auto" w:fill="FFFFFF"/>
            <w:tcMar>
              <w:top w:w="0" w:type="dxa"/>
              <w:left w:w="28" w:type="dxa"/>
              <w:bottom w:w="0" w:type="dxa"/>
              <w:right w:w="28" w:type="dxa"/>
            </w:tcMar>
            <w:vAlign w:val="center"/>
          </w:tcPr>
          <w:p w14:paraId="7A72C49D"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1,331.70</w:t>
            </w:r>
          </w:p>
        </w:tc>
        <w:tc>
          <w:tcPr>
            <w:tcW w:w="1225" w:type="pct"/>
            <w:shd w:val="clear" w:color="auto" w:fill="FFFFFF"/>
            <w:vAlign w:val="center"/>
          </w:tcPr>
          <w:p w14:paraId="1057E8E0"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497,647</w:t>
            </w:r>
          </w:p>
        </w:tc>
        <w:tc>
          <w:tcPr>
            <w:tcW w:w="1136" w:type="pct"/>
            <w:shd w:val="clear" w:color="auto" w:fill="FFFFFF"/>
            <w:tcMar>
              <w:top w:w="0" w:type="dxa"/>
              <w:left w:w="28" w:type="dxa"/>
              <w:bottom w:w="0" w:type="dxa"/>
              <w:right w:w="28" w:type="dxa"/>
            </w:tcMar>
            <w:vAlign w:val="center"/>
          </w:tcPr>
          <w:p w14:paraId="03879A93"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694,319</w:t>
            </w:r>
          </w:p>
        </w:tc>
      </w:tr>
      <w:tr w:rsidR="00AE1DA4" w14:paraId="1474451B" w14:textId="77777777">
        <w:trPr>
          <w:trHeight w:val="397"/>
          <w:jc w:val="center"/>
        </w:trPr>
        <w:tc>
          <w:tcPr>
            <w:tcW w:w="464" w:type="pct"/>
            <w:shd w:val="clear" w:color="auto" w:fill="FFFFFF"/>
            <w:tcMar>
              <w:top w:w="0" w:type="dxa"/>
              <w:left w:w="28" w:type="dxa"/>
              <w:bottom w:w="0" w:type="dxa"/>
              <w:right w:w="28" w:type="dxa"/>
            </w:tcMar>
            <w:vAlign w:val="center"/>
          </w:tcPr>
          <w:p w14:paraId="2E2F5CE5"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10</w:t>
            </w:r>
          </w:p>
        </w:tc>
        <w:tc>
          <w:tcPr>
            <w:tcW w:w="1207" w:type="pct"/>
            <w:shd w:val="clear" w:color="auto" w:fill="FFFFFF"/>
            <w:tcMar>
              <w:top w:w="0" w:type="dxa"/>
              <w:left w:w="28" w:type="dxa"/>
              <w:bottom w:w="0" w:type="dxa"/>
              <w:right w:w="28" w:type="dxa"/>
            </w:tcMar>
            <w:vAlign w:val="center"/>
          </w:tcPr>
          <w:p w14:paraId="71805C8C"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泰安乐熙熙投资服务合伙企业（有限合伙）</w:t>
            </w:r>
          </w:p>
        </w:tc>
        <w:tc>
          <w:tcPr>
            <w:tcW w:w="966" w:type="pct"/>
            <w:shd w:val="clear" w:color="auto" w:fill="FFFFFF"/>
            <w:tcMar>
              <w:top w:w="0" w:type="dxa"/>
              <w:left w:w="28" w:type="dxa"/>
              <w:bottom w:w="0" w:type="dxa"/>
              <w:right w:w="28" w:type="dxa"/>
            </w:tcMar>
            <w:vAlign w:val="center"/>
          </w:tcPr>
          <w:p w14:paraId="57E32174"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2,087.06</w:t>
            </w:r>
          </w:p>
        </w:tc>
        <w:tc>
          <w:tcPr>
            <w:tcW w:w="1225" w:type="pct"/>
            <w:shd w:val="clear" w:color="auto" w:fill="FFFFFF"/>
            <w:vAlign w:val="center"/>
          </w:tcPr>
          <w:p w14:paraId="298102AF"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779,916</w:t>
            </w:r>
          </w:p>
        </w:tc>
        <w:tc>
          <w:tcPr>
            <w:tcW w:w="1136" w:type="pct"/>
            <w:shd w:val="clear" w:color="auto" w:fill="FFFFFF"/>
            <w:tcMar>
              <w:top w:w="0" w:type="dxa"/>
              <w:left w:w="28" w:type="dxa"/>
              <w:bottom w:w="0" w:type="dxa"/>
              <w:right w:w="28" w:type="dxa"/>
            </w:tcMar>
            <w:vAlign w:val="center"/>
          </w:tcPr>
          <w:p w14:paraId="5E11C19D"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1,088,142</w:t>
            </w:r>
          </w:p>
        </w:tc>
      </w:tr>
      <w:tr w:rsidR="00AE1DA4" w14:paraId="1C55DB4F" w14:textId="77777777">
        <w:trPr>
          <w:trHeight w:val="397"/>
          <w:jc w:val="center"/>
        </w:trPr>
        <w:tc>
          <w:tcPr>
            <w:tcW w:w="464" w:type="pct"/>
            <w:shd w:val="clear" w:color="auto" w:fill="FFFFFF"/>
            <w:tcMar>
              <w:top w:w="0" w:type="dxa"/>
              <w:left w:w="28" w:type="dxa"/>
              <w:bottom w:w="0" w:type="dxa"/>
              <w:right w:w="28" w:type="dxa"/>
            </w:tcMar>
            <w:vAlign w:val="center"/>
          </w:tcPr>
          <w:p w14:paraId="033608F7"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11</w:t>
            </w:r>
          </w:p>
        </w:tc>
        <w:tc>
          <w:tcPr>
            <w:tcW w:w="1207" w:type="pct"/>
            <w:shd w:val="clear" w:color="auto" w:fill="FFFFFF"/>
            <w:tcMar>
              <w:top w:w="0" w:type="dxa"/>
              <w:left w:w="28" w:type="dxa"/>
              <w:bottom w:w="0" w:type="dxa"/>
              <w:right w:w="28" w:type="dxa"/>
            </w:tcMar>
            <w:vAlign w:val="center"/>
          </w:tcPr>
          <w:p w14:paraId="2464EA04"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泰安乐腾腾投资服务合伙企业（有限合伙）</w:t>
            </w:r>
          </w:p>
        </w:tc>
        <w:tc>
          <w:tcPr>
            <w:tcW w:w="966" w:type="pct"/>
            <w:shd w:val="clear" w:color="auto" w:fill="FFFFFF"/>
            <w:tcMar>
              <w:top w:w="0" w:type="dxa"/>
              <w:left w:w="28" w:type="dxa"/>
              <w:bottom w:w="0" w:type="dxa"/>
              <w:right w:w="28" w:type="dxa"/>
            </w:tcMar>
            <w:vAlign w:val="center"/>
          </w:tcPr>
          <w:p w14:paraId="0B852324"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1,882.21</w:t>
            </w:r>
          </w:p>
        </w:tc>
        <w:tc>
          <w:tcPr>
            <w:tcW w:w="1225" w:type="pct"/>
            <w:shd w:val="clear" w:color="auto" w:fill="FFFFFF"/>
            <w:vAlign w:val="center"/>
          </w:tcPr>
          <w:p w14:paraId="66ABD7E2"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703,366</w:t>
            </w:r>
          </w:p>
        </w:tc>
        <w:tc>
          <w:tcPr>
            <w:tcW w:w="1136" w:type="pct"/>
            <w:shd w:val="clear" w:color="auto" w:fill="FFFFFF"/>
            <w:tcMar>
              <w:top w:w="0" w:type="dxa"/>
              <w:left w:w="28" w:type="dxa"/>
              <w:bottom w:w="0" w:type="dxa"/>
              <w:right w:w="28" w:type="dxa"/>
            </w:tcMar>
            <w:vAlign w:val="center"/>
          </w:tcPr>
          <w:p w14:paraId="1FCCF642"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981,339</w:t>
            </w:r>
          </w:p>
        </w:tc>
      </w:tr>
      <w:tr w:rsidR="00AE1DA4" w14:paraId="7AE559BC" w14:textId="77777777">
        <w:trPr>
          <w:trHeight w:val="397"/>
          <w:jc w:val="center"/>
        </w:trPr>
        <w:tc>
          <w:tcPr>
            <w:tcW w:w="464" w:type="pct"/>
            <w:shd w:val="clear" w:color="auto" w:fill="FFFFFF"/>
            <w:tcMar>
              <w:top w:w="0" w:type="dxa"/>
              <w:left w:w="28" w:type="dxa"/>
              <w:bottom w:w="0" w:type="dxa"/>
              <w:right w:w="28" w:type="dxa"/>
            </w:tcMar>
            <w:vAlign w:val="center"/>
          </w:tcPr>
          <w:p w14:paraId="0C1DA93E"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12</w:t>
            </w:r>
          </w:p>
        </w:tc>
        <w:tc>
          <w:tcPr>
            <w:tcW w:w="1207" w:type="pct"/>
            <w:shd w:val="clear" w:color="auto" w:fill="FFFFFF"/>
            <w:tcMar>
              <w:top w:w="0" w:type="dxa"/>
              <w:left w:w="28" w:type="dxa"/>
              <w:bottom w:w="0" w:type="dxa"/>
              <w:right w:w="28" w:type="dxa"/>
            </w:tcMar>
            <w:vAlign w:val="center"/>
          </w:tcPr>
          <w:p w14:paraId="297569A5"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深圳市前海千意智合三期投资合伙企业（有限合伙）</w:t>
            </w:r>
          </w:p>
        </w:tc>
        <w:tc>
          <w:tcPr>
            <w:tcW w:w="966" w:type="pct"/>
            <w:shd w:val="clear" w:color="auto" w:fill="FFFFFF"/>
            <w:tcMar>
              <w:top w:w="0" w:type="dxa"/>
              <w:left w:w="28" w:type="dxa"/>
              <w:bottom w:w="0" w:type="dxa"/>
              <w:right w:w="28" w:type="dxa"/>
            </w:tcMar>
            <w:vAlign w:val="center"/>
          </w:tcPr>
          <w:p w14:paraId="76293B88"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835.43</w:t>
            </w:r>
          </w:p>
        </w:tc>
        <w:tc>
          <w:tcPr>
            <w:tcW w:w="1225" w:type="pct"/>
            <w:shd w:val="clear" w:color="auto" w:fill="FFFFFF"/>
            <w:vAlign w:val="center"/>
          </w:tcPr>
          <w:p w14:paraId="3FABC065"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312,192</w:t>
            </w:r>
          </w:p>
        </w:tc>
        <w:tc>
          <w:tcPr>
            <w:tcW w:w="1136" w:type="pct"/>
            <w:shd w:val="clear" w:color="auto" w:fill="FFFFFF"/>
            <w:tcMar>
              <w:top w:w="0" w:type="dxa"/>
              <w:left w:w="28" w:type="dxa"/>
              <w:bottom w:w="0" w:type="dxa"/>
              <w:right w:w="28" w:type="dxa"/>
            </w:tcMar>
            <w:vAlign w:val="center"/>
          </w:tcPr>
          <w:p w14:paraId="109E5839"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435,572</w:t>
            </w:r>
          </w:p>
        </w:tc>
      </w:tr>
      <w:tr w:rsidR="00AE1DA4" w14:paraId="1310F6BC" w14:textId="77777777">
        <w:trPr>
          <w:trHeight w:val="397"/>
          <w:jc w:val="center"/>
        </w:trPr>
        <w:tc>
          <w:tcPr>
            <w:tcW w:w="464" w:type="pct"/>
            <w:shd w:val="clear" w:color="auto" w:fill="FFFFFF"/>
            <w:tcMar>
              <w:top w:w="0" w:type="dxa"/>
              <w:left w:w="28" w:type="dxa"/>
              <w:bottom w:w="0" w:type="dxa"/>
              <w:right w:w="28" w:type="dxa"/>
            </w:tcMar>
            <w:vAlign w:val="center"/>
          </w:tcPr>
          <w:p w14:paraId="25F07510"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13</w:t>
            </w:r>
          </w:p>
        </w:tc>
        <w:tc>
          <w:tcPr>
            <w:tcW w:w="1207" w:type="pct"/>
            <w:shd w:val="clear" w:color="auto" w:fill="FFFFFF"/>
            <w:tcMar>
              <w:top w:w="0" w:type="dxa"/>
              <w:left w:w="28" w:type="dxa"/>
              <w:bottom w:w="0" w:type="dxa"/>
              <w:right w:w="28" w:type="dxa"/>
            </w:tcMar>
            <w:vAlign w:val="center"/>
          </w:tcPr>
          <w:p w14:paraId="41815645"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snapToGrid/>
                <w:lang w:eastAsia="zh-CN" w:bidi="ar"/>
              </w:rPr>
              <w:t>胡俊</w:t>
            </w:r>
          </w:p>
        </w:tc>
        <w:tc>
          <w:tcPr>
            <w:tcW w:w="966" w:type="pct"/>
            <w:shd w:val="clear" w:color="auto" w:fill="FFFFFF"/>
            <w:tcMar>
              <w:top w:w="0" w:type="dxa"/>
              <w:left w:w="28" w:type="dxa"/>
              <w:bottom w:w="0" w:type="dxa"/>
              <w:right w:w="28" w:type="dxa"/>
            </w:tcMar>
            <w:vAlign w:val="center"/>
          </w:tcPr>
          <w:p w14:paraId="0E9D133C"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2,526.17</w:t>
            </w:r>
          </w:p>
        </w:tc>
        <w:tc>
          <w:tcPr>
            <w:tcW w:w="1225" w:type="pct"/>
            <w:shd w:val="clear" w:color="auto" w:fill="FFFFFF"/>
            <w:vAlign w:val="center"/>
          </w:tcPr>
          <w:p w14:paraId="476C7476"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944,007</w:t>
            </w:r>
          </w:p>
        </w:tc>
        <w:tc>
          <w:tcPr>
            <w:tcW w:w="1136" w:type="pct"/>
            <w:shd w:val="clear" w:color="auto" w:fill="FFFFFF"/>
            <w:tcMar>
              <w:top w:w="0" w:type="dxa"/>
              <w:left w:w="28" w:type="dxa"/>
              <w:bottom w:w="0" w:type="dxa"/>
              <w:right w:w="28" w:type="dxa"/>
            </w:tcMar>
            <w:vAlign w:val="center"/>
          </w:tcPr>
          <w:p w14:paraId="2D9F4A0F"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1,317,083</w:t>
            </w:r>
          </w:p>
        </w:tc>
      </w:tr>
      <w:tr w:rsidR="00AE1DA4" w14:paraId="2605D7EF" w14:textId="77777777">
        <w:trPr>
          <w:trHeight w:val="397"/>
          <w:jc w:val="center"/>
        </w:trPr>
        <w:tc>
          <w:tcPr>
            <w:tcW w:w="464" w:type="pct"/>
            <w:shd w:val="clear" w:color="auto" w:fill="FFFFFF"/>
            <w:tcMar>
              <w:top w:w="0" w:type="dxa"/>
              <w:left w:w="28" w:type="dxa"/>
              <w:bottom w:w="0" w:type="dxa"/>
              <w:right w:w="28" w:type="dxa"/>
            </w:tcMar>
            <w:vAlign w:val="center"/>
          </w:tcPr>
          <w:p w14:paraId="02CAA4B9"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14</w:t>
            </w:r>
          </w:p>
        </w:tc>
        <w:tc>
          <w:tcPr>
            <w:tcW w:w="1207" w:type="pct"/>
            <w:shd w:val="clear" w:color="auto" w:fill="FFFFFF"/>
            <w:tcMar>
              <w:top w:w="0" w:type="dxa"/>
              <w:left w:w="28" w:type="dxa"/>
              <w:bottom w:w="0" w:type="dxa"/>
              <w:right w:w="28" w:type="dxa"/>
            </w:tcMar>
            <w:vAlign w:val="center"/>
          </w:tcPr>
          <w:p w14:paraId="68262372"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snapToGrid/>
                <w:lang w:eastAsia="zh-CN" w:bidi="ar"/>
              </w:rPr>
              <w:t>王佳</w:t>
            </w:r>
          </w:p>
        </w:tc>
        <w:tc>
          <w:tcPr>
            <w:tcW w:w="966" w:type="pct"/>
            <w:shd w:val="clear" w:color="auto" w:fill="FFFFFF"/>
            <w:tcMar>
              <w:top w:w="0" w:type="dxa"/>
              <w:left w:w="28" w:type="dxa"/>
              <w:bottom w:w="0" w:type="dxa"/>
              <w:right w:w="28" w:type="dxa"/>
            </w:tcMar>
            <w:vAlign w:val="center"/>
          </w:tcPr>
          <w:p w14:paraId="71E3B1D4"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2,265.26</w:t>
            </w:r>
          </w:p>
        </w:tc>
        <w:tc>
          <w:tcPr>
            <w:tcW w:w="1225" w:type="pct"/>
            <w:shd w:val="clear" w:color="auto" w:fill="FFFFFF"/>
            <w:vAlign w:val="center"/>
          </w:tcPr>
          <w:p w14:paraId="766D4B94"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846,509</w:t>
            </w:r>
          </w:p>
        </w:tc>
        <w:tc>
          <w:tcPr>
            <w:tcW w:w="1136" w:type="pct"/>
            <w:shd w:val="clear" w:color="auto" w:fill="FFFFFF"/>
            <w:tcMar>
              <w:top w:w="0" w:type="dxa"/>
              <w:left w:w="28" w:type="dxa"/>
              <w:bottom w:w="0" w:type="dxa"/>
              <w:right w:w="28" w:type="dxa"/>
            </w:tcMar>
            <w:vAlign w:val="center"/>
          </w:tcPr>
          <w:p w14:paraId="334ED08D"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1,181,053</w:t>
            </w:r>
          </w:p>
        </w:tc>
      </w:tr>
      <w:tr w:rsidR="00AE1DA4" w14:paraId="6F507BEC" w14:textId="77777777">
        <w:trPr>
          <w:trHeight w:val="397"/>
          <w:jc w:val="center"/>
        </w:trPr>
        <w:tc>
          <w:tcPr>
            <w:tcW w:w="464" w:type="pct"/>
            <w:shd w:val="clear" w:color="auto" w:fill="FFFFFF"/>
            <w:tcMar>
              <w:top w:w="0" w:type="dxa"/>
              <w:left w:w="28" w:type="dxa"/>
              <w:bottom w:w="0" w:type="dxa"/>
              <w:right w:w="28" w:type="dxa"/>
            </w:tcMar>
            <w:vAlign w:val="center"/>
          </w:tcPr>
          <w:p w14:paraId="5748BDE7"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15</w:t>
            </w:r>
          </w:p>
        </w:tc>
        <w:tc>
          <w:tcPr>
            <w:tcW w:w="1207" w:type="pct"/>
            <w:shd w:val="clear" w:color="auto" w:fill="FFFFFF"/>
            <w:tcMar>
              <w:top w:w="0" w:type="dxa"/>
              <w:left w:w="28" w:type="dxa"/>
              <w:bottom w:w="0" w:type="dxa"/>
              <w:right w:w="28" w:type="dxa"/>
            </w:tcMar>
            <w:vAlign w:val="center"/>
          </w:tcPr>
          <w:p w14:paraId="451C11D3"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泰安乐哈哈投资服务合伙企业（有限合伙）</w:t>
            </w:r>
          </w:p>
        </w:tc>
        <w:tc>
          <w:tcPr>
            <w:tcW w:w="966" w:type="pct"/>
            <w:shd w:val="clear" w:color="auto" w:fill="FFFFFF"/>
            <w:tcMar>
              <w:top w:w="0" w:type="dxa"/>
              <w:left w:w="28" w:type="dxa"/>
              <w:bottom w:w="0" w:type="dxa"/>
              <w:right w:w="28" w:type="dxa"/>
            </w:tcMar>
            <w:vAlign w:val="center"/>
          </w:tcPr>
          <w:p w14:paraId="5952E881"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1,147.26</w:t>
            </w:r>
          </w:p>
        </w:tc>
        <w:tc>
          <w:tcPr>
            <w:tcW w:w="1225" w:type="pct"/>
            <w:shd w:val="clear" w:color="auto" w:fill="FFFFFF"/>
            <w:vAlign w:val="center"/>
          </w:tcPr>
          <w:p w14:paraId="1033C86E"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428,722</w:t>
            </w:r>
          </w:p>
        </w:tc>
        <w:tc>
          <w:tcPr>
            <w:tcW w:w="1136" w:type="pct"/>
            <w:shd w:val="clear" w:color="auto" w:fill="FFFFFF"/>
            <w:tcMar>
              <w:top w:w="0" w:type="dxa"/>
              <w:left w:w="28" w:type="dxa"/>
              <w:bottom w:w="0" w:type="dxa"/>
              <w:right w:w="28" w:type="dxa"/>
            </w:tcMar>
            <w:vAlign w:val="center"/>
          </w:tcPr>
          <w:p w14:paraId="2AC41FCB"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598,155</w:t>
            </w:r>
          </w:p>
        </w:tc>
      </w:tr>
      <w:tr w:rsidR="00AE1DA4" w14:paraId="1118A87E" w14:textId="77777777">
        <w:trPr>
          <w:trHeight w:val="397"/>
          <w:jc w:val="center"/>
        </w:trPr>
        <w:tc>
          <w:tcPr>
            <w:tcW w:w="464" w:type="pct"/>
            <w:shd w:val="clear" w:color="auto" w:fill="FFFFFF"/>
            <w:tcMar>
              <w:top w:w="0" w:type="dxa"/>
              <w:left w:w="28" w:type="dxa"/>
              <w:bottom w:w="0" w:type="dxa"/>
              <w:right w:w="28" w:type="dxa"/>
            </w:tcMar>
            <w:vAlign w:val="center"/>
          </w:tcPr>
          <w:p w14:paraId="3B2933D6"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16</w:t>
            </w:r>
          </w:p>
        </w:tc>
        <w:tc>
          <w:tcPr>
            <w:tcW w:w="1207" w:type="pct"/>
            <w:shd w:val="clear" w:color="auto" w:fill="FFFFFF"/>
            <w:tcMar>
              <w:top w:w="0" w:type="dxa"/>
              <w:left w:w="28" w:type="dxa"/>
              <w:bottom w:w="0" w:type="dxa"/>
              <w:right w:w="28" w:type="dxa"/>
            </w:tcMar>
            <w:vAlign w:val="center"/>
          </w:tcPr>
          <w:p w14:paraId="2EFB9FF7"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广州广发信德二期创业投资合伙企业（有限合伙）</w:t>
            </w:r>
          </w:p>
        </w:tc>
        <w:tc>
          <w:tcPr>
            <w:tcW w:w="966" w:type="pct"/>
            <w:shd w:val="clear" w:color="auto" w:fill="FFFFFF"/>
            <w:tcMar>
              <w:top w:w="0" w:type="dxa"/>
              <w:left w:w="28" w:type="dxa"/>
              <w:bottom w:w="0" w:type="dxa"/>
              <w:right w:w="28" w:type="dxa"/>
            </w:tcMar>
            <w:vAlign w:val="center"/>
          </w:tcPr>
          <w:p w14:paraId="2E01F695"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732.47</w:t>
            </w:r>
          </w:p>
        </w:tc>
        <w:tc>
          <w:tcPr>
            <w:tcW w:w="1225" w:type="pct"/>
            <w:shd w:val="clear" w:color="auto" w:fill="FFFFFF"/>
            <w:vAlign w:val="center"/>
          </w:tcPr>
          <w:p w14:paraId="50F072FB"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273,719</w:t>
            </w:r>
          </w:p>
        </w:tc>
        <w:tc>
          <w:tcPr>
            <w:tcW w:w="1136" w:type="pct"/>
            <w:shd w:val="clear" w:color="auto" w:fill="FFFFFF"/>
            <w:tcMar>
              <w:top w:w="0" w:type="dxa"/>
              <w:left w:w="28" w:type="dxa"/>
              <w:bottom w:w="0" w:type="dxa"/>
              <w:right w:w="28" w:type="dxa"/>
            </w:tcMar>
            <w:vAlign w:val="center"/>
          </w:tcPr>
          <w:p w14:paraId="1BEA38B6"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381,895</w:t>
            </w:r>
          </w:p>
        </w:tc>
      </w:tr>
      <w:tr w:rsidR="00AE1DA4" w14:paraId="63C7B8C4" w14:textId="77777777">
        <w:trPr>
          <w:trHeight w:val="397"/>
          <w:jc w:val="center"/>
        </w:trPr>
        <w:tc>
          <w:tcPr>
            <w:tcW w:w="464" w:type="pct"/>
            <w:shd w:val="clear" w:color="auto" w:fill="FFFFFF"/>
            <w:tcMar>
              <w:top w:w="0" w:type="dxa"/>
              <w:left w:w="28" w:type="dxa"/>
              <w:bottom w:w="0" w:type="dxa"/>
              <w:right w:w="28" w:type="dxa"/>
            </w:tcMar>
            <w:vAlign w:val="center"/>
          </w:tcPr>
          <w:p w14:paraId="1B480113"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17</w:t>
            </w:r>
          </w:p>
        </w:tc>
        <w:tc>
          <w:tcPr>
            <w:tcW w:w="1207" w:type="pct"/>
            <w:shd w:val="clear" w:color="auto" w:fill="FFFFFF"/>
            <w:tcMar>
              <w:top w:w="0" w:type="dxa"/>
              <w:left w:w="28" w:type="dxa"/>
              <w:bottom w:w="0" w:type="dxa"/>
              <w:right w:w="28" w:type="dxa"/>
            </w:tcMar>
            <w:vAlign w:val="center"/>
          </w:tcPr>
          <w:p w14:paraId="35502CBE"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璀璨德商（深圳）创业投资中心（有限合伙）</w:t>
            </w:r>
          </w:p>
        </w:tc>
        <w:tc>
          <w:tcPr>
            <w:tcW w:w="966" w:type="pct"/>
            <w:shd w:val="clear" w:color="auto" w:fill="FFFFFF"/>
            <w:tcMar>
              <w:top w:w="0" w:type="dxa"/>
              <w:left w:w="28" w:type="dxa"/>
              <w:bottom w:w="0" w:type="dxa"/>
              <w:right w:w="28" w:type="dxa"/>
            </w:tcMar>
            <w:vAlign w:val="center"/>
          </w:tcPr>
          <w:p w14:paraId="5C15F4B2"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420.54</w:t>
            </w:r>
          </w:p>
        </w:tc>
        <w:tc>
          <w:tcPr>
            <w:tcW w:w="1225" w:type="pct"/>
            <w:shd w:val="clear" w:color="auto" w:fill="FFFFFF"/>
            <w:vAlign w:val="center"/>
          </w:tcPr>
          <w:p w14:paraId="4C0326E9"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157,152</w:t>
            </w:r>
          </w:p>
        </w:tc>
        <w:tc>
          <w:tcPr>
            <w:tcW w:w="1136" w:type="pct"/>
            <w:shd w:val="clear" w:color="auto" w:fill="FFFFFF"/>
            <w:tcMar>
              <w:top w:w="0" w:type="dxa"/>
              <w:left w:w="28" w:type="dxa"/>
              <w:bottom w:w="0" w:type="dxa"/>
              <w:right w:w="28" w:type="dxa"/>
            </w:tcMar>
            <w:vAlign w:val="center"/>
          </w:tcPr>
          <w:p w14:paraId="06AF8FDC"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219,259</w:t>
            </w:r>
          </w:p>
        </w:tc>
      </w:tr>
      <w:tr w:rsidR="00AE1DA4" w14:paraId="79854C69" w14:textId="77777777">
        <w:trPr>
          <w:trHeight w:val="397"/>
          <w:jc w:val="center"/>
        </w:trPr>
        <w:tc>
          <w:tcPr>
            <w:tcW w:w="464" w:type="pct"/>
            <w:shd w:val="clear" w:color="auto" w:fill="FFFFFF"/>
            <w:tcMar>
              <w:top w:w="0" w:type="dxa"/>
              <w:left w:w="28" w:type="dxa"/>
              <w:bottom w:w="0" w:type="dxa"/>
              <w:right w:w="28" w:type="dxa"/>
            </w:tcMar>
            <w:vAlign w:val="center"/>
          </w:tcPr>
          <w:p w14:paraId="3841D37A"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18</w:t>
            </w:r>
          </w:p>
        </w:tc>
        <w:tc>
          <w:tcPr>
            <w:tcW w:w="1207" w:type="pct"/>
            <w:shd w:val="clear" w:color="auto" w:fill="FFFFFF"/>
            <w:tcMar>
              <w:top w:w="0" w:type="dxa"/>
              <w:left w:w="28" w:type="dxa"/>
              <w:bottom w:w="0" w:type="dxa"/>
              <w:right w:w="28" w:type="dxa"/>
            </w:tcMar>
            <w:vAlign w:val="center"/>
          </w:tcPr>
          <w:p w14:paraId="5F8A5D67"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广州信德创业营股权投资合伙企业（有限合伙）</w:t>
            </w:r>
          </w:p>
        </w:tc>
        <w:tc>
          <w:tcPr>
            <w:tcW w:w="966" w:type="pct"/>
            <w:shd w:val="clear" w:color="auto" w:fill="FFFFFF"/>
            <w:tcMar>
              <w:top w:w="0" w:type="dxa"/>
              <w:left w:w="28" w:type="dxa"/>
              <w:bottom w:w="0" w:type="dxa"/>
              <w:right w:w="28" w:type="dxa"/>
            </w:tcMar>
            <w:vAlign w:val="center"/>
          </w:tcPr>
          <w:p w14:paraId="543DC2B0"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511.64</w:t>
            </w:r>
          </w:p>
        </w:tc>
        <w:tc>
          <w:tcPr>
            <w:tcW w:w="1225" w:type="pct"/>
            <w:shd w:val="clear" w:color="auto" w:fill="FFFFFF"/>
            <w:vAlign w:val="center"/>
          </w:tcPr>
          <w:p w14:paraId="3E977A3B"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191,194</w:t>
            </w:r>
          </w:p>
        </w:tc>
        <w:tc>
          <w:tcPr>
            <w:tcW w:w="1136" w:type="pct"/>
            <w:shd w:val="clear" w:color="auto" w:fill="FFFFFF"/>
            <w:tcMar>
              <w:top w:w="0" w:type="dxa"/>
              <w:left w:w="28" w:type="dxa"/>
              <w:bottom w:w="0" w:type="dxa"/>
              <w:right w:w="28" w:type="dxa"/>
            </w:tcMar>
            <w:vAlign w:val="center"/>
          </w:tcPr>
          <w:p w14:paraId="63D0ED50"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266,755</w:t>
            </w:r>
          </w:p>
        </w:tc>
      </w:tr>
      <w:tr w:rsidR="00AE1DA4" w14:paraId="11493C6A" w14:textId="77777777">
        <w:trPr>
          <w:trHeight w:val="397"/>
          <w:jc w:val="center"/>
        </w:trPr>
        <w:tc>
          <w:tcPr>
            <w:tcW w:w="464" w:type="pct"/>
            <w:shd w:val="clear" w:color="auto" w:fill="FFFFFF"/>
            <w:tcMar>
              <w:top w:w="0" w:type="dxa"/>
              <w:left w:w="28" w:type="dxa"/>
              <w:bottom w:w="0" w:type="dxa"/>
              <w:right w:w="28" w:type="dxa"/>
            </w:tcMar>
            <w:vAlign w:val="center"/>
          </w:tcPr>
          <w:p w14:paraId="6056D263"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19</w:t>
            </w:r>
          </w:p>
        </w:tc>
        <w:tc>
          <w:tcPr>
            <w:tcW w:w="1207" w:type="pct"/>
            <w:shd w:val="clear" w:color="auto" w:fill="FFFFFF"/>
            <w:tcMar>
              <w:top w:w="0" w:type="dxa"/>
              <w:left w:w="28" w:type="dxa"/>
              <w:bottom w:w="0" w:type="dxa"/>
              <w:right w:w="28" w:type="dxa"/>
            </w:tcMar>
            <w:vAlign w:val="center"/>
          </w:tcPr>
          <w:p w14:paraId="087E870F"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泰安乐摇投资服务合伙企业（有限合伙）</w:t>
            </w:r>
          </w:p>
        </w:tc>
        <w:tc>
          <w:tcPr>
            <w:tcW w:w="966" w:type="pct"/>
            <w:shd w:val="clear" w:color="auto" w:fill="FFFFFF"/>
            <w:tcMar>
              <w:top w:w="0" w:type="dxa"/>
              <w:left w:w="28" w:type="dxa"/>
              <w:bottom w:w="0" w:type="dxa"/>
              <w:right w:w="28" w:type="dxa"/>
            </w:tcMar>
            <w:vAlign w:val="center"/>
          </w:tcPr>
          <w:p w14:paraId="6354BBB0"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371.76</w:t>
            </w:r>
          </w:p>
        </w:tc>
        <w:tc>
          <w:tcPr>
            <w:tcW w:w="1225" w:type="pct"/>
            <w:shd w:val="clear" w:color="auto" w:fill="FFFFFF"/>
            <w:vAlign w:val="center"/>
          </w:tcPr>
          <w:p w14:paraId="7251496E"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138,923</w:t>
            </w:r>
          </w:p>
        </w:tc>
        <w:tc>
          <w:tcPr>
            <w:tcW w:w="1136" w:type="pct"/>
            <w:shd w:val="clear" w:color="auto" w:fill="FFFFFF"/>
            <w:tcMar>
              <w:top w:w="0" w:type="dxa"/>
              <w:left w:w="28" w:type="dxa"/>
              <w:bottom w:w="0" w:type="dxa"/>
              <w:right w:w="28" w:type="dxa"/>
            </w:tcMar>
            <w:vAlign w:val="center"/>
          </w:tcPr>
          <w:p w14:paraId="355E47E1"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193,826</w:t>
            </w:r>
          </w:p>
        </w:tc>
      </w:tr>
      <w:tr w:rsidR="00AE1DA4" w14:paraId="26A84F35" w14:textId="77777777">
        <w:trPr>
          <w:trHeight w:val="397"/>
          <w:jc w:val="center"/>
        </w:trPr>
        <w:tc>
          <w:tcPr>
            <w:tcW w:w="464" w:type="pct"/>
            <w:shd w:val="clear" w:color="auto" w:fill="FFFFFF"/>
            <w:tcMar>
              <w:top w:w="0" w:type="dxa"/>
              <w:left w:w="28" w:type="dxa"/>
              <w:bottom w:w="0" w:type="dxa"/>
              <w:right w:w="28" w:type="dxa"/>
            </w:tcMar>
            <w:vAlign w:val="center"/>
          </w:tcPr>
          <w:p w14:paraId="6EFDE5FB"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20</w:t>
            </w:r>
          </w:p>
        </w:tc>
        <w:tc>
          <w:tcPr>
            <w:tcW w:w="1207" w:type="pct"/>
            <w:shd w:val="clear" w:color="auto" w:fill="FFFFFF"/>
            <w:tcMar>
              <w:top w:w="0" w:type="dxa"/>
              <w:left w:w="28" w:type="dxa"/>
              <w:bottom w:w="0" w:type="dxa"/>
              <w:right w:w="28" w:type="dxa"/>
            </w:tcMar>
            <w:vAlign w:val="center"/>
          </w:tcPr>
          <w:p w14:paraId="709F9F2E"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珠海康远投资企业（有限合伙）</w:t>
            </w:r>
          </w:p>
        </w:tc>
        <w:tc>
          <w:tcPr>
            <w:tcW w:w="966" w:type="pct"/>
            <w:shd w:val="clear" w:color="auto" w:fill="FFFFFF"/>
            <w:tcMar>
              <w:top w:w="0" w:type="dxa"/>
              <w:left w:w="28" w:type="dxa"/>
              <w:bottom w:w="0" w:type="dxa"/>
              <w:right w:w="28" w:type="dxa"/>
            </w:tcMar>
            <w:vAlign w:val="center"/>
          </w:tcPr>
          <w:p w14:paraId="045DB5E3"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179.22</w:t>
            </w:r>
          </w:p>
        </w:tc>
        <w:tc>
          <w:tcPr>
            <w:tcW w:w="1225" w:type="pct"/>
            <w:shd w:val="clear" w:color="auto" w:fill="FFFFFF"/>
            <w:vAlign w:val="center"/>
          </w:tcPr>
          <w:p w14:paraId="6D9B68FA"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66,972</w:t>
            </w:r>
          </w:p>
        </w:tc>
        <w:tc>
          <w:tcPr>
            <w:tcW w:w="1136" w:type="pct"/>
            <w:shd w:val="clear" w:color="auto" w:fill="FFFFFF"/>
            <w:tcMar>
              <w:top w:w="0" w:type="dxa"/>
              <w:left w:w="28" w:type="dxa"/>
              <w:bottom w:w="0" w:type="dxa"/>
              <w:right w:w="28" w:type="dxa"/>
            </w:tcMar>
            <w:vAlign w:val="center"/>
          </w:tcPr>
          <w:p w14:paraId="1C87AE96"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93,440</w:t>
            </w:r>
          </w:p>
        </w:tc>
      </w:tr>
      <w:tr w:rsidR="00AE1DA4" w14:paraId="5797B785" w14:textId="77777777">
        <w:trPr>
          <w:trHeight w:val="397"/>
          <w:jc w:val="center"/>
        </w:trPr>
        <w:tc>
          <w:tcPr>
            <w:tcW w:w="464" w:type="pct"/>
            <w:shd w:val="clear" w:color="auto" w:fill="FFFFFF"/>
            <w:tcMar>
              <w:top w:w="0" w:type="dxa"/>
              <w:left w:w="28" w:type="dxa"/>
              <w:bottom w:w="0" w:type="dxa"/>
              <w:right w:w="28" w:type="dxa"/>
            </w:tcMar>
            <w:vAlign w:val="center"/>
          </w:tcPr>
          <w:p w14:paraId="35842A5D"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color w:val="auto"/>
                <w:lang w:eastAsia="zh-CN"/>
              </w:rPr>
              <w:t>21</w:t>
            </w:r>
          </w:p>
        </w:tc>
        <w:tc>
          <w:tcPr>
            <w:tcW w:w="1207" w:type="pct"/>
            <w:shd w:val="clear" w:color="auto" w:fill="FFFFFF"/>
            <w:tcMar>
              <w:top w:w="0" w:type="dxa"/>
              <w:left w:w="28" w:type="dxa"/>
              <w:bottom w:w="0" w:type="dxa"/>
              <w:right w:w="28" w:type="dxa"/>
            </w:tcMar>
            <w:vAlign w:val="center"/>
          </w:tcPr>
          <w:p w14:paraId="2383B237"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上海德盾企业管理合伙企业（有限合伙）</w:t>
            </w:r>
          </w:p>
        </w:tc>
        <w:tc>
          <w:tcPr>
            <w:tcW w:w="966" w:type="pct"/>
            <w:shd w:val="clear" w:color="auto" w:fill="FFFFFF"/>
            <w:tcMar>
              <w:top w:w="0" w:type="dxa"/>
              <w:left w:w="28" w:type="dxa"/>
              <w:bottom w:w="0" w:type="dxa"/>
              <w:right w:w="28" w:type="dxa"/>
            </w:tcMar>
            <w:vAlign w:val="center"/>
          </w:tcPr>
          <w:p w14:paraId="424D70C5"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snapToGrid/>
                <w:kern w:val="2"/>
                <w:lang w:eastAsia="zh-CN"/>
              </w:rPr>
              <w:t>11.75</w:t>
            </w:r>
          </w:p>
        </w:tc>
        <w:tc>
          <w:tcPr>
            <w:tcW w:w="1225" w:type="pct"/>
            <w:shd w:val="clear" w:color="auto" w:fill="FFFFFF"/>
            <w:vAlign w:val="center"/>
          </w:tcPr>
          <w:p w14:paraId="79998ED9"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rPr>
              <w:t>4,391</w:t>
            </w:r>
          </w:p>
        </w:tc>
        <w:tc>
          <w:tcPr>
            <w:tcW w:w="1136" w:type="pct"/>
            <w:shd w:val="clear" w:color="auto" w:fill="FFFFFF"/>
            <w:tcMar>
              <w:top w:w="0" w:type="dxa"/>
              <w:left w:w="28" w:type="dxa"/>
              <w:bottom w:w="0" w:type="dxa"/>
              <w:right w:w="28" w:type="dxa"/>
            </w:tcMar>
            <w:vAlign w:val="center"/>
          </w:tcPr>
          <w:p w14:paraId="3C92042C" w14:textId="77777777" w:rsidR="00AE1DA4" w:rsidRDefault="00AF08B9">
            <w:pPr>
              <w:widowControl w:val="0"/>
              <w:kinsoku/>
              <w:autoSpaceDE/>
              <w:autoSpaceDN/>
              <w:adjustRightInd/>
              <w:snapToGrid/>
              <w:jc w:val="right"/>
              <w:textAlignment w:val="center"/>
              <w:rPr>
                <w:rFonts w:ascii="仿宋" w:eastAsia="仿宋" w:hAnsi="仿宋" w:cs="Times New Roman"/>
              </w:rPr>
            </w:pPr>
            <w:r>
              <w:rPr>
                <w:rFonts w:ascii="仿宋" w:eastAsia="仿宋" w:hAnsi="仿宋" w:cs="Times New Roman" w:hint="eastAsia"/>
              </w:rPr>
              <w:t>6,126</w:t>
            </w:r>
          </w:p>
        </w:tc>
      </w:tr>
      <w:tr w:rsidR="00AE1DA4" w14:paraId="15D3D3F8" w14:textId="77777777">
        <w:trPr>
          <w:trHeight w:val="397"/>
          <w:jc w:val="center"/>
        </w:trPr>
        <w:tc>
          <w:tcPr>
            <w:tcW w:w="1672" w:type="pct"/>
            <w:gridSpan w:val="2"/>
            <w:shd w:val="clear" w:color="auto" w:fill="FFFFFF"/>
            <w:tcMar>
              <w:top w:w="0" w:type="dxa"/>
              <w:left w:w="28" w:type="dxa"/>
              <w:bottom w:w="0" w:type="dxa"/>
              <w:right w:w="28" w:type="dxa"/>
            </w:tcMar>
            <w:vAlign w:val="center"/>
          </w:tcPr>
          <w:p w14:paraId="22533348" w14:textId="77777777" w:rsidR="00AE1DA4" w:rsidRDefault="00AF08B9">
            <w:pPr>
              <w:widowControl w:val="0"/>
              <w:kinsoku/>
              <w:autoSpaceDE/>
              <w:autoSpaceDN/>
              <w:adjustRightInd/>
              <w:snapToGrid/>
              <w:jc w:val="center"/>
              <w:textAlignment w:val="auto"/>
              <w:rPr>
                <w:rFonts w:ascii="仿宋" w:eastAsia="仿宋" w:hAnsi="仿宋" w:cs="Times New Roman"/>
                <w:b/>
                <w:bCs/>
                <w:snapToGrid/>
                <w:color w:val="auto"/>
                <w:lang w:eastAsia="zh-CN"/>
              </w:rPr>
            </w:pPr>
            <w:r>
              <w:rPr>
                <w:rFonts w:ascii="仿宋" w:eastAsia="仿宋" w:hAnsi="仿宋" w:cs="Times New Roman"/>
                <w:b/>
                <w:bCs/>
                <w:snapToGrid/>
                <w:color w:val="auto"/>
                <w:lang w:eastAsia="zh-CN"/>
              </w:rPr>
              <w:t>合计</w:t>
            </w:r>
          </w:p>
        </w:tc>
        <w:tc>
          <w:tcPr>
            <w:tcW w:w="966" w:type="pct"/>
            <w:shd w:val="clear" w:color="auto" w:fill="FFFFFF"/>
            <w:tcMar>
              <w:top w:w="0" w:type="dxa"/>
              <w:left w:w="28" w:type="dxa"/>
              <w:bottom w:w="0" w:type="dxa"/>
              <w:right w:w="28" w:type="dxa"/>
            </w:tcMar>
            <w:vAlign w:val="center"/>
          </w:tcPr>
          <w:p w14:paraId="0912BBE4" w14:textId="77777777" w:rsidR="00AE1DA4" w:rsidRDefault="00AF08B9">
            <w:pPr>
              <w:widowControl w:val="0"/>
              <w:kinsoku/>
              <w:autoSpaceDE/>
              <w:autoSpaceDN/>
              <w:adjustRightInd/>
              <w:snapToGrid/>
              <w:jc w:val="center"/>
              <w:textAlignment w:val="auto"/>
              <w:rPr>
                <w:rFonts w:ascii="仿宋" w:eastAsia="仿宋" w:hAnsi="仿宋" w:cs="Times New Roman"/>
                <w:b/>
                <w:bCs/>
                <w:snapToGrid/>
                <w:color w:val="auto"/>
                <w:lang w:eastAsia="zh-CN"/>
              </w:rPr>
            </w:pPr>
            <w:r>
              <w:rPr>
                <w:rFonts w:ascii="仿宋" w:eastAsia="仿宋" w:hAnsi="仿宋" w:cs="Times New Roman"/>
                <w:b/>
                <w:bCs/>
                <w:snapToGrid/>
                <w:color w:val="auto"/>
                <w:lang w:eastAsia="zh-CN"/>
              </w:rPr>
              <w:t>58,236.76</w:t>
            </w:r>
          </w:p>
        </w:tc>
        <w:tc>
          <w:tcPr>
            <w:tcW w:w="1225" w:type="pct"/>
            <w:shd w:val="clear" w:color="auto" w:fill="FFFFFF"/>
            <w:vAlign w:val="center"/>
          </w:tcPr>
          <w:p w14:paraId="3811218A" w14:textId="77777777" w:rsidR="00AE1DA4" w:rsidRDefault="00AF08B9">
            <w:pPr>
              <w:widowControl w:val="0"/>
              <w:kinsoku/>
              <w:autoSpaceDE/>
              <w:autoSpaceDN/>
              <w:adjustRightInd/>
              <w:snapToGrid/>
              <w:jc w:val="right"/>
              <w:textAlignment w:val="auto"/>
              <w:rPr>
                <w:rFonts w:ascii="仿宋" w:eastAsia="仿宋" w:hAnsi="仿宋" w:cs="Times New Roman"/>
                <w:b/>
                <w:bCs/>
                <w:snapToGrid/>
                <w:color w:val="auto"/>
                <w:lang w:eastAsia="zh-CN"/>
              </w:rPr>
            </w:pPr>
            <w:r>
              <w:rPr>
                <w:rFonts w:ascii="仿宋" w:eastAsia="仿宋" w:hAnsi="仿宋" w:cs="Times New Roman"/>
                <w:b/>
                <w:bCs/>
                <w:snapToGrid/>
                <w:color w:val="auto"/>
                <w:lang w:eastAsia="zh-CN"/>
              </w:rPr>
              <w:t>21,762,605</w:t>
            </w:r>
          </w:p>
        </w:tc>
        <w:tc>
          <w:tcPr>
            <w:tcW w:w="1136" w:type="pct"/>
            <w:shd w:val="clear" w:color="auto" w:fill="FFFFFF"/>
            <w:tcMar>
              <w:top w:w="0" w:type="dxa"/>
              <w:left w:w="28" w:type="dxa"/>
              <w:bottom w:w="0" w:type="dxa"/>
              <w:right w:w="28" w:type="dxa"/>
            </w:tcMar>
            <w:vAlign w:val="center"/>
          </w:tcPr>
          <w:p w14:paraId="4B151843" w14:textId="77777777" w:rsidR="00AE1DA4" w:rsidRDefault="00AF08B9">
            <w:pPr>
              <w:widowControl w:val="0"/>
              <w:kinsoku/>
              <w:autoSpaceDE/>
              <w:autoSpaceDN/>
              <w:adjustRightInd/>
              <w:snapToGrid/>
              <w:jc w:val="right"/>
              <w:textAlignment w:val="auto"/>
              <w:rPr>
                <w:rFonts w:ascii="仿宋" w:eastAsia="仿宋" w:hAnsi="仿宋" w:cs="Times New Roman"/>
                <w:b/>
                <w:bCs/>
                <w:snapToGrid/>
                <w:color w:val="auto"/>
                <w:lang w:eastAsia="zh-CN"/>
              </w:rPr>
            </w:pPr>
            <w:r>
              <w:rPr>
                <w:rFonts w:ascii="仿宋" w:eastAsia="仿宋" w:hAnsi="仿宋" w:cs="Times New Roman"/>
                <w:b/>
                <w:bCs/>
                <w:snapToGrid/>
                <w:color w:val="auto"/>
                <w:lang w:eastAsia="zh-CN"/>
              </w:rPr>
              <w:t>30,363,264</w:t>
            </w:r>
          </w:p>
        </w:tc>
      </w:tr>
    </w:tbl>
    <w:p w14:paraId="3CAFE715" w14:textId="77777777" w:rsidR="00AE1DA4" w:rsidRDefault="00AF08B9">
      <w:pPr>
        <w:widowControl w:val="0"/>
        <w:kinsoku/>
        <w:autoSpaceDE/>
        <w:autoSpaceDN/>
        <w:adjustRightInd/>
        <w:snapToGrid/>
        <w:spacing w:line="360" w:lineRule="auto"/>
        <w:ind w:firstLineChars="200" w:firstLine="480"/>
        <w:jc w:val="both"/>
        <w:textAlignment w:val="auto"/>
        <w:rPr>
          <w:rFonts w:ascii="仿宋" w:eastAsia="仿宋" w:hAnsi="仿宋" w:cs="仿宋"/>
          <w:snapToGrid/>
          <w:kern w:val="2"/>
          <w:sz w:val="24"/>
          <w:szCs w:val="24"/>
          <w:lang w:eastAsia="zh-CN"/>
        </w:rPr>
      </w:pPr>
      <w:r>
        <w:rPr>
          <w:rFonts w:ascii="仿宋" w:eastAsia="仿宋" w:hAnsi="仿宋" w:cs="仿宋" w:hint="eastAsia"/>
          <w:snapToGrid/>
          <w:kern w:val="2"/>
          <w:sz w:val="24"/>
          <w:szCs w:val="24"/>
          <w:lang w:eastAsia="zh-CN"/>
        </w:rPr>
        <w:t>注：上表所涉数据如有尾数差异系四舍五入所致。</w:t>
      </w:r>
    </w:p>
    <w:p w14:paraId="7CBD76AC"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因此，本次交易因上市公司实施</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5</w:t>
      </w:r>
      <w:r>
        <w:rPr>
          <w:rFonts w:ascii="仿宋" w:eastAsia="仿宋" w:hAnsi="仿宋" w:cs="仿宋"/>
          <w:snapToGrid/>
          <w:kern w:val="2"/>
          <w:sz w:val="28"/>
          <w:szCs w:val="28"/>
          <w:lang w:eastAsia="zh-CN"/>
        </w:rPr>
        <w:t>年度利润分配调整发行价格后的发行股份购买资产涉及的股份发行数量由</w:t>
      </w:r>
      <w:r>
        <w:rPr>
          <w:rFonts w:ascii="仿宋" w:eastAsia="仿宋" w:hAnsi="仿宋" w:cs="仿宋"/>
          <w:snapToGrid/>
          <w:kern w:val="2"/>
          <w:sz w:val="28"/>
          <w:szCs w:val="28"/>
          <w:lang w:eastAsia="zh-CN"/>
        </w:rPr>
        <w:t>21,762,605</w:t>
      </w:r>
      <w:r>
        <w:rPr>
          <w:rFonts w:ascii="仿宋" w:eastAsia="仿宋" w:hAnsi="仿宋" w:cs="仿宋"/>
          <w:snapToGrid/>
          <w:kern w:val="2"/>
          <w:sz w:val="28"/>
          <w:szCs w:val="28"/>
          <w:lang w:eastAsia="zh-CN"/>
        </w:rPr>
        <w:t>股调整</w:t>
      </w:r>
      <w:r>
        <w:rPr>
          <w:rFonts w:ascii="仿宋" w:eastAsia="仿宋" w:hAnsi="仿宋" w:cs="仿宋"/>
          <w:snapToGrid/>
          <w:kern w:val="2"/>
          <w:sz w:val="28"/>
          <w:szCs w:val="28"/>
          <w:lang w:eastAsia="zh-CN"/>
        </w:rPr>
        <w:lastRenderedPageBreak/>
        <w:t>为</w:t>
      </w:r>
      <w:r>
        <w:rPr>
          <w:rFonts w:ascii="仿宋" w:eastAsia="仿宋" w:hAnsi="仿宋" w:cs="仿宋"/>
          <w:snapToGrid/>
          <w:kern w:val="2"/>
          <w:sz w:val="28"/>
          <w:szCs w:val="28"/>
          <w:lang w:eastAsia="zh-CN"/>
        </w:rPr>
        <w:t>30,363,264</w:t>
      </w:r>
      <w:r>
        <w:rPr>
          <w:rFonts w:ascii="仿宋" w:eastAsia="仿宋" w:hAnsi="仿宋" w:cs="仿宋"/>
          <w:snapToGrid/>
          <w:kern w:val="2"/>
          <w:sz w:val="28"/>
          <w:szCs w:val="28"/>
          <w:lang w:eastAsia="zh-CN"/>
        </w:rPr>
        <w:t>股。</w:t>
      </w:r>
      <w:r>
        <w:rPr>
          <w:rFonts w:ascii="仿宋" w:eastAsia="仿宋" w:hAnsi="仿宋" w:cs="仿宋" w:hint="eastAsia"/>
          <w:snapToGrid/>
          <w:kern w:val="2"/>
          <w:sz w:val="28"/>
          <w:szCs w:val="28"/>
          <w:lang w:eastAsia="zh-CN"/>
        </w:rPr>
        <w:t>最终发行数量以中国证监会同意注册的股票数量为准。</w:t>
      </w:r>
    </w:p>
    <w:p w14:paraId="7EB771B6" w14:textId="77777777" w:rsidR="00AE1DA4" w:rsidRDefault="00AF08B9">
      <w:pPr>
        <w:widowControl w:val="0"/>
        <w:kinsoku/>
        <w:autoSpaceDE/>
        <w:autoSpaceDN/>
        <w:adjustRightInd/>
        <w:snapToGrid/>
        <w:spacing w:line="360" w:lineRule="auto"/>
        <w:ind w:firstLineChars="200" w:firstLine="560"/>
        <w:jc w:val="both"/>
        <w:textAlignment w:val="auto"/>
        <w:outlineLvl w:val="1"/>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（二）发行股份募集配套资金</w:t>
      </w:r>
    </w:p>
    <w:p w14:paraId="653852EE"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1</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发行价格调整情况</w:t>
      </w:r>
    </w:p>
    <w:p w14:paraId="64EE1D83" w14:textId="02BC6658"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根据《广东天亿马信息产业股份有限公司发行股份及支付现金购买资产并募集配套资金暨关联交易报告书》及本次交易相关协议约定，</w:t>
      </w:r>
      <w:r>
        <w:rPr>
          <w:rFonts w:ascii="仿宋" w:eastAsia="仿宋" w:hAnsi="仿宋" w:cs="仿宋" w:hint="eastAsia"/>
          <w:snapToGrid/>
          <w:kern w:val="2"/>
          <w:sz w:val="28"/>
          <w:szCs w:val="28"/>
          <w:lang w:eastAsia="zh-CN"/>
        </w:rPr>
        <w:t>上市公司在本次发行股份募集配套资金的定价基准日至发行日期间如有派息、送股、</w:t>
      </w:r>
      <w:r>
        <w:rPr>
          <w:rFonts w:ascii="仿宋" w:eastAsia="仿宋" w:hAnsi="仿宋" w:cs="仿宋" w:hint="eastAsia"/>
          <w:snapToGrid/>
          <w:kern w:val="2"/>
          <w:sz w:val="28"/>
          <w:szCs w:val="28"/>
          <w:lang w:eastAsia="zh-CN"/>
        </w:rPr>
        <w:t>资本公积金转增股本等除权、除息事项，则按中国证监会及深圳证券交易所的相关规则对本次发行股份购买资产的发行价格进行相应调整，调整规则</w:t>
      </w:r>
      <w:r>
        <w:rPr>
          <w:rFonts w:ascii="仿宋" w:eastAsia="仿宋" w:hAnsi="仿宋" w:cs="仿宋"/>
          <w:snapToGrid/>
          <w:kern w:val="2"/>
          <w:sz w:val="28"/>
          <w:szCs w:val="28"/>
          <w:lang w:eastAsia="zh-CN"/>
        </w:rPr>
        <w:t>与发行股份购买资产部分相同</w:t>
      </w:r>
      <w:r>
        <w:rPr>
          <w:rFonts w:ascii="仿宋" w:eastAsia="仿宋" w:hAnsi="仿宋" w:cs="仿宋" w:hint="eastAsia"/>
          <w:snapToGrid/>
          <w:kern w:val="2"/>
          <w:sz w:val="28"/>
          <w:szCs w:val="28"/>
          <w:lang w:eastAsia="zh-CN"/>
        </w:rPr>
        <w:t>。</w:t>
      </w:r>
    </w:p>
    <w:p w14:paraId="38A3B81C" w14:textId="38FFAEFD"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公司于</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年</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月</w:t>
      </w:r>
      <w:r>
        <w:rPr>
          <w:rFonts w:ascii="仿宋" w:eastAsia="仿宋" w:hAnsi="仿宋" w:cs="仿宋"/>
          <w:snapToGrid/>
          <w:kern w:val="2"/>
          <w:sz w:val="28"/>
          <w:szCs w:val="28"/>
          <w:lang w:eastAsia="zh-CN"/>
        </w:rPr>
        <w:t>1</w:t>
      </w:r>
      <w:r>
        <w:rPr>
          <w:rFonts w:ascii="仿宋" w:eastAsia="仿宋" w:hAnsi="仿宋" w:cs="仿宋" w:hint="eastAsia"/>
          <w:snapToGrid/>
          <w:kern w:val="2"/>
          <w:sz w:val="28"/>
          <w:szCs w:val="28"/>
          <w:lang w:eastAsia="zh-CN"/>
        </w:rPr>
        <w:t>6</w:t>
      </w:r>
      <w:r>
        <w:rPr>
          <w:rFonts w:ascii="仿宋" w:eastAsia="仿宋" w:hAnsi="仿宋" w:cs="仿宋" w:hint="eastAsia"/>
          <w:snapToGrid/>
          <w:kern w:val="2"/>
          <w:sz w:val="28"/>
          <w:szCs w:val="28"/>
          <w:lang w:eastAsia="zh-CN"/>
        </w:rPr>
        <w:t>日完成了</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5</w:t>
      </w:r>
      <w:r>
        <w:rPr>
          <w:rFonts w:ascii="仿宋" w:eastAsia="仿宋" w:hAnsi="仿宋" w:cs="仿宋" w:hint="eastAsia"/>
          <w:snapToGrid/>
          <w:kern w:val="2"/>
          <w:sz w:val="28"/>
          <w:szCs w:val="28"/>
          <w:lang w:eastAsia="zh-CN"/>
        </w:rPr>
        <w:t>年度利润分配方案的实施，以方案实施前的公司</w:t>
      </w:r>
      <w:r>
        <w:rPr>
          <w:rFonts w:ascii="仿宋" w:eastAsia="仿宋" w:hAnsi="仿宋" w:cs="仿宋"/>
          <w:snapToGrid/>
          <w:kern w:val="2"/>
          <w:sz w:val="28"/>
          <w:szCs w:val="28"/>
          <w:lang w:eastAsia="zh-CN"/>
        </w:rPr>
        <w:t>总股本剔除已回购股份</w:t>
      </w:r>
      <w:r>
        <w:rPr>
          <w:rFonts w:ascii="仿宋" w:eastAsia="仿宋" w:hAnsi="仿宋" w:cs="仿宋"/>
          <w:snapToGrid/>
          <w:kern w:val="2"/>
          <w:sz w:val="28"/>
          <w:szCs w:val="28"/>
          <w:lang w:eastAsia="zh-CN"/>
        </w:rPr>
        <w:t>1,224,140</w:t>
      </w:r>
      <w:bookmarkStart w:id="0" w:name="_GoBack"/>
      <w:bookmarkEnd w:id="0"/>
      <w:r>
        <w:rPr>
          <w:rFonts w:ascii="仿宋" w:eastAsia="仿宋" w:hAnsi="仿宋" w:cs="仿宋"/>
          <w:snapToGrid/>
          <w:kern w:val="2"/>
          <w:sz w:val="28"/>
          <w:szCs w:val="28"/>
          <w:lang w:eastAsia="zh-CN"/>
        </w:rPr>
        <w:t>股后的</w:t>
      </w:r>
      <w:r>
        <w:rPr>
          <w:rFonts w:ascii="仿宋" w:eastAsia="仿宋" w:hAnsi="仿宋" w:cs="仿宋"/>
          <w:snapToGrid/>
          <w:kern w:val="2"/>
          <w:sz w:val="28"/>
          <w:szCs w:val="28"/>
          <w:lang w:eastAsia="zh-CN"/>
        </w:rPr>
        <w:t>65,628,660</w:t>
      </w:r>
      <w:r>
        <w:rPr>
          <w:rFonts w:ascii="仿宋" w:eastAsia="仿宋" w:hAnsi="仿宋" w:cs="仿宋"/>
          <w:snapToGrid/>
          <w:kern w:val="2"/>
          <w:sz w:val="28"/>
          <w:szCs w:val="28"/>
          <w:lang w:eastAsia="zh-CN"/>
        </w:rPr>
        <w:t>股为基数</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向全体股东每</w:t>
      </w:r>
      <w:r>
        <w:rPr>
          <w:rFonts w:ascii="仿宋" w:eastAsia="仿宋" w:hAnsi="仿宋" w:cs="仿宋"/>
          <w:snapToGrid/>
          <w:kern w:val="2"/>
          <w:sz w:val="28"/>
          <w:szCs w:val="28"/>
          <w:lang w:eastAsia="zh-CN"/>
        </w:rPr>
        <w:t>10</w:t>
      </w:r>
      <w:r>
        <w:rPr>
          <w:rFonts w:ascii="仿宋" w:eastAsia="仿宋" w:hAnsi="仿宋" w:cs="仿宋"/>
          <w:snapToGrid/>
          <w:kern w:val="2"/>
          <w:sz w:val="28"/>
          <w:szCs w:val="28"/>
          <w:lang w:eastAsia="zh-CN"/>
        </w:rPr>
        <w:t>股派</w:t>
      </w:r>
      <w:r>
        <w:rPr>
          <w:rFonts w:ascii="仿宋" w:eastAsia="仿宋" w:hAnsi="仿宋" w:cs="仿宋"/>
          <w:snapToGrid/>
          <w:kern w:val="2"/>
          <w:sz w:val="28"/>
          <w:szCs w:val="28"/>
          <w:lang w:eastAsia="zh-CN"/>
        </w:rPr>
        <w:t>0.50</w:t>
      </w:r>
      <w:r>
        <w:rPr>
          <w:rFonts w:ascii="仿宋" w:eastAsia="仿宋" w:hAnsi="仿宋" w:cs="仿宋"/>
          <w:snapToGrid/>
          <w:kern w:val="2"/>
          <w:sz w:val="28"/>
          <w:szCs w:val="28"/>
          <w:lang w:eastAsia="zh-CN"/>
        </w:rPr>
        <w:t>元（含税）人民币现金，以资本公积金每</w:t>
      </w:r>
      <w:r>
        <w:rPr>
          <w:rFonts w:ascii="仿宋" w:eastAsia="仿宋" w:hAnsi="仿宋" w:cs="仿宋"/>
          <w:snapToGrid/>
          <w:kern w:val="2"/>
          <w:sz w:val="28"/>
          <w:szCs w:val="28"/>
          <w:lang w:eastAsia="zh-CN"/>
        </w:rPr>
        <w:t>10</w:t>
      </w:r>
      <w:r>
        <w:rPr>
          <w:rFonts w:ascii="仿宋" w:eastAsia="仿宋" w:hAnsi="仿宋" w:cs="仿宋"/>
          <w:snapToGrid/>
          <w:kern w:val="2"/>
          <w:sz w:val="28"/>
          <w:szCs w:val="28"/>
          <w:lang w:eastAsia="zh-CN"/>
        </w:rPr>
        <w:t>股转增</w:t>
      </w:r>
      <w:r>
        <w:rPr>
          <w:rFonts w:ascii="仿宋" w:eastAsia="仿宋" w:hAnsi="仿宋" w:cs="仿宋"/>
          <w:snapToGrid/>
          <w:kern w:val="2"/>
          <w:sz w:val="28"/>
          <w:szCs w:val="28"/>
          <w:lang w:eastAsia="zh-CN"/>
        </w:rPr>
        <w:t>4</w:t>
      </w:r>
      <w:r>
        <w:rPr>
          <w:rFonts w:ascii="仿宋" w:eastAsia="仿宋" w:hAnsi="仿宋" w:cs="仿宋"/>
          <w:snapToGrid/>
          <w:kern w:val="2"/>
          <w:sz w:val="28"/>
          <w:szCs w:val="28"/>
          <w:lang w:eastAsia="zh-CN"/>
        </w:rPr>
        <w:t>股</w:t>
      </w:r>
      <w:r>
        <w:rPr>
          <w:rFonts w:ascii="仿宋" w:eastAsia="仿宋" w:hAnsi="仿宋" w:cs="仿宋" w:hint="eastAsia"/>
          <w:snapToGrid/>
          <w:kern w:val="2"/>
          <w:sz w:val="28"/>
          <w:szCs w:val="28"/>
          <w:lang w:eastAsia="zh-CN"/>
        </w:rPr>
        <w:t>，</w:t>
      </w:r>
      <w:r>
        <w:rPr>
          <w:rFonts w:ascii="仿宋" w:eastAsia="仿宋" w:hAnsi="仿宋" w:cs="仿宋"/>
          <w:snapToGrid/>
          <w:kern w:val="2"/>
          <w:sz w:val="28"/>
          <w:szCs w:val="28"/>
          <w:lang w:eastAsia="zh-CN"/>
        </w:rPr>
        <w:t>本次权益分派按公司总股本</w:t>
      </w:r>
      <w:r>
        <w:rPr>
          <w:rFonts w:ascii="仿宋" w:eastAsia="仿宋" w:hAnsi="仿宋" w:cs="仿宋"/>
          <w:snapToGrid/>
          <w:kern w:val="2"/>
          <w:sz w:val="28"/>
          <w:szCs w:val="28"/>
          <w:lang w:eastAsia="zh-CN"/>
        </w:rPr>
        <w:t>66,852,800.00</w:t>
      </w:r>
      <w:r>
        <w:rPr>
          <w:rFonts w:ascii="仿宋" w:eastAsia="仿宋" w:hAnsi="仿宋" w:cs="仿宋"/>
          <w:snapToGrid/>
          <w:kern w:val="2"/>
          <w:sz w:val="28"/>
          <w:szCs w:val="28"/>
          <w:lang w:eastAsia="zh-CN"/>
        </w:rPr>
        <w:t>股折算的每</w:t>
      </w:r>
      <w:r>
        <w:rPr>
          <w:rFonts w:ascii="仿宋" w:eastAsia="仿宋" w:hAnsi="仿宋" w:cs="仿宋"/>
          <w:snapToGrid/>
          <w:kern w:val="2"/>
          <w:sz w:val="28"/>
          <w:szCs w:val="28"/>
          <w:lang w:eastAsia="zh-CN"/>
        </w:rPr>
        <w:t>10</w:t>
      </w:r>
      <w:r>
        <w:rPr>
          <w:rFonts w:ascii="仿宋" w:eastAsia="仿宋" w:hAnsi="仿宋" w:cs="仿宋"/>
          <w:snapToGrid/>
          <w:kern w:val="2"/>
          <w:sz w:val="28"/>
          <w:szCs w:val="28"/>
          <w:lang w:eastAsia="zh-CN"/>
        </w:rPr>
        <w:t>股现金分红为</w:t>
      </w:r>
      <w:r>
        <w:rPr>
          <w:rFonts w:ascii="仿宋" w:eastAsia="仿宋" w:hAnsi="仿宋" w:cs="仿宋"/>
          <w:snapToGrid/>
          <w:kern w:val="2"/>
          <w:sz w:val="28"/>
          <w:szCs w:val="28"/>
          <w:lang w:eastAsia="zh-CN"/>
        </w:rPr>
        <w:t>0.490845</w:t>
      </w:r>
      <w:r>
        <w:rPr>
          <w:rFonts w:ascii="仿宋" w:eastAsia="仿宋" w:hAnsi="仿宋" w:cs="仿宋"/>
          <w:snapToGrid/>
          <w:kern w:val="2"/>
          <w:sz w:val="28"/>
          <w:szCs w:val="28"/>
          <w:lang w:eastAsia="zh-CN"/>
        </w:rPr>
        <w:t>元，按总股本折算的每</w:t>
      </w:r>
      <w:r>
        <w:rPr>
          <w:rFonts w:ascii="仿宋" w:eastAsia="仿宋" w:hAnsi="仿宋" w:cs="仿宋"/>
          <w:snapToGrid/>
          <w:kern w:val="2"/>
          <w:sz w:val="28"/>
          <w:szCs w:val="28"/>
          <w:lang w:eastAsia="zh-CN"/>
        </w:rPr>
        <w:t>10</w:t>
      </w:r>
      <w:r>
        <w:rPr>
          <w:rFonts w:ascii="仿宋" w:eastAsia="仿宋" w:hAnsi="仿宋" w:cs="仿宋"/>
          <w:snapToGrid/>
          <w:kern w:val="2"/>
          <w:sz w:val="28"/>
          <w:szCs w:val="28"/>
          <w:lang w:eastAsia="zh-CN"/>
        </w:rPr>
        <w:t>股资本公积金转增股本数量为</w:t>
      </w:r>
      <w:r>
        <w:rPr>
          <w:rFonts w:ascii="仿宋" w:eastAsia="仿宋" w:hAnsi="仿宋" w:cs="仿宋"/>
          <w:snapToGrid/>
          <w:kern w:val="2"/>
          <w:sz w:val="28"/>
          <w:szCs w:val="28"/>
          <w:lang w:eastAsia="zh-CN"/>
        </w:rPr>
        <w:t>3.926756</w:t>
      </w:r>
      <w:r>
        <w:rPr>
          <w:rFonts w:ascii="仿宋" w:eastAsia="仿宋" w:hAnsi="仿宋" w:cs="仿宋"/>
          <w:snapToGrid/>
          <w:kern w:val="2"/>
          <w:sz w:val="28"/>
          <w:szCs w:val="28"/>
          <w:lang w:eastAsia="zh-CN"/>
        </w:rPr>
        <w:t>股。本次发行股份</w:t>
      </w:r>
      <w:r>
        <w:rPr>
          <w:rFonts w:ascii="仿宋" w:eastAsia="仿宋" w:hAnsi="仿宋" w:cs="仿宋" w:hint="eastAsia"/>
          <w:snapToGrid/>
          <w:kern w:val="2"/>
          <w:sz w:val="28"/>
          <w:szCs w:val="28"/>
          <w:lang w:eastAsia="zh-CN"/>
        </w:rPr>
        <w:t>募集配套资金</w:t>
      </w:r>
      <w:r>
        <w:rPr>
          <w:rFonts w:ascii="仿宋" w:eastAsia="仿宋" w:hAnsi="仿宋" w:cs="仿宋"/>
          <w:snapToGrid/>
          <w:kern w:val="2"/>
          <w:sz w:val="28"/>
          <w:szCs w:val="28"/>
          <w:lang w:eastAsia="zh-CN"/>
        </w:rPr>
        <w:t>的股份发行价格将由</w:t>
      </w:r>
      <w:r>
        <w:rPr>
          <w:rFonts w:ascii="仿宋" w:eastAsia="仿宋" w:hAnsi="仿宋" w:cs="仿宋"/>
          <w:snapToGrid/>
          <w:kern w:val="2"/>
          <w:sz w:val="28"/>
          <w:szCs w:val="28"/>
          <w:lang w:eastAsia="zh-CN"/>
        </w:rPr>
        <w:t>32.74</w:t>
      </w:r>
      <w:r>
        <w:rPr>
          <w:rFonts w:ascii="仿宋" w:eastAsia="仿宋" w:hAnsi="仿宋" w:cs="仿宋"/>
          <w:snapToGrid/>
          <w:kern w:val="2"/>
          <w:sz w:val="28"/>
          <w:szCs w:val="28"/>
          <w:lang w:eastAsia="zh-CN"/>
        </w:rPr>
        <w:t>元</w:t>
      </w:r>
      <w:r>
        <w:rPr>
          <w:rFonts w:ascii="仿宋" w:eastAsia="仿宋" w:hAnsi="仿宋" w:cs="仿宋"/>
          <w:snapToGrid/>
          <w:kern w:val="2"/>
          <w:sz w:val="28"/>
          <w:szCs w:val="28"/>
          <w:lang w:eastAsia="zh-CN"/>
        </w:rPr>
        <w:t>/</w:t>
      </w:r>
      <w:r>
        <w:rPr>
          <w:rFonts w:ascii="仿宋" w:eastAsia="仿宋" w:hAnsi="仿宋" w:cs="仿宋"/>
          <w:snapToGrid/>
          <w:kern w:val="2"/>
          <w:sz w:val="28"/>
          <w:szCs w:val="28"/>
          <w:lang w:eastAsia="zh-CN"/>
        </w:rPr>
        <w:t>股调整为</w:t>
      </w:r>
      <w:r>
        <w:rPr>
          <w:rFonts w:ascii="仿宋" w:eastAsia="仿宋" w:hAnsi="仿宋" w:cs="仿宋"/>
          <w:snapToGrid/>
          <w:kern w:val="2"/>
          <w:sz w:val="28"/>
          <w:szCs w:val="28"/>
          <w:lang w:eastAsia="zh-CN"/>
        </w:rPr>
        <w:t>23.48</w:t>
      </w:r>
      <w:r>
        <w:rPr>
          <w:rFonts w:ascii="仿宋" w:eastAsia="仿宋" w:hAnsi="仿宋" w:cs="仿宋"/>
          <w:snapToGrid/>
          <w:kern w:val="2"/>
          <w:sz w:val="28"/>
          <w:szCs w:val="28"/>
          <w:lang w:eastAsia="zh-CN"/>
        </w:rPr>
        <w:t>元</w:t>
      </w:r>
      <w:r>
        <w:rPr>
          <w:rFonts w:ascii="仿宋" w:eastAsia="仿宋" w:hAnsi="仿宋" w:cs="仿宋"/>
          <w:snapToGrid/>
          <w:kern w:val="2"/>
          <w:sz w:val="28"/>
          <w:szCs w:val="28"/>
          <w:lang w:eastAsia="zh-CN"/>
        </w:rPr>
        <w:t>/</w:t>
      </w:r>
      <w:r>
        <w:rPr>
          <w:rFonts w:ascii="仿宋" w:eastAsia="仿宋" w:hAnsi="仿宋" w:cs="仿宋"/>
          <w:snapToGrid/>
          <w:kern w:val="2"/>
          <w:sz w:val="28"/>
          <w:szCs w:val="28"/>
          <w:lang w:eastAsia="zh-CN"/>
        </w:rPr>
        <w:t>股</w:t>
      </w:r>
      <w:r>
        <w:rPr>
          <w:rFonts w:ascii="仿宋" w:eastAsia="仿宋" w:hAnsi="仿宋" w:cs="仿宋" w:hint="eastAsia"/>
          <w:snapToGrid/>
          <w:kern w:val="2"/>
          <w:sz w:val="28"/>
          <w:szCs w:val="28"/>
          <w:lang w:eastAsia="zh-CN"/>
        </w:rPr>
        <w:t>。</w:t>
      </w:r>
    </w:p>
    <w:p w14:paraId="12BD02B6"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2.</w:t>
      </w:r>
      <w:r>
        <w:rPr>
          <w:rFonts w:ascii="仿宋" w:eastAsia="仿宋" w:hAnsi="仿宋" w:cs="仿宋" w:hint="eastAsia"/>
          <w:snapToGrid/>
          <w:kern w:val="2"/>
          <w:sz w:val="28"/>
          <w:szCs w:val="28"/>
          <w:lang w:eastAsia="zh-CN"/>
        </w:rPr>
        <w:t>发行数量调整情况</w:t>
      </w:r>
    </w:p>
    <w:p w14:paraId="17C8C5D9"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发行价格调整后，本次募集配套资金涉及的发行股份数量具体情况如下：</w:t>
      </w:r>
    </w:p>
    <w:tbl>
      <w:tblPr>
        <w:tblW w:w="5000" w:type="pct"/>
        <w:jc w:val="center"/>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249"/>
        <w:gridCol w:w="1801"/>
        <w:gridCol w:w="2283"/>
        <w:gridCol w:w="2115"/>
      </w:tblGrid>
      <w:tr w:rsidR="00AE1DA4" w14:paraId="0A7CB9B4" w14:textId="77777777">
        <w:trPr>
          <w:trHeight w:val="897"/>
          <w:tblHeader/>
          <w:jc w:val="center"/>
        </w:trPr>
        <w:tc>
          <w:tcPr>
            <w:tcW w:w="1331" w:type="pct"/>
            <w:shd w:val="clear" w:color="auto" w:fill="FFFFFF"/>
            <w:tcMar>
              <w:top w:w="0" w:type="dxa"/>
              <w:left w:w="28" w:type="dxa"/>
              <w:bottom w:w="0" w:type="dxa"/>
              <w:right w:w="28" w:type="dxa"/>
            </w:tcMar>
            <w:vAlign w:val="center"/>
          </w:tcPr>
          <w:p w14:paraId="21F51B78" w14:textId="77777777" w:rsidR="00AE1DA4" w:rsidRDefault="00AF08B9">
            <w:pPr>
              <w:keepNext/>
              <w:widowControl w:val="0"/>
              <w:kinsoku/>
              <w:autoSpaceDE/>
              <w:autoSpaceDN/>
              <w:adjustRightInd/>
              <w:snapToGrid/>
              <w:jc w:val="center"/>
              <w:textAlignment w:val="auto"/>
              <w:rPr>
                <w:rFonts w:ascii="仿宋" w:eastAsia="仿宋" w:hAnsi="仿宋" w:cs="Times New Roman"/>
                <w:b/>
                <w:bCs/>
                <w:snapToGrid/>
                <w:color w:val="auto"/>
                <w:lang w:eastAsia="zh-CN"/>
              </w:rPr>
            </w:pPr>
            <w:r>
              <w:rPr>
                <w:rFonts w:ascii="仿宋" w:eastAsia="仿宋" w:hAnsi="仿宋" w:cs="Times New Roman" w:hint="eastAsia"/>
                <w:b/>
                <w:bCs/>
                <w:snapToGrid/>
                <w:color w:val="auto"/>
                <w:lang w:eastAsia="zh-CN"/>
              </w:rPr>
              <w:t>募集配套资金认购方</w:t>
            </w:r>
          </w:p>
        </w:tc>
        <w:tc>
          <w:tcPr>
            <w:tcW w:w="1066" w:type="pct"/>
            <w:shd w:val="clear" w:color="auto" w:fill="FFFFFF"/>
            <w:tcMar>
              <w:top w:w="0" w:type="dxa"/>
              <w:left w:w="28" w:type="dxa"/>
              <w:bottom w:w="0" w:type="dxa"/>
              <w:right w:w="28" w:type="dxa"/>
            </w:tcMar>
            <w:vAlign w:val="center"/>
          </w:tcPr>
          <w:p w14:paraId="32204C31" w14:textId="77777777" w:rsidR="00AE1DA4" w:rsidRDefault="00AF08B9">
            <w:pPr>
              <w:keepNext/>
              <w:widowControl w:val="0"/>
              <w:kinsoku/>
              <w:autoSpaceDE/>
              <w:autoSpaceDN/>
              <w:adjustRightInd/>
              <w:snapToGrid/>
              <w:jc w:val="center"/>
              <w:textAlignment w:val="auto"/>
              <w:rPr>
                <w:rFonts w:ascii="仿宋" w:eastAsia="仿宋" w:hAnsi="仿宋" w:cs="Times New Roman"/>
                <w:b/>
                <w:bCs/>
                <w:snapToGrid/>
                <w:color w:val="auto"/>
                <w:lang w:eastAsia="zh-CN"/>
              </w:rPr>
            </w:pPr>
            <w:r>
              <w:rPr>
                <w:rFonts w:ascii="仿宋" w:eastAsia="仿宋" w:hAnsi="仿宋" w:cs="Times New Roman" w:hint="eastAsia"/>
                <w:b/>
                <w:bCs/>
                <w:snapToGrid/>
                <w:color w:val="auto"/>
                <w:lang w:eastAsia="zh-CN"/>
              </w:rPr>
              <w:t>募集配套资金金额</w:t>
            </w:r>
          </w:p>
        </w:tc>
        <w:tc>
          <w:tcPr>
            <w:tcW w:w="1351" w:type="pct"/>
            <w:shd w:val="clear" w:color="auto" w:fill="FFFFFF"/>
            <w:vAlign w:val="center"/>
          </w:tcPr>
          <w:p w14:paraId="64252FF0" w14:textId="77777777" w:rsidR="00AE1DA4" w:rsidRDefault="00AF08B9">
            <w:pPr>
              <w:keepNext/>
              <w:widowControl w:val="0"/>
              <w:kinsoku/>
              <w:autoSpaceDE/>
              <w:autoSpaceDN/>
              <w:adjustRightInd/>
              <w:snapToGrid/>
              <w:jc w:val="center"/>
              <w:textAlignment w:val="auto"/>
              <w:rPr>
                <w:rFonts w:ascii="仿宋" w:eastAsia="仿宋" w:hAnsi="仿宋" w:cs="Times New Roman"/>
                <w:b/>
                <w:bCs/>
                <w:snapToGrid/>
                <w:color w:val="auto"/>
                <w:lang w:eastAsia="zh-CN"/>
              </w:rPr>
            </w:pPr>
            <w:r>
              <w:rPr>
                <w:rFonts w:ascii="仿宋" w:eastAsia="仿宋" w:hAnsi="仿宋" w:cs="Times New Roman"/>
                <w:b/>
                <w:bCs/>
                <w:snapToGrid/>
                <w:color w:val="auto"/>
                <w:lang w:eastAsia="zh-CN"/>
              </w:rPr>
              <w:t>发行价格调整前发行股份数量</w:t>
            </w:r>
          </w:p>
        </w:tc>
        <w:tc>
          <w:tcPr>
            <w:tcW w:w="1252" w:type="pct"/>
            <w:shd w:val="clear" w:color="auto" w:fill="FFFFFF"/>
            <w:tcMar>
              <w:top w:w="0" w:type="dxa"/>
              <w:left w:w="28" w:type="dxa"/>
              <w:bottom w:w="0" w:type="dxa"/>
              <w:right w:w="28" w:type="dxa"/>
            </w:tcMar>
            <w:vAlign w:val="center"/>
          </w:tcPr>
          <w:p w14:paraId="6B51E818" w14:textId="77777777" w:rsidR="00AE1DA4" w:rsidRDefault="00AF08B9">
            <w:pPr>
              <w:keepNext/>
              <w:widowControl w:val="0"/>
              <w:kinsoku/>
              <w:autoSpaceDE/>
              <w:autoSpaceDN/>
              <w:adjustRightInd/>
              <w:snapToGrid/>
              <w:jc w:val="center"/>
              <w:textAlignment w:val="auto"/>
              <w:rPr>
                <w:rFonts w:ascii="仿宋" w:eastAsia="仿宋" w:hAnsi="仿宋" w:cs="Times New Roman"/>
                <w:b/>
                <w:bCs/>
                <w:snapToGrid/>
                <w:color w:val="auto"/>
                <w:lang w:eastAsia="zh-CN"/>
              </w:rPr>
            </w:pPr>
            <w:r>
              <w:rPr>
                <w:rFonts w:ascii="仿宋" w:eastAsia="仿宋" w:hAnsi="仿宋" w:cs="Times New Roman"/>
                <w:b/>
                <w:bCs/>
                <w:snapToGrid/>
                <w:color w:val="auto"/>
                <w:lang w:eastAsia="zh-CN"/>
              </w:rPr>
              <w:t>发行价格调整后发行股份数量（股）</w:t>
            </w:r>
          </w:p>
        </w:tc>
      </w:tr>
      <w:tr w:rsidR="00AE1DA4" w14:paraId="0847E790" w14:textId="77777777">
        <w:trPr>
          <w:trHeight w:val="397"/>
          <w:jc w:val="center"/>
        </w:trPr>
        <w:tc>
          <w:tcPr>
            <w:tcW w:w="1331" w:type="pct"/>
            <w:shd w:val="clear" w:color="auto" w:fill="FFFFFF"/>
            <w:tcMar>
              <w:top w:w="0" w:type="dxa"/>
              <w:left w:w="28" w:type="dxa"/>
              <w:bottom w:w="0" w:type="dxa"/>
              <w:right w:w="28" w:type="dxa"/>
            </w:tcMar>
            <w:vAlign w:val="center"/>
          </w:tcPr>
          <w:p w14:paraId="26C668CF" w14:textId="77777777" w:rsidR="00AE1DA4" w:rsidRDefault="00AF08B9">
            <w:pPr>
              <w:widowControl w:val="0"/>
              <w:kinsoku/>
              <w:autoSpaceDE/>
              <w:autoSpaceDN/>
              <w:adjustRightInd/>
              <w:snapToGrid/>
              <w:jc w:val="center"/>
              <w:textAlignment w:val="center"/>
              <w:rPr>
                <w:rFonts w:ascii="仿宋" w:eastAsia="仿宋" w:hAnsi="仿宋" w:cs="Times New Roman"/>
                <w:snapToGrid/>
                <w:color w:val="auto"/>
                <w:lang w:eastAsia="zh-CN"/>
              </w:rPr>
            </w:pPr>
            <w:r>
              <w:rPr>
                <w:rFonts w:ascii="仿宋" w:eastAsia="仿宋" w:hAnsi="仿宋" w:cs="Times New Roman" w:hint="eastAsia"/>
                <w:snapToGrid/>
                <w:lang w:eastAsia="zh-CN" w:bidi="ar"/>
              </w:rPr>
              <w:t>马学沛</w:t>
            </w:r>
          </w:p>
        </w:tc>
        <w:tc>
          <w:tcPr>
            <w:tcW w:w="1066" w:type="pct"/>
            <w:shd w:val="clear" w:color="auto" w:fill="FFFFFF"/>
            <w:tcMar>
              <w:top w:w="0" w:type="dxa"/>
              <w:left w:w="28" w:type="dxa"/>
              <w:bottom w:w="0" w:type="dxa"/>
              <w:right w:w="28" w:type="dxa"/>
            </w:tcMar>
            <w:vAlign w:val="center"/>
          </w:tcPr>
          <w:p w14:paraId="258A4B49" w14:textId="77777777" w:rsidR="00AE1DA4" w:rsidRDefault="00AF08B9">
            <w:pPr>
              <w:widowControl w:val="0"/>
              <w:kinsoku/>
              <w:autoSpaceDE/>
              <w:autoSpaceDN/>
              <w:adjustRightInd/>
              <w:snapToGrid/>
              <w:jc w:val="center"/>
              <w:textAlignment w:val="auto"/>
              <w:rPr>
                <w:rFonts w:ascii="仿宋" w:eastAsia="仿宋" w:hAnsi="仿宋" w:cs="Times New Roman"/>
                <w:snapToGrid/>
                <w:color w:val="auto"/>
                <w:lang w:eastAsia="zh-CN"/>
              </w:rPr>
            </w:pPr>
            <w:r>
              <w:rPr>
                <w:rFonts w:ascii="仿宋" w:eastAsia="仿宋" w:hAnsi="仿宋" w:cs="Times New Roman" w:hint="eastAsia"/>
                <w:snapToGrid/>
                <w:kern w:val="2"/>
                <w:lang w:eastAsia="zh-CN"/>
              </w:rPr>
              <w:t>不超过</w:t>
            </w:r>
            <w:r>
              <w:rPr>
                <w:rFonts w:ascii="仿宋" w:eastAsia="仿宋" w:hAnsi="仿宋" w:cs="Times New Roman" w:hint="eastAsia"/>
                <w:snapToGrid/>
                <w:kern w:val="2"/>
                <w:lang w:eastAsia="zh-CN"/>
              </w:rPr>
              <w:t>1.55</w:t>
            </w:r>
            <w:r>
              <w:rPr>
                <w:rFonts w:ascii="仿宋" w:eastAsia="仿宋" w:hAnsi="仿宋" w:cs="Times New Roman" w:hint="eastAsia"/>
                <w:snapToGrid/>
                <w:kern w:val="2"/>
                <w:lang w:eastAsia="zh-CN"/>
              </w:rPr>
              <w:t>亿元</w:t>
            </w:r>
          </w:p>
        </w:tc>
        <w:tc>
          <w:tcPr>
            <w:tcW w:w="1351" w:type="pct"/>
            <w:shd w:val="clear" w:color="auto" w:fill="FFFFFF"/>
            <w:vAlign w:val="center"/>
          </w:tcPr>
          <w:p w14:paraId="0CC08C50" w14:textId="77777777" w:rsidR="00AE1DA4" w:rsidRDefault="00AF08B9">
            <w:pPr>
              <w:widowControl w:val="0"/>
              <w:kinsoku/>
              <w:autoSpaceDE/>
              <w:autoSpaceDN/>
              <w:adjustRightInd/>
              <w:snapToGrid/>
              <w:jc w:val="right"/>
              <w:textAlignment w:val="center"/>
              <w:rPr>
                <w:rFonts w:ascii="仿宋" w:eastAsia="仿宋" w:hAnsi="仿宋" w:cs="Times New Roman"/>
                <w:snapToGrid/>
                <w:kern w:val="2"/>
                <w:lang w:eastAsia="zh-CN"/>
              </w:rPr>
            </w:pPr>
            <w:r>
              <w:rPr>
                <w:rFonts w:ascii="仿宋" w:eastAsia="仿宋" w:hAnsi="仿宋" w:cs="Times New Roman" w:hint="eastAsia"/>
                <w:snapToGrid/>
                <w:kern w:val="2"/>
                <w:lang w:eastAsia="zh-CN"/>
              </w:rPr>
              <w:t>不超过</w:t>
            </w:r>
            <w:r>
              <w:rPr>
                <w:rFonts w:ascii="仿宋" w:eastAsia="仿宋" w:hAnsi="仿宋" w:cs="Times New Roman"/>
                <w:snapToGrid/>
                <w:kern w:val="2"/>
                <w:lang w:eastAsia="zh-CN"/>
              </w:rPr>
              <w:t>4,734,270</w:t>
            </w:r>
            <w:r>
              <w:rPr>
                <w:rFonts w:ascii="仿宋" w:eastAsia="仿宋" w:hAnsi="仿宋" w:cs="Times New Roman" w:hint="eastAsia"/>
                <w:snapToGrid/>
                <w:kern w:val="2"/>
                <w:lang w:eastAsia="zh-CN"/>
              </w:rPr>
              <w:t>股</w:t>
            </w:r>
          </w:p>
        </w:tc>
        <w:tc>
          <w:tcPr>
            <w:tcW w:w="1252" w:type="pct"/>
            <w:shd w:val="clear" w:color="auto" w:fill="FFFFFF"/>
            <w:tcMar>
              <w:top w:w="0" w:type="dxa"/>
              <w:left w:w="28" w:type="dxa"/>
              <w:bottom w:w="0" w:type="dxa"/>
              <w:right w:w="28" w:type="dxa"/>
            </w:tcMar>
            <w:vAlign w:val="center"/>
          </w:tcPr>
          <w:p w14:paraId="4919876D" w14:textId="77777777" w:rsidR="00AE1DA4" w:rsidRDefault="00AF08B9">
            <w:pPr>
              <w:widowControl w:val="0"/>
              <w:kinsoku/>
              <w:autoSpaceDE/>
              <w:autoSpaceDN/>
              <w:adjustRightInd/>
              <w:snapToGrid/>
              <w:jc w:val="right"/>
              <w:textAlignment w:val="center"/>
              <w:rPr>
                <w:rFonts w:ascii="仿宋" w:eastAsia="仿宋" w:hAnsi="仿宋" w:cs="Times New Roman"/>
                <w:snapToGrid/>
                <w:color w:val="auto"/>
                <w:lang w:eastAsia="zh-CN"/>
              </w:rPr>
            </w:pPr>
            <w:r>
              <w:rPr>
                <w:rFonts w:ascii="仿宋" w:eastAsia="仿宋" w:hAnsi="仿宋" w:cs="Times New Roman" w:hint="eastAsia"/>
                <w:snapToGrid/>
                <w:kern w:val="2"/>
                <w:lang w:eastAsia="zh-CN"/>
              </w:rPr>
              <w:t>不超过</w:t>
            </w:r>
            <w:r>
              <w:rPr>
                <w:rFonts w:ascii="仿宋" w:eastAsia="仿宋" w:hAnsi="仿宋" w:cs="Times New Roman"/>
              </w:rPr>
              <w:t>6,601,362</w:t>
            </w:r>
            <w:r>
              <w:rPr>
                <w:rFonts w:ascii="仿宋" w:eastAsia="仿宋" w:hAnsi="仿宋" w:cs="Times New Roman" w:hint="eastAsia"/>
                <w:snapToGrid/>
                <w:kern w:val="2"/>
                <w:lang w:eastAsia="zh-CN"/>
              </w:rPr>
              <w:t>股</w:t>
            </w:r>
          </w:p>
        </w:tc>
      </w:tr>
      <w:tr w:rsidR="00AE1DA4" w14:paraId="40EA0C41" w14:textId="77777777">
        <w:trPr>
          <w:trHeight w:val="397"/>
          <w:jc w:val="center"/>
        </w:trPr>
        <w:tc>
          <w:tcPr>
            <w:tcW w:w="1331" w:type="pct"/>
            <w:shd w:val="clear" w:color="auto" w:fill="FFFFFF"/>
            <w:tcMar>
              <w:top w:w="0" w:type="dxa"/>
              <w:left w:w="28" w:type="dxa"/>
              <w:bottom w:w="0" w:type="dxa"/>
              <w:right w:w="28" w:type="dxa"/>
            </w:tcMar>
            <w:vAlign w:val="center"/>
          </w:tcPr>
          <w:p w14:paraId="242280BB" w14:textId="77777777" w:rsidR="00AE1DA4" w:rsidRDefault="00AF08B9">
            <w:pPr>
              <w:widowControl w:val="0"/>
              <w:kinsoku/>
              <w:autoSpaceDE/>
              <w:autoSpaceDN/>
              <w:adjustRightInd/>
              <w:snapToGrid/>
              <w:jc w:val="center"/>
              <w:textAlignment w:val="center"/>
              <w:rPr>
                <w:rFonts w:ascii="仿宋" w:eastAsia="仿宋" w:hAnsi="仿宋" w:cs="Times New Roman"/>
                <w:b/>
                <w:bCs/>
                <w:snapToGrid/>
                <w:lang w:eastAsia="zh-CN" w:bidi="ar"/>
              </w:rPr>
            </w:pPr>
            <w:r>
              <w:rPr>
                <w:rFonts w:ascii="仿宋" w:eastAsia="仿宋" w:hAnsi="仿宋" w:cs="Times New Roman" w:hint="eastAsia"/>
                <w:b/>
                <w:bCs/>
                <w:snapToGrid/>
                <w:lang w:eastAsia="zh-CN" w:bidi="ar"/>
              </w:rPr>
              <w:t>合计</w:t>
            </w:r>
          </w:p>
        </w:tc>
        <w:tc>
          <w:tcPr>
            <w:tcW w:w="1066" w:type="pct"/>
            <w:shd w:val="clear" w:color="auto" w:fill="FFFFFF"/>
            <w:tcMar>
              <w:top w:w="0" w:type="dxa"/>
              <w:left w:w="28" w:type="dxa"/>
              <w:bottom w:w="0" w:type="dxa"/>
              <w:right w:w="28" w:type="dxa"/>
            </w:tcMar>
            <w:vAlign w:val="center"/>
          </w:tcPr>
          <w:p w14:paraId="1B0B8F19" w14:textId="77777777" w:rsidR="00AE1DA4" w:rsidRDefault="00AF08B9">
            <w:pPr>
              <w:widowControl w:val="0"/>
              <w:kinsoku/>
              <w:autoSpaceDE/>
              <w:autoSpaceDN/>
              <w:adjustRightInd/>
              <w:snapToGrid/>
              <w:jc w:val="center"/>
              <w:textAlignment w:val="auto"/>
              <w:rPr>
                <w:rFonts w:ascii="仿宋" w:eastAsia="仿宋" w:hAnsi="仿宋" w:cs="Times New Roman"/>
                <w:b/>
                <w:bCs/>
                <w:snapToGrid/>
                <w:kern w:val="2"/>
                <w:lang w:eastAsia="zh-CN"/>
              </w:rPr>
            </w:pPr>
            <w:r>
              <w:rPr>
                <w:rFonts w:ascii="仿宋" w:eastAsia="仿宋" w:hAnsi="仿宋" w:cs="Times New Roman" w:hint="eastAsia"/>
                <w:b/>
                <w:bCs/>
                <w:snapToGrid/>
                <w:kern w:val="2"/>
                <w:lang w:eastAsia="zh-CN"/>
              </w:rPr>
              <w:t>不超过</w:t>
            </w:r>
            <w:r>
              <w:rPr>
                <w:rFonts w:ascii="仿宋" w:eastAsia="仿宋" w:hAnsi="仿宋" w:cs="Times New Roman" w:hint="eastAsia"/>
                <w:b/>
                <w:bCs/>
                <w:snapToGrid/>
                <w:kern w:val="2"/>
                <w:lang w:eastAsia="zh-CN"/>
              </w:rPr>
              <w:t>1.55</w:t>
            </w:r>
            <w:r>
              <w:rPr>
                <w:rFonts w:ascii="仿宋" w:eastAsia="仿宋" w:hAnsi="仿宋" w:cs="Times New Roman" w:hint="eastAsia"/>
                <w:b/>
                <w:bCs/>
                <w:snapToGrid/>
                <w:kern w:val="2"/>
                <w:lang w:eastAsia="zh-CN"/>
              </w:rPr>
              <w:t>亿元</w:t>
            </w:r>
          </w:p>
        </w:tc>
        <w:tc>
          <w:tcPr>
            <w:tcW w:w="1351" w:type="pct"/>
            <w:shd w:val="clear" w:color="auto" w:fill="FFFFFF"/>
            <w:vAlign w:val="center"/>
          </w:tcPr>
          <w:p w14:paraId="1DCEE71C" w14:textId="77777777" w:rsidR="00AE1DA4" w:rsidRDefault="00AF08B9">
            <w:pPr>
              <w:widowControl w:val="0"/>
              <w:kinsoku/>
              <w:autoSpaceDE/>
              <w:autoSpaceDN/>
              <w:adjustRightInd/>
              <w:snapToGrid/>
              <w:jc w:val="right"/>
              <w:textAlignment w:val="center"/>
              <w:rPr>
                <w:rFonts w:ascii="仿宋" w:eastAsia="仿宋" w:hAnsi="仿宋" w:cs="Times New Roman"/>
                <w:b/>
                <w:bCs/>
              </w:rPr>
            </w:pPr>
            <w:r>
              <w:rPr>
                <w:rFonts w:ascii="仿宋" w:eastAsia="仿宋" w:hAnsi="仿宋" w:cs="Times New Roman"/>
                <w:b/>
                <w:bCs/>
                <w:snapToGrid/>
                <w:kern w:val="2"/>
                <w:lang w:eastAsia="zh-CN"/>
              </w:rPr>
              <w:t>不超过</w:t>
            </w:r>
            <w:r>
              <w:rPr>
                <w:rFonts w:ascii="仿宋" w:eastAsia="仿宋" w:hAnsi="仿宋" w:cs="Times New Roman"/>
                <w:b/>
                <w:bCs/>
                <w:snapToGrid/>
                <w:kern w:val="2"/>
                <w:lang w:eastAsia="zh-CN"/>
              </w:rPr>
              <w:t>4,734,270</w:t>
            </w:r>
            <w:r>
              <w:rPr>
                <w:rFonts w:ascii="仿宋" w:eastAsia="仿宋" w:hAnsi="仿宋" w:cs="Times New Roman"/>
                <w:b/>
                <w:bCs/>
                <w:snapToGrid/>
                <w:kern w:val="2"/>
                <w:lang w:eastAsia="zh-CN"/>
              </w:rPr>
              <w:t>股</w:t>
            </w:r>
          </w:p>
        </w:tc>
        <w:tc>
          <w:tcPr>
            <w:tcW w:w="1252" w:type="pct"/>
            <w:shd w:val="clear" w:color="auto" w:fill="FFFFFF"/>
            <w:tcMar>
              <w:top w:w="0" w:type="dxa"/>
              <w:left w:w="28" w:type="dxa"/>
              <w:bottom w:w="0" w:type="dxa"/>
              <w:right w:w="28" w:type="dxa"/>
            </w:tcMar>
            <w:vAlign w:val="center"/>
          </w:tcPr>
          <w:p w14:paraId="491A2FB8" w14:textId="77777777" w:rsidR="00AE1DA4" w:rsidRDefault="00AF08B9">
            <w:pPr>
              <w:widowControl w:val="0"/>
              <w:kinsoku/>
              <w:autoSpaceDE/>
              <w:autoSpaceDN/>
              <w:adjustRightInd/>
              <w:snapToGrid/>
              <w:jc w:val="right"/>
              <w:textAlignment w:val="center"/>
              <w:rPr>
                <w:rFonts w:ascii="仿宋" w:eastAsia="仿宋" w:hAnsi="仿宋" w:cs="Times New Roman"/>
                <w:b/>
                <w:bCs/>
              </w:rPr>
            </w:pPr>
            <w:r>
              <w:rPr>
                <w:rFonts w:ascii="仿宋" w:eastAsia="仿宋" w:hAnsi="仿宋" w:cs="Times New Roman"/>
                <w:b/>
                <w:bCs/>
              </w:rPr>
              <w:t>不超过</w:t>
            </w:r>
            <w:r>
              <w:rPr>
                <w:rFonts w:ascii="仿宋" w:eastAsia="仿宋" w:hAnsi="仿宋" w:cs="Times New Roman"/>
                <w:b/>
                <w:bCs/>
              </w:rPr>
              <w:t>6,601,362</w:t>
            </w:r>
            <w:r>
              <w:rPr>
                <w:rFonts w:ascii="仿宋" w:eastAsia="仿宋" w:hAnsi="仿宋" w:cs="Times New Roman"/>
                <w:b/>
                <w:bCs/>
              </w:rPr>
              <w:t>股</w:t>
            </w:r>
          </w:p>
        </w:tc>
      </w:tr>
    </w:tbl>
    <w:p w14:paraId="20C5C5DD"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因此，本次交易因上市公司实施</w:t>
      </w:r>
      <w:r>
        <w:rPr>
          <w:rFonts w:ascii="仿宋" w:eastAsia="仿宋" w:hAnsi="仿宋" w:cs="仿宋"/>
          <w:snapToGrid/>
          <w:kern w:val="2"/>
          <w:sz w:val="28"/>
          <w:szCs w:val="28"/>
          <w:lang w:eastAsia="zh-CN"/>
        </w:rPr>
        <w:t>202</w:t>
      </w:r>
      <w:r>
        <w:rPr>
          <w:rFonts w:ascii="仿宋" w:eastAsia="仿宋" w:hAnsi="仿宋" w:cs="仿宋" w:hint="eastAsia"/>
          <w:snapToGrid/>
          <w:kern w:val="2"/>
          <w:sz w:val="28"/>
          <w:szCs w:val="28"/>
          <w:lang w:eastAsia="zh-CN"/>
        </w:rPr>
        <w:t>5</w:t>
      </w:r>
      <w:r>
        <w:rPr>
          <w:rFonts w:ascii="仿宋" w:eastAsia="仿宋" w:hAnsi="仿宋" w:cs="仿宋"/>
          <w:snapToGrid/>
          <w:kern w:val="2"/>
          <w:sz w:val="28"/>
          <w:szCs w:val="28"/>
          <w:lang w:eastAsia="zh-CN"/>
        </w:rPr>
        <w:t>年度利润分配调整发行价格后的发行股份</w:t>
      </w:r>
      <w:r>
        <w:rPr>
          <w:rFonts w:ascii="仿宋" w:eastAsia="仿宋" w:hAnsi="仿宋" w:cs="仿宋" w:hint="eastAsia"/>
          <w:snapToGrid/>
          <w:kern w:val="2"/>
          <w:sz w:val="28"/>
          <w:szCs w:val="28"/>
          <w:lang w:eastAsia="zh-CN"/>
        </w:rPr>
        <w:t>募集配套资金的</w:t>
      </w:r>
      <w:r>
        <w:rPr>
          <w:rFonts w:ascii="仿宋" w:eastAsia="仿宋" w:hAnsi="仿宋" w:cs="仿宋"/>
          <w:snapToGrid/>
          <w:kern w:val="2"/>
          <w:sz w:val="28"/>
          <w:szCs w:val="28"/>
          <w:lang w:eastAsia="zh-CN"/>
        </w:rPr>
        <w:t>发行数量由</w:t>
      </w:r>
      <w:r>
        <w:rPr>
          <w:rFonts w:ascii="仿宋" w:eastAsia="仿宋" w:hAnsi="仿宋" w:cs="仿宋" w:hint="eastAsia"/>
          <w:snapToGrid/>
          <w:kern w:val="2"/>
          <w:sz w:val="28"/>
          <w:szCs w:val="28"/>
          <w:lang w:eastAsia="zh-CN"/>
        </w:rPr>
        <w:t>不超过</w:t>
      </w:r>
      <w:r>
        <w:rPr>
          <w:rFonts w:ascii="仿宋" w:eastAsia="仿宋" w:hAnsi="仿宋" w:cs="仿宋"/>
          <w:snapToGrid/>
          <w:kern w:val="2"/>
          <w:sz w:val="28"/>
          <w:szCs w:val="28"/>
          <w:lang w:eastAsia="zh-CN"/>
        </w:rPr>
        <w:t>4,734,270</w:t>
      </w:r>
      <w:r>
        <w:rPr>
          <w:rFonts w:ascii="仿宋" w:eastAsia="仿宋" w:hAnsi="仿宋" w:cs="仿宋"/>
          <w:snapToGrid/>
          <w:kern w:val="2"/>
          <w:sz w:val="28"/>
          <w:szCs w:val="28"/>
          <w:lang w:eastAsia="zh-CN"/>
        </w:rPr>
        <w:t>股调整</w:t>
      </w:r>
      <w:r>
        <w:rPr>
          <w:rFonts w:ascii="仿宋" w:eastAsia="仿宋" w:hAnsi="仿宋" w:cs="仿宋"/>
          <w:snapToGrid/>
          <w:kern w:val="2"/>
          <w:sz w:val="28"/>
          <w:szCs w:val="28"/>
          <w:lang w:eastAsia="zh-CN"/>
        </w:rPr>
        <w:lastRenderedPageBreak/>
        <w:t>为不超过</w:t>
      </w:r>
      <w:r>
        <w:rPr>
          <w:rFonts w:ascii="仿宋" w:eastAsia="仿宋" w:hAnsi="仿宋" w:cs="仿宋"/>
          <w:snapToGrid/>
          <w:kern w:val="2"/>
          <w:sz w:val="28"/>
          <w:szCs w:val="28"/>
          <w:lang w:eastAsia="zh-CN"/>
        </w:rPr>
        <w:t>6,601,362</w:t>
      </w:r>
      <w:r>
        <w:rPr>
          <w:rFonts w:ascii="仿宋" w:eastAsia="仿宋" w:hAnsi="仿宋" w:cs="仿宋"/>
          <w:snapToGrid/>
          <w:kern w:val="2"/>
          <w:sz w:val="28"/>
          <w:szCs w:val="28"/>
          <w:lang w:eastAsia="zh-CN"/>
        </w:rPr>
        <w:t>股。</w:t>
      </w:r>
      <w:r>
        <w:rPr>
          <w:rFonts w:ascii="仿宋" w:eastAsia="仿宋" w:hAnsi="仿宋" w:cs="仿宋" w:hint="eastAsia"/>
          <w:snapToGrid/>
          <w:kern w:val="2"/>
          <w:sz w:val="28"/>
          <w:szCs w:val="28"/>
          <w:lang w:eastAsia="zh-CN"/>
        </w:rPr>
        <w:t>最终发行数量以中国证监会同意注册的股票数量为准。</w:t>
      </w:r>
    </w:p>
    <w:p w14:paraId="73B81E78"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除上述调整外，上市公司本次发行股份及支付现金购买资产并募集配套资金暨关联交易方案的其他事项均无变化。</w:t>
      </w:r>
    </w:p>
    <w:p w14:paraId="45F46526"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snapToGrid/>
          <w:kern w:val="2"/>
          <w:sz w:val="28"/>
          <w:szCs w:val="28"/>
          <w:lang w:eastAsia="zh-CN"/>
        </w:rPr>
        <w:t>公司本次交易尚需经</w:t>
      </w:r>
      <w:r>
        <w:rPr>
          <w:rFonts w:ascii="仿宋" w:eastAsia="仿宋" w:hAnsi="仿宋" w:cs="仿宋" w:hint="eastAsia"/>
          <w:snapToGrid/>
          <w:kern w:val="2"/>
          <w:sz w:val="28"/>
          <w:szCs w:val="28"/>
          <w:lang w:eastAsia="zh-CN"/>
        </w:rPr>
        <w:t>深圳</w:t>
      </w:r>
      <w:r>
        <w:rPr>
          <w:rFonts w:ascii="仿宋" w:eastAsia="仿宋" w:hAnsi="仿宋" w:cs="仿宋"/>
          <w:snapToGrid/>
          <w:kern w:val="2"/>
          <w:sz w:val="28"/>
          <w:szCs w:val="28"/>
          <w:lang w:eastAsia="zh-CN"/>
        </w:rPr>
        <w:t>证券交易所审核通过并报中国证监会予以注册，最终能否审核通过与获得注册，以及上述审核通过与获得注册的时间均存在不确定性。公司将根据本次交易事项的进展情况及时履行信息披露义务，敬请广大投资者关注公司后续公告并注意投资风险。</w:t>
      </w:r>
    </w:p>
    <w:p w14:paraId="119EA3D7" w14:textId="77777777" w:rsidR="00AE1DA4" w:rsidRDefault="00AF08B9">
      <w:pPr>
        <w:widowControl w:val="0"/>
        <w:kinsoku/>
        <w:autoSpaceDE/>
        <w:autoSpaceDN/>
        <w:adjustRightInd/>
        <w:snapToGrid/>
        <w:spacing w:line="360" w:lineRule="auto"/>
        <w:ind w:firstLineChars="200" w:firstLine="560"/>
        <w:jc w:val="both"/>
        <w:textAlignment w:val="auto"/>
        <w:rPr>
          <w:rFonts w:ascii="仿宋" w:eastAsia="仿宋" w:hAnsi="仿宋" w:cs="仿宋"/>
          <w:snapToGrid/>
          <w:kern w:val="2"/>
          <w:sz w:val="28"/>
          <w:szCs w:val="28"/>
          <w:lang w:eastAsia="zh-CN"/>
        </w:rPr>
      </w:pPr>
      <w:r>
        <w:rPr>
          <w:rFonts w:ascii="仿宋" w:eastAsia="仿宋" w:hAnsi="仿宋" w:cs="仿宋" w:hint="eastAsia"/>
          <w:snapToGrid/>
          <w:kern w:val="2"/>
          <w:sz w:val="28"/>
          <w:szCs w:val="28"/>
          <w:lang w:eastAsia="zh-CN"/>
        </w:rPr>
        <w:t>特此公告。</w:t>
      </w:r>
    </w:p>
    <w:p w14:paraId="1E2E1CB2" w14:textId="77777777" w:rsidR="00AE1DA4" w:rsidRDefault="00AF08B9">
      <w:pPr>
        <w:widowControl w:val="0"/>
        <w:kinsoku/>
        <w:autoSpaceDE/>
        <w:autoSpaceDN/>
        <w:adjustRightInd/>
        <w:snapToGrid/>
        <w:spacing w:line="360" w:lineRule="auto"/>
        <w:ind w:firstLineChars="200" w:firstLine="560"/>
        <w:jc w:val="right"/>
        <w:textAlignment w:val="auto"/>
        <w:rPr>
          <w:rFonts w:ascii="仿宋" w:eastAsia="仿宋" w:hAnsi="仿宋"/>
          <w:sz w:val="28"/>
          <w:szCs w:val="28"/>
          <w:lang w:eastAsia="zh-CN"/>
        </w:rPr>
      </w:pPr>
      <w:r>
        <w:rPr>
          <w:rFonts w:ascii="仿宋" w:eastAsia="仿宋" w:hAnsi="仿宋" w:hint="eastAsia"/>
          <w:sz w:val="28"/>
          <w:szCs w:val="28"/>
          <w:lang w:eastAsia="zh-CN"/>
        </w:rPr>
        <w:t>广东天亿马信息产业股份有限公司</w:t>
      </w:r>
    </w:p>
    <w:p w14:paraId="0F07AED5" w14:textId="77777777" w:rsidR="00AE1DA4" w:rsidRDefault="00AF08B9">
      <w:pPr>
        <w:widowControl w:val="0"/>
        <w:kinsoku/>
        <w:autoSpaceDE/>
        <w:autoSpaceDN/>
        <w:adjustRightInd/>
        <w:snapToGrid/>
        <w:spacing w:line="360" w:lineRule="auto"/>
        <w:ind w:firstLineChars="200" w:firstLine="560"/>
        <w:jc w:val="right"/>
        <w:textAlignment w:val="auto"/>
        <w:rPr>
          <w:rFonts w:ascii="仿宋" w:eastAsia="仿宋" w:hAnsi="仿宋"/>
          <w:sz w:val="28"/>
          <w:szCs w:val="28"/>
          <w:lang w:eastAsia="zh-CN"/>
        </w:rPr>
      </w:pPr>
      <w:r>
        <w:rPr>
          <w:rFonts w:ascii="仿宋" w:eastAsia="仿宋" w:hAnsi="仿宋" w:hint="eastAsia"/>
          <w:sz w:val="28"/>
          <w:szCs w:val="28"/>
          <w:lang w:eastAsia="zh-CN"/>
        </w:rPr>
        <w:t>董事会</w:t>
      </w:r>
    </w:p>
    <w:p w14:paraId="6413E109" w14:textId="77777777" w:rsidR="00AE1DA4" w:rsidRDefault="00AF08B9">
      <w:pPr>
        <w:widowControl w:val="0"/>
        <w:kinsoku/>
        <w:autoSpaceDE/>
        <w:autoSpaceDN/>
        <w:adjustRightInd/>
        <w:snapToGrid/>
        <w:spacing w:line="360" w:lineRule="auto"/>
        <w:ind w:firstLineChars="200" w:firstLine="560"/>
        <w:jc w:val="right"/>
        <w:textAlignment w:val="auto"/>
        <w:rPr>
          <w:rFonts w:ascii="仿宋" w:eastAsia="仿宋" w:hAnsi="仿宋"/>
          <w:sz w:val="28"/>
          <w:szCs w:val="28"/>
          <w:lang w:eastAsia="zh-CN"/>
        </w:rPr>
      </w:pPr>
      <w:r>
        <w:rPr>
          <w:rFonts w:ascii="仿宋" w:eastAsia="仿宋" w:hAnsi="仿宋" w:hint="eastAsia"/>
          <w:sz w:val="28"/>
          <w:szCs w:val="28"/>
          <w:lang w:eastAsia="zh-CN"/>
        </w:rPr>
        <w:t>2026</w:t>
      </w:r>
      <w:r>
        <w:rPr>
          <w:rFonts w:ascii="仿宋" w:eastAsia="仿宋" w:hAnsi="仿宋" w:hint="eastAsia"/>
          <w:sz w:val="28"/>
          <w:szCs w:val="28"/>
          <w:lang w:eastAsia="zh-CN"/>
        </w:rPr>
        <w:t>年</w:t>
      </w:r>
      <w:r>
        <w:rPr>
          <w:rFonts w:ascii="仿宋" w:eastAsia="仿宋" w:hAnsi="仿宋" w:hint="eastAsia"/>
          <w:sz w:val="28"/>
          <w:szCs w:val="28"/>
          <w:lang w:eastAsia="zh-CN"/>
        </w:rPr>
        <w:t>6</w:t>
      </w:r>
      <w:r>
        <w:rPr>
          <w:rFonts w:ascii="仿宋" w:eastAsia="仿宋" w:hAnsi="仿宋" w:hint="eastAsia"/>
          <w:sz w:val="28"/>
          <w:szCs w:val="28"/>
          <w:lang w:eastAsia="zh-CN"/>
        </w:rPr>
        <w:t>月</w:t>
      </w:r>
      <w:r>
        <w:rPr>
          <w:rFonts w:ascii="仿宋" w:eastAsia="仿宋" w:hAnsi="仿宋" w:hint="eastAsia"/>
          <w:sz w:val="28"/>
          <w:szCs w:val="28"/>
          <w:lang w:eastAsia="zh-CN"/>
        </w:rPr>
        <w:t>1</w:t>
      </w:r>
      <w:r>
        <w:rPr>
          <w:rFonts w:ascii="仿宋" w:eastAsia="仿宋" w:hAnsi="仿宋" w:hint="eastAsia"/>
          <w:sz w:val="28"/>
          <w:szCs w:val="28"/>
          <w:lang w:eastAsia="zh-CN"/>
        </w:rPr>
        <w:t>8</w:t>
      </w:r>
      <w:r>
        <w:rPr>
          <w:rFonts w:ascii="仿宋" w:eastAsia="仿宋" w:hAnsi="仿宋" w:hint="eastAsia"/>
          <w:sz w:val="28"/>
          <w:szCs w:val="28"/>
          <w:lang w:eastAsia="zh-CN"/>
        </w:rPr>
        <w:t>日</w:t>
      </w:r>
    </w:p>
    <w:p w14:paraId="1B6EBFC1" w14:textId="77777777" w:rsidR="00AE1DA4" w:rsidRDefault="00AE1DA4">
      <w:pPr>
        <w:widowControl w:val="0"/>
        <w:kinsoku/>
        <w:autoSpaceDE/>
        <w:autoSpaceDN/>
        <w:adjustRightInd/>
        <w:snapToGrid/>
        <w:spacing w:line="360" w:lineRule="auto"/>
        <w:ind w:firstLineChars="200" w:firstLine="560"/>
        <w:jc w:val="right"/>
        <w:textAlignment w:val="auto"/>
        <w:rPr>
          <w:rFonts w:ascii="仿宋" w:eastAsia="仿宋" w:hAnsi="仿宋" w:cs="仿宋"/>
          <w:snapToGrid/>
          <w:kern w:val="2"/>
          <w:sz w:val="28"/>
          <w:szCs w:val="28"/>
          <w:lang w:eastAsia="zh-CN"/>
        </w:rPr>
      </w:pPr>
    </w:p>
    <w:sectPr w:rsidR="00AE1DA4">
      <w:footerReference w:type="default" r:id="rId7"/>
      <w:pgSz w:w="11907" w:h="16839"/>
      <w:pgMar w:top="1431" w:right="1730" w:bottom="1202" w:left="1785" w:header="0"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B10EE8" w14:textId="77777777" w:rsidR="00AF08B9" w:rsidRDefault="00AF08B9">
      <w:r>
        <w:separator/>
      </w:r>
    </w:p>
  </w:endnote>
  <w:endnote w:type="continuationSeparator" w:id="0">
    <w:p w14:paraId="7CA4C102" w14:textId="77777777" w:rsidR="00AF08B9" w:rsidRDefault="00AF0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408522"/>
    </w:sdtPr>
    <w:sdtEndPr/>
    <w:sdtContent>
      <w:p w14:paraId="78FCB784" w14:textId="77777777" w:rsidR="00AE1DA4" w:rsidRDefault="00AF08B9">
        <w:pPr>
          <w:pStyle w:val="a4"/>
          <w:jc w:val="center"/>
        </w:pPr>
        <w:r>
          <w:fldChar w:fldCharType="begin"/>
        </w:r>
        <w:r>
          <w:instrText>PAGE   \* MERGEFORMAT</w:instrText>
        </w:r>
        <w:r>
          <w:fldChar w:fldCharType="separate"/>
        </w:r>
        <w:r w:rsidR="001A323F" w:rsidRPr="001A323F">
          <w:rPr>
            <w:noProof/>
            <w:lang w:val="zh-CN"/>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67407" w14:textId="77777777" w:rsidR="00AF08B9" w:rsidRDefault="00AF08B9">
      <w:r>
        <w:separator/>
      </w:r>
    </w:p>
  </w:footnote>
  <w:footnote w:type="continuationSeparator" w:id="0">
    <w:p w14:paraId="3CE883A9" w14:textId="77777777" w:rsidR="00AF08B9" w:rsidRDefault="00AF08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F0D"/>
    <w:rsid w:val="00021B3F"/>
    <w:rsid w:val="00065F05"/>
    <w:rsid w:val="001A323F"/>
    <w:rsid w:val="002E3FE5"/>
    <w:rsid w:val="00364F0D"/>
    <w:rsid w:val="005673B4"/>
    <w:rsid w:val="00690E4E"/>
    <w:rsid w:val="007450DD"/>
    <w:rsid w:val="00792C3F"/>
    <w:rsid w:val="00857E0E"/>
    <w:rsid w:val="00883D4F"/>
    <w:rsid w:val="008B4F23"/>
    <w:rsid w:val="008C7B3C"/>
    <w:rsid w:val="008D5AD4"/>
    <w:rsid w:val="0099509A"/>
    <w:rsid w:val="00A13EFC"/>
    <w:rsid w:val="00A25639"/>
    <w:rsid w:val="00A5452B"/>
    <w:rsid w:val="00A81C67"/>
    <w:rsid w:val="00A96BB2"/>
    <w:rsid w:val="00AC6200"/>
    <w:rsid w:val="00AE1DA4"/>
    <w:rsid w:val="00AF08B9"/>
    <w:rsid w:val="00B74475"/>
    <w:rsid w:val="00B86375"/>
    <w:rsid w:val="00BB472F"/>
    <w:rsid w:val="00BB4A8F"/>
    <w:rsid w:val="00CC7BA1"/>
    <w:rsid w:val="00CE7ED3"/>
    <w:rsid w:val="00D03B34"/>
    <w:rsid w:val="00D30368"/>
    <w:rsid w:val="00D90D02"/>
    <w:rsid w:val="00E11428"/>
    <w:rsid w:val="00E56B25"/>
    <w:rsid w:val="00EC54CA"/>
    <w:rsid w:val="00F4788F"/>
    <w:rsid w:val="013E54E2"/>
    <w:rsid w:val="016D4D19"/>
    <w:rsid w:val="0EA55AF2"/>
    <w:rsid w:val="11717F0E"/>
    <w:rsid w:val="14956609"/>
    <w:rsid w:val="1ADC0421"/>
    <w:rsid w:val="1B5A6814"/>
    <w:rsid w:val="248D4C07"/>
    <w:rsid w:val="2CFA4E04"/>
    <w:rsid w:val="33C30645"/>
    <w:rsid w:val="37B00EE0"/>
    <w:rsid w:val="4C693D71"/>
    <w:rsid w:val="4DE247A0"/>
    <w:rsid w:val="549B02F3"/>
    <w:rsid w:val="561126EE"/>
    <w:rsid w:val="58772F64"/>
    <w:rsid w:val="5C125734"/>
    <w:rsid w:val="5CF8685F"/>
    <w:rsid w:val="5E0A7399"/>
    <w:rsid w:val="62A62FDC"/>
    <w:rsid w:val="63415E8D"/>
    <w:rsid w:val="63666773"/>
    <w:rsid w:val="6C9D6EE8"/>
    <w:rsid w:val="6EDA1DC4"/>
    <w:rsid w:val="6F204622"/>
    <w:rsid w:val="777A4144"/>
    <w:rsid w:val="77BA09E4"/>
    <w:rsid w:val="7C887303"/>
    <w:rsid w:val="7DB36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Char"/>
    <w:uiPriority w:val="9"/>
    <w:qFormat/>
    <w:pPr>
      <w:keepNext/>
      <w:keepLines/>
      <w:widowControl w:val="0"/>
      <w:kinsoku/>
      <w:autoSpaceDE/>
      <w:autoSpaceDN/>
      <w:adjustRightInd/>
      <w:snapToGrid/>
      <w:spacing w:before="480" w:after="80" w:line="278" w:lineRule="auto"/>
      <w:textAlignment w:val="auto"/>
      <w:outlineLvl w:val="0"/>
    </w:pPr>
    <w:rPr>
      <w:rFonts w:asciiTheme="majorHAnsi" w:eastAsiaTheme="majorEastAsia" w:hAnsiTheme="majorHAnsi" w:cstheme="majorBidi"/>
      <w:snapToGrid/>
      <w:color w:val="0F4761" w:themeColor="accent1" w:themeShade="BF"/>
      <w:kern w:val="2"/>
      <w:sz w:val="48"/>
      <w:szCs w:val="48"/>
      <w:lang w:eastAsia="zh-CN"/>
      <w14:ligatures w14:val="standardContextual"/>
    </w:rPr>
  </w:style>
  <w:style w:type="paragraph" w:styleId="2">
    <w:name w:val="heading 2"/>
    <w:basedOn w:val="a"/>
    <w:next w:val="a"/>
    <w:link w:val="2Char"/>
    <w:uiPriority w:val="9"/>
    <w:semiHidden/>
    <w:unhideWhenUsed/>
    <w:qFormat/>
    <w:pPr>
      <w:keepNext/>
      <w:keepLines/>
      <w:widowControl w:val="0"/>
      <w:kinsoku/>
      <w:autoSpaceDE/>
      <w:autoSpaceDN/>
      <w:adjustRightInd/>
      <w:snapToGrid/>
      <w:spacing w:before="160" w:after="80" w:line="278" w:lineRule="auto"/>
      <w:textAlignment w:val="auto"/>
      <w:outlineLvl w:val="1"/>
    </w:pPr>
    <w:rPr>
      <w:rFonts w:asciiTheme="majorHAnsi" w:eastAsiaTheme="majorEastAsia" w:hAnsiTheme="majorHAnsi" w:cstheme="majorBidi"/>
      <w:snapToGrid/>
      <w:color w:val="0F4761" w:themeColor="accent1" w:themeShade="BF"/>
      <w:kern w:val="2"/>
      <w:sz w:val="40"/>
      <w:szCs w:val="40"/>
      <w:lang w:eastAsia="zh-CN"/>
      <w14:ligatures w14:val="standardContextual"/>
    </w:rPr>
  </w:style>
  <w:style w:type="paragraph" w:styleId="3">
    <w:name w:val="heading 3"/>
    <w:basedOn w:val="a"/>
    <w:next w:val="a"/>
    <w:link w:val="3Char"/>
    <w:uiPriority w:val="9"/>
    <w:semiHidden/>
    <w:unhideWhenUsed/>
    <w:qFormat/>
    <w:pPr>
      <w:keepNext/>
      <w:keepLines/>
      <w:widowControl w:val="0"/>
      <w:kinsoku/>
      <w:autoSpaceDE/>
      <w:autoSpaceDN/>
      <w:adjustRightInd/>
      <w:snapToGrid/>
      <w:spacing w:before="160" w:after="80" w:line="278" w:lineRule="auto"/>
      <w:textAlignment w:val="auto"/>
      <w:outlineLvl w:val="2"/>
    </w:pPr>
    <w:rPr>
      <w:rFonts w:asciiTheme="majorHAnsi" w:eastAsiaTheme="majorEastAsia" w:hAnsiTheme="majorHAnsi" w:cstheme="majorBidi"/>
      <w:snapToGrid/>
      <w:color w:val="0F4761" w:themeColor="accent1" w:themeShade="BF"/>
      <w:kern w:val="2"/>
      <w:sz w:val="32"/>
      <w:szCs w:val="32"/>
      <w:lang w:eastAsia="zh-CN"/>
      <w14:ligatures w14:val="standardContextual"/>
    </w:rPr>
  </w:style>
  <w:style w:type="paragraph" w:styleId="4">
    <w:name w:val="heading 4"/>
    <w:basedOn w:val="a"/>
    <w:next w:val="a"/>
    <w:link w:val="4Char"/>
    <w:uiPriority w:val="9"/>
    <w:semiHidden/>
    <w:unhideWhenUsed/>
    <w:qFormat/>
    <w:pPr>
      <w:keepNext/>
      <w:keepLines/>
      <w:widowControl w:val="0"/>
      <w:kinsoku/>
      <w:autoSpaceDE/>
      <w:autoSpaceDN/>
      <w:adjustRightInd/>
      <w:snapToGrid/>
      <w:spacing w:before="80" w:after="40" w:line="278" w:lineRule="auto"/>
      <w:textAlignment w:val="auto"/>
      <w:outlineLvl w:val="3"/>
    </w:pPr>
    <w:rPr>
      <w:rFonts w:asciiTheme="minorHAnsi" w:eastAsiaTheme="minorEastAsia" w:hAnsiTheme="minorHAnsi" w:cstheme="majorBidi"/>
      <w:snapToGrid/>
      <w:color w:val="0F4761" w:themeColor="accent1" w:themeShade="BF"/>
      <w:kern w:val="2"/>
      <w:sz w:val="28"/>
      <w:szCs w:val="28"/>
      <w:lang w:eastAsia="zh-CN"/>
      <w14:ligatures w14:val="standardContextual"/>
    </w:rPr>
  </w:style>
  <w:style w:type="paragraph" w:styleId="5">
    <w:name w:val="heading 5"/>
    <w:basedOn w:val="a"/>
    <w:next w:val="a"/>
    <w:link w:val="5Char"/>
    <w:uiPriority w:val="9"/>
    <w:semiHidden/>
    <w:unhideWhenUsed/>
    <w:qFormat/>
    <w:pPr>
      <w:keepNext/>
      <w:keepLines/>
      <w:widowControl w:val="0"/>
      <w:kinsoku/>
      <w:autoSpaceDE/>
      <w:autoSpaceDN/>
      <w:adjustRightInd/>
      <w:snapToGrid/>
      <w:spacing w:before="80" w:after="40" w:line="278" w:lineRule="auto"/>
      <w:textAlignment w:val="auto"/>
      <w:outlineLvl w:val="4"/>
    </w:pPr>
    <w:rPr>
      <w:rFonts w:asciiTheme="minorHAnsi" w:eastAsiaTheme="minorEastAsia" w:hAnsiTheme="minorHAnsi" w:cstheme="majorBidi"/>
      <w:snapToGrid/>
      <w:color w:val="0F4761" w:themeColor="accent1" w:themeShade="BF"/>
      <w:kern w:val="2"/>
      <w:sz w:val="24"/>
      <w:szCs w:val="24"/>
      <w:lang w:eastAsia="zh-CN"/>
      <w14:ligatures w14:val="standardContextual"/>
    </w:rPr>
  </w:style>
  <w:style w:type="paragraph" w:styleId="6">
    <w:name w:val="heading 6"/>
    <w:basedOn w:val="a"/>
    <w:next w:val="a"/>
    <w:link w:val="6Char"/>
    <w:uiPriority w:val="9"/>
    <w:semiHidden/>
    <w:unhideWhenUsed/>
    <w:qFormat/>
    <w:pPr>
      <w:keepNext/>
      <w:keepLines/>
      <w:widowControl w:val="0"/>
      <w:kinsoku/>
      <w:autoSpaceDE/>
      <w:autoSpaceDN/>
      <w:adjustRightInd/>
      <w:snapToGrid/>
      <w:spacing w:before="40" w:line="278" w:lineRule="auto"/>
      <w:textAlignment w:val="auto"/>
      <w:outlineLvl w:val="5"/>
    </w:pPr>
    <w:rPr>
      <w:rFonts w:asciiTheme="minorHAnsi" w:eastAsiaTheme="minorEastAsia" w:hAnsiTheme="minorHAnsi" w:cstheme="majorBidi"/>
      <w:b/>
      <w:bCs/>
      <w:snapToGrid/>
      <w:color w:val="0F4761" w:themeColor="accent1" w:themeShade="BF"/>
      <w:kern w:val="2"/>
      <w:sz w:val="22"/>
      <w:szCs w:val="24"/>
      <w:lang w:eastAsia="zh-CN"/>
      <w14:ligatures w14:val="standardContextual"/>
    </w:rPr>
  </w:style>
  <w:style w:type="paragraph" w:styleId="7">
    <w:name w:val="heading 7"/>
    <w:basedOn w:val="a"/>
    <w:next w:val="a"/>
    <w:link w:val="7Char"/>
    <w:uiPriority w:val="9"/>
    <w:semiHidden/>
    <w:unhideWhenUsed/>
    <w:qFormat/>
    <w:pPr>
      <w:keepNext/>
      <w:keepLines/>
      <w:widowControl w:val="0"/>
      <w:kinsoku/>
      <w:autoSpaceDE/>
      <w:autoSpaceDN/>
      <w:adjustRightInd/>
      <w:snapToGrid/>
      <w:spacing w:before="40" w:line="278" w:lineRule="auto"/>
      <w:textAlignment w:val="auto"/>
      <w:outlineLvl w:val="6"/>
    </w:pPr>
    <w:rPr>
      <w:rFonts w:asciiTheme="minorHAnsi" w:eastAsiaTheme="minorEastAsia" w:hAnsiTheme="minorHAnsi" w:cstheme="majorBidi"/>
      <w:b/>
      <w:bCs/>
      <w:snapToGrid/>
      <w:color w:val="595959" w:themeColor="text1" w:themeTint="A6"/>
      <w:kern w:val="2"/>
      <w:sz w:val="22"/>
      <w:szCs w:val="24"/>
      <w:lang w:eastAsia="zh-CN"/>
      <w14:ligatures w14:val="standardContextual"/>
    </w:rPr>
  </w:style>
  <w:style w:type="paragraph" w:styleId="8">
    <w:name w:val="heading 8"/>
    <w:basedOn w:val="a"/>
    <w:next w:val="a"/>
    <w:link w:val="8Char"/>
    <w:uiPriority w:val="9"/>
    <w:semiHidden/>
    <w:unhideWhenUsed/>
    <w:qFormat/>
    <w:pPr>
      <w:keepNext/>
      <w:keepLines/>
      <w:widowControl w:val="0"/>
      <w:kinsoku/>
      <w:autoSpaceDE/>
      <w:autoSpaceDN/>
      <w:adjustRightInd/>
      <w:snapToGrid/>
      <w:spacing w:line="278" w:lineRule="auto"/>
      <w:textAlignment w:val="auto"/>
      <w:outlineLvl w:val="7"/>
    </w:pPr>
    <w:rPr>
      <w:rFonts w:asciiTheme="minorHAnsi" w:eastAsiaTheme="minorEastAsia" w:hAnsiTheme="minorHAnsi" w:cstheme="majorBidi"/>
      <w:snapToGrid/>
      <w:color w:val="595959" w:themeColor="text1" w:themeTint="A6"/>
      <w:kern w:val="2"/>
      <w:sz w:val="22"/>
      <w:szCs w:val="24"/>
      <w:lang w:eastAsia="zh-CN"/>
      <w14:ligatures w14:val="standardContextual"/>
    </w:rPr>
  </w:style>
  <w:style w:type="paragraph" w:styleId="9">
    <w:name w:val="heading 9"/>
    <w:basedOn w:val="a"/>
    <w:next w:val="a"/>
    <w:link w:val="9Char"/>
    <w:uiPriority w:val="9"/>
    <w:semiHidden/>
    <w:unhideWhenUsed/>
    <w:qFormat/>
    <w:pPr>
      <w:keepNext/>
      <w:keepLines/>
      <w:widowControl w:val="0"/>
      <w:kinsoku/>
      <w:autoSpaceDE/>
      <w:autoSpaceDN/>
      <w:adjustRightInd/>
      <w:snapToGrid/>
      <w:spacing w:line="278" w:lineRule="auto"/>
      <w:textAlignment w:val="auto"/>
      <w:outlineLvl w:val="8"/>
    </w:pPr>
    <w:rPr>
      <w:rFonts w:asciiTheme="minorHAnsi" w:eastAsiaTheme="majorEastAsia" w:hAnsiTheme="minorHAnsi" w:cstheme="majorBidi"/>
      <w:snapToGrid/>
      <w:color w:val="595959" w:themeColor="text1" w:themeTint="A6"/>
      <w:kern w:val="2"/>
      <w:sz w:val="22"/>
      <w:szCs w:val="24"/>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widowControl w:val="0"/>
      <w:tabs>
        <w:tab w:val="center" w:pos="4153"/>
        <w:tab w:val="right" w:pos="8306"/>
      </w:tabs>
      <w:kinsoku/>
      <w:autoSpaceDE/>
      <w:autoSpaceDN/>
      <w:adjustRightInd/>
      <w:spacing w:after="160"/>
      <w:textAlignment w:val="auto"/>
    </w:pPr>
    <w:rPr>
      <w:rFonts w:asciiTheme="minorHAnsi" w:eastAsiaTheme="minorEastAsia" w:hAnsiTheme="minorHAnsi" w:cstheme="minorBidi"/>
      <w:snapToGrid/>
      <w:color w:val="auto"/>
      <w:kern w:val="2"/>
      <w:sz w:val="18"/>
      <w:szCs w:val="18"/>
      <w:lang w:eastAsia="zh-CN"/>
      <w14:ligatures w14:val="standardContextual"/>
    </w:rPr>
  </w:style>
  <w:style w:type="paragraph" w:styleId="a5">
    <w:name w:val="header"/>
    <w:basedOn w:val="a"/>
    <w:link w:val="Char1"/>
    <w:uiPriority w:val="99"/>
    <w:unhideWhenUsed/>
    <w:qFormat/>
    <w:pPr>
      <w:widowControl w:val="0"/>
      <w:tabs>
        <w:tab w:val="center" w:pos="4153"/>
        <w:tab w:val="right" w:pos="8306"/>
      </w:tabs>
      <w:kinsoku/>
      <w:autoSpaceDE/>
      <w:autoSpaceDN/>
      <w:adjustRightInd/>
      <w:spacing w:after="160"/>
      <w:jc w:val="center"/>
      <w:textAlignment w:val="auto"/>
    </w:pPr>
    <w:rPr>
      <w:rFonts w:asciiTheme="minorHAnsi" w:eastAsiaTheme="minorEastAsia" w:hAnsiTheme="minorHAnsi" w:cstheme="minorBidi"/>
      <w:snapToGrid/>
      <w:color w:val="auto"/>
      <w:kern w:val="2"/>
      <w:sz w:val="18"/>
      <w:szCs w:val="18"/>
      <w:lang w:eastAsia="zh-CN"/>
      <w14:ligatures w14:val="standardContextual"/>
    </w:rPr>
  </w:style>
  <w:style w:type="paragraph" w:styleId="a6">
    <w:name w:val="Subtitle"/>
    <w:basedOn w:val="a"/>
    <w:next w:val="a"/>
    <w:link w:val="Char2"/>
    <w:uiPriority w:val="11"/>
    <w:qFormat/>
    <w:pPr>
      <w:widowControl w:val="0"/>
      <w:kinsoku/>
      <w:autoSpaceDE/>
      <w:autoSpaceDN/>
      <w:adjustRightInd/>
      <w:snapToGrid/>
      <w:spacing w:after="160" w:line="278" w:lineRule="auto"/>
      <w:jc w:val="center"/>
      <w:textAlignment w:val="auto"/>
    </w:pPr>
    <w:rPr>
      <w:rFonts w:asciiTheme="majorHAnsi" w:eastAsiaTheme="majorEastAsia" w:hAnsiTheme="majorHAnsi" w:cstheme="majorBidi"/>
      <w:snapToGrid/>
      <w:color w:val="595959" w:themeColor="text1" w:themeTint="A6"/>
      <w:spacing w:val="15"/>
      <w:kern w:val="2"/>
      <w:sz w:val="28"/>
      <w:szCs w:val="28"/>
      <w:lang w:eastAsia="zh-CN"/>
      <w14:ligatures w14:val="standardContextual"/>
    </w:rPr>
  </w:style>
  <w:style w:type="paragraph" w:styleId="a7">
    <w:name w:val="Title"/>
    <w:basedOn w:val="a"/>
    <w:next w:val="a"/>
    <w:link w:val="Char3"/>
    <w:uiPriority w:val="10"/>
    <w:qFormat/>
    <w:pPr>
      <w:widowControl w:val="0"/>
      <w:kinsoku/>
      <w:autoSpaceDE/>
      <w:autoSpaceDN/>
      <w:adjustRightInd/>
      <w:snapToGrid/>
      <w:spacing w:after="80"/>
      <w:contextualSpacing/>
      <w:jc w:val="center"/>
      <w:textAlignment w:val="auto"/>
    </w:pPr>
    <w:rPr>
      <w:rFonts w:asciiTheme="majorHAnsi" w:eastAsiaTheme="majorEastAsia" w:hAnsiTheme="majorHAnsi" w:cstheme="majorBidi"/>
      <w:snapToGrid/>
      <w:color w:val="auto"/>
      <w:spacing w:val="-10"/>
      <w:kern w:val="28"/>
      <w:sz w:val="56"/>
      <w:szCs w:val="56"/>
      <w:lang w:eastAsia="zh-CN"/>
      <w14:ligatures w14:val="standardContextual"/>
    </w:rPr>
  </w:style>
  <w:style w:type="character" w:styleId="a8">
    <w:name w:val="Emphasis"/>
    <w:basedOn w:val="a0"/>
    <w:uiPriority w:val="20"/>
    <w:qFormat/>
    <w:rPr>
      <w:i/>
    </w:r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3">
    <w:name w:val="标题 Char"/>
    <w:basedOn w:val="a0"/>
    <w:link w:val="a7"/>
    <w:uiPriority w:val="10"/>
    <w:qFormat/>
    <w:rPr>
      <w:rFonts w:asciiTheme="majorHAnsi" w:eastAsiaTheme="majorEastAsia" w:hAnsiTheme="majorHAnsi" w:cstheme="majorBidi"/>
      <w:spacing w:val="-10"/>
      <w:kern w:val="28"/>
      <w:sz w:val="56"/>
      <w:szCs w:val="56"/>
    </w:rPr>
  </w:style>
  <w:style w:type="character" w:customStyle="1" w:styleId="Char2">
    <w:name w:val="副标题 Char"/>
    <w:basedOn w:val="a0"/>
    <w:link w:val="a6"/>
    <w:uiPriority w:val="11"/>
    <w:qFormat/>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Char4"/>
    <w:uiPriority w:val="29"/>
    <w:qFormat/>
    <w:pPr>
      <w:widowControl w:val="0"/>
      <w:kinsoku/>
      <w:autoSpaceDE/>
      <w:autoSpaceDN/>
      <w:adjustRightInd/>
      <w:snapToGrid/>
      <w:spacing w:before="160" w:after="160" w:line="278" w:lineRule="auto"/>
      <w:jc w:val="center"/>
      <w:textAlignment w:val="auto"/>
    </w:pPr>
    <w:rPr>
      <w:rFonts w:asciiTheme="minorHAnsi" w:eastAsiaTheme="minorEastAsia" w:hAnsiTheme="minorHAnsi" w:cstheme="minorBidi"/>
      <w:i/>
      <w:iCs/>
      <w:snapToGrid/>
      <w:color w:val="404040" w:themeColor="text1" w:themeTint="BF"/>
      <w:kern w:val="2"/>
      <w:sz w:val="22"/>
      <w:szCs w:val="24"/>
      <w:lang w:eastAsia="zh-CN"/>
      <w14:ligatures w14:val="standardContextual"/>
    </w:rPr>
  </w:style>
  <w:style w:type="character" w:customStyle="1" w:styleId="Char4">
    <w:name w:val="引用 Char"/>
    <w:basedOn w:val="a0"/>
    <w:link w:val="a9"/>
    <w:uiPriority w:val="29"/>
    <w:qFormat/>
    <w:rPr>
      <w:i/>
      <w:iCs/>
      <w:color w:val="404040" w:themeColor="text1" w:themeTint="BF"/>
    </w:rPr>
  </w:style>
  <w:style w:type="paragraph" w:styleId="aa">
    <w:name w:val="List Paragraph"/>
    <w:basedOn w:val="a"/>
    <w:uiPriority w:val="34"/>
    <w:qFormat/>
    <w:pPr>
      <w:widowControl w:val="0"/>
      <w:kinsoku/>
      <w:autoSpaceDE/>
      <w:autoSpaceDN/>
      <w:adjustRightInd/>
      <w:snapToGrid/>
      <w:spacing w:after="160" w:line="278" w:lineRule="auto"/>
      <w:ind w:left="720"/>
      <w:contextualSpacing/>
      <w:textAlignment w:val="auto"/>
    </w:pPr>
    <w:rPr>
      <w:rFonts w:asciiTheme="minorHAnsi" w:eastAsiaTheme="minorEastAsia" w:hAnsiTheme="minorHAnsi" w:cstheme="minorBidi"/>
      <w:snapToGrid/>
      <w:color w:val="auto"/>
      <w:kern w:val="2"/>
      <w:sz w:val="22"/>
      <w:szCs w:val="24"/>
      <w:lang w:eastAsia="zh-CN"/>
      <w14:ligatures w14:val="standardContextual"/>
    </w:rPr>
  </w:style>
  <w:style w:type="character" w:customStyle="1" w:styleId="10">
    <w:name w:val="明显强调1"/>
    <w:basedOn w:val="a0"/>
    <w:uiPriority w:val="21"/>
    <w:qFormat/>
    <w:rPr>
      <w:i/>
      <w:iCs/>
      <w:color w:val="0F4761" w:themeColor="accent1" w:themeShade="BF"/>
    </w:rPr>
  </w:style>
  <w:style w:type="paragraph" w:styleId="ab">
    <w:name w:val="Intense Quote"/>
    <w:basedOn w:val="a"/>
    <w:next w:val="a"/>
    <w:link w:val="Char5"/>
    <w:uiPriority w:val="30"/>
    <w:qFormat/>
    <w:pPr>
      <w:widowControl w:val="0"/>
      <w:pBdr>
        <w:top w:val="single" w:sz="4" w:space="10" w:color="0F4761" w:themeColor="accent1" w:themeShade="BF"/>
        <w:bottom w:val="single" w:sz="4" w:space="10" w:color="0F4761" w:themeColor="accent1" w:themeShade="BF"/>
      </w:pBdr>
      <w:kinsoku/>
      <w:autoSpaceDE/>
      <w:autoSpaceDN/>
      <w:adjustRightInd/>
      <w:snapToGrid/>
      <w:spacing w:before="360" w:after="360" w:line="278" w:lineRule="auto"/>
      <w:ind w:left="864" w:right="864"/>
      <w:jc w:val="center"/>
      <w:textAlignment w:val="auto"/>
    </w:pPr>
    <w:rPr>
      <w:rFonts w:asciiTheme="minorHAnsi" w:eastAsiaTheme="minorEastAsia" w:hAnsiTheme="minorHAnsi" w:cstheme="minorBidi"/>
      <w:i/>
      <w:iCs/>
      <w:snapToGrid/>
      <w:color w:val="0F4761" w:themeColor="accent1" w:themeShade="BF"/>
      <w:kern w:val="2"/>
      <w:sz w:val="22"/>
      <w:szCs w:val="24"/>
      <w:lang w:eastAsia="zh-CN"/>
      <w14:ligatures w14:val="standardContextual"/>
    </w:rPr>
  </w:style>
  <w:style w:type="character" w:customStyle="1" w:styleId="Char5">
    <w:name w:val="明显引用 Char"/>
    <w:basedOn w:val="a0"/>
    <w:link w:val="ab"/>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table" w:customStyle="1" w:styleId="TableNormal">
    <w:name w:val="Table Normal"/>
    <w:semiHidden/>
    <w:unhideWhenUsed/>
    <w:qFormat/>
    <w:rPr>
      <w:rFonts w:ascii="Arial" w:hAnsi="Arial" w:cs="Arial"/>
    </w:rPr>
    <w:tblPr>
      <w:tblCellMar>
        <w:top w:w="0" w:type="dxa"/>
        <w:left w:w="0" w:type="dxa"/>
        <w:bottom w:w="0" w:type="dxa"/>
        <w:right w:w="0" w:type="dxa"/>
      </w:tblCellMar>
    </w:tblPr>
  </w:style>
  <w:style w:type="character" w:customStyle="1" w:styleId="Char">
    <w:name w:val="批注框文本 Char"/>
    <w:basedOn w:val="a0"/>
    <w:link w:val="a3"/>
    <w:uiPriority w:val="99"/>
    <w:semiHidden/>
    <w:qFormat/>
    <w:rPr>
      <w:rFonts w:ascii="Arial" w:eastAsia="Arial" w:hAnsi="Arial" w:cs="Arial"/>
      <w:snapToGrid w:val="0"/>
      <w:color w:val="00000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Char"/>
    <w:uiPriority w:val="9"/>
    <w:qFormat/>
    <w:pPr>
      <w:keepNext/>
      <w:keepLines/>
      <w:widowControl w:val="0"/>
      <w:kinsoku/>
      <w:autoSpaceDE/>
      <w:autoSpaceDN/>
      <w:adjustRightInd/>
      <w:snapToGrid/>
      <w:spacing w:before="480" w:after="80" w:line="278" w:lineRule="auto"/>
      <w:textAlignment w:val="auto"/>
      <w:outlineLvl w:val="0"/>
    </w:pPr>
    <w:rPr>
      <w:rFonts w:asciiTheme="majorHAnsi" w:eastAsiaTheme="majorEastAsia" w:hAnsiTheme="majorHAnsi" w:cstheme="majorBidi"/>
      <w:snapToGrid/>
      <w:color w:val="0F4761" w:themeColor="accent1" w:themeShade="BF"/>
      <w:kern w:val="2"/>
      <w:sz w:val="48"/>
      <w:szCs w:val="48"/>
      <w:lang w:eastAsia="zh-CN"/>
      <w14:ligatures w14:val="standardContextual"/>
    </w:rPr>
  </w:style>
  <w:style w:type="paragraph" w:styleId="2">
    <w:name w:val="heading 2"/>
    <w:basedOn w:val="a"/>
    <w:next w:val="a"/>
    <w:link w:val="2Char"/>
    <w:uiPriority w:val="9"/>
    <w:semiHidden/>
    <w:unhideWhenUsed/>
    <w:qFormat/>
    <w:pPr>
      <w:keepNext/>
      <w:keepLines/>
      <w:widowControl w:val="0"/>
      <w:kinsoku/>
      <w:autoSpaceDE/>
      <w:autoSpaceDN/>
      <w:adjustRightInd/>
      <w:snapToGrid/>
      <w:spacing w:before="160" w:after="80" w:line="278" w:lineRule="auto"/>
      <w:textAlignment w:val="auto"/>
      <w:outlineLvl w:val="1"/>
    </w:pPr>
    <w:rPr>
      <w:rFonts w:asciiTheme="majorHAnsi" w:eastAsiaTheme="majorEastAsia" w:hAnsiTheme="majorHAnsi" w:cstheme="majorBidi"/>
      <w:snapToGrid/>
      <w:color w:val="0F4761" w:themeColor="accent1" w:themeShade="BF"/>
      <w:kern w:val="2"/>
      <w:sz w:val="40"/>
      <w:szCs w:val="40"/>
      <w:lang w:eastAsia="zh-CN"/>
      <w14:ligatures w14:val="standardContextual"/>
    </w:rPr>
  </w:style>
  <w:style w:type="paragraph" w:styleId="3">
    <w:name w:val="heading 3"/>
    <w:basedOn w:val="a"/>
    <w:next w:val="a"/>
    <w:link w:val="3Char"/>
    <w:uiPriority w:val="9"/>
    <w:semiHidden/>
    <w:unhideWhenUsed/>
    <w:qFormat/>
    <w:pPr>
      <w:keepNext/>
      <w:keepLines/>
      <w:widowControl w:val="0"/>
      <w:kinsoku/>
      <w:autoSpaceDE/>
      <w:autoSpaceDN/>
      <w:adjustRightInd/>
      <w:snapToGrid/>
      <w:spacing w:before="160" w:after="80" w:line="278" w:lineRule="auto"/>
      <w:textAlignment w:val="auto"/>
      <w:outlineLvl w:val="2"/>
    </w:pPr>
    <w:rPr>
      <w:rFonts w:asciiTheme="majorHAnsi" w:eastAsiaTheme="majorEastAsia" w:hAnsiTheme="majorHAnsi" w:cstheme="majorBidi"/>
      <w:snapToGrid/>
      <w:color w:val="0F4761" w:themeColor="accent1" w:themeShade="BF"/>
      <w:kern w:val="2"/>
      <w:sz w:val="32"/>
      <w:szCs w:val="32"/>
      <w:lang w:eastAsia="zh-CN"/>
      <w14:ligatures w14:val="standardContextual"/>
    </w:rPr>
  </w:style>
  <w:style w:type="paragraph" w:styleId="4">
    <w:name w:val="heading 4"/>
    <w:basedOn w:val="a"/>
    <w:next w:val="a"/>
    <w:link w:val="4Char"/>
    <w:uiPriority w:val="9"/>
    <w:semiHidden/>
    <w:unhideWhenUsed/>
    <w:qFormat/>
    <w:pPr>
      <w:keepNext/>
      <w:keepLines/>
      <w:widowControl w:val="0"/>
      <w:kinsoku/>
      <w:autoSpaceDE/>
      <w:autoSpaceDN/>
      <w:adjustRightInd/>
      <w:snapToGrid/>
      <w:spacing w:before="80" w:after="40" w:line="278" w:lineRule="auto"/>
      <w:textAlignment w:val="auto"/>
      <w:outlineLvl w:val="3"/>
    </w:pPr>
    <w:rPr>
      <w:rFonts w:asciiTheme="minorHAnsi" w:eastAsiaTheme="minorEastAsia" w:hAnsiTheme="minorHAnsi" w:cstheme="majorBidi"/>
      <w:snapToGrid/>
      <w:color w:val="0F4761" w:themeColor="accent1" w:themeShade="BF"/>
      <w:kern w:val="2"/>
      <w:sz w:val="28"/>
      <w:szCs w:val="28"/>
      <w:lang w:eastAsia="zh-CN"/>
      <w14:ligatures w14:val="standardContextual"/>
    </w:rPr>
  </w:style>
  <w:style w:type="paragraph" w:styleId="5">
    <w:name w:val="heading 5"/>
    <w:basedOn w:val="a"/>
    <w:next w:val="a"/>
    <w:link w:val="5Char"/>
    <w:uiPriority w:val="9"/>
    <w:semiHidden/>
    <w:unhideWhenUsed/>
    <w:qFormat/>
    <w:pPr>
      <w:keepNext/>
      <w:keepLines/>
      <w:widowControl w:val="0"/>
      <w:kinsoku/>
      <w:autoSpaceDE/>
      <w:autoSpaceDN/>
      <w:adjustRightInd/>
      <w:snapToGrid/>
      <w:spacing w:before="80" w:after="40" w:line="278" w:lineRule="auto"/>
      <w:textAlignment w:val="auto"/>
      <w:outlineLvl w:val="4"/>
    </w:pPr>
    <w:rPr>
      <w:rFonts w:asciiTheme="minorHAnsi" w:eastAsiaTheme="minorEastAsia" w:hAnsiTheme="minorHAnsi" w:cstheme="majorBidi"/>
      <w:snapToGrid/>
      <w:color w:val="0F4761" w:themeColor="accent1" w:themeShade="BF"/>
      <w:kern w:val="2"/>
      <w:sz w:val="24"/>
      <w:szCs w:val="24"/>
      <w:lang w:eastAsia="zh-CN"/>
      <w14:ligatures w14:val="standardContextual"/>
    </w:rPr>
  </w:style>
  <w:style w:type="paragraph" w:styleId="6">
    <w:name w:val="heading 6"/>
    <w:basedOn w:val="a"/>
    <w:next w:val="a"/>
    <w:link w:val="6Char"/>
    <w:uiPriority w:val="9"/>
    <w:semiHidden/>
    <w:unhideWhenUsed/>
    <w:qFormat/>
    <w:pPr>
      <w:keepNext/>
      <w:keepLines/>
      <w:widowControl w:val="0"/>
      <w:kinsoku/>
      <w:autoSpaceDE/>
      <w:autoSpaceDN/>
      <w:adjustRightInd/>
      <w:snapToGrid/>
      <w:spacing w:before="40" w:line="278" w:lineRule="auto"/>
      <w:textAlignment w:val="auto"/>
      <w:outlineLvl w:val="5"/>
    </w:pPr>
    <w:rPr>
      <w:rFonts w:asciiTheme="minorHAnsi" w:eastAsiaTheme="minorEastAsia" w:hAnsiTheme="minorHAnsi" w:cstheme="majorBidi"/>
      <w:b/>
      <w:bCs/>
      <w:snapToGrid/>
      <w:color w:val="0F4761" w:themeColor="accent1" w:themeShade="BF"/>
      <w:kern w:val="2"/>
      <w:sz w:val="22"/>
      <w:szCs w:val="24"/>
      <w:lang w:eastAsia="zh-CN"/>
      <w14:ligatures w14:val="standardContextual"/>
    </w:rPr>
  </w:style>
  <w:style w:type="paragraph" w:styleId="7">
    <w:name w:val="heading 7"/>
    <w:basedOn w:val="a"/>
    <w:next w:val="a"/>
    <w:link w:val="7Char"/>
    <w:uiPriority w:val="9"/>
    <w:semiHidden/>
    <w:unhideWhenUsed/>
    <w:qFormat/>
    <w:pPr>
      <w:keepNext/>
      <w:keepLines/>
      <w:widowControl w:val="0"/>
      <w:kinsoku/>
      <w:autoSpaceDE/>
      <w:autoSpaceDN/>
      <w:adjustRightInd/>
      <w:snapToGrid/>
      <w:spacing w:before="40" w:line="278" w:lineRule="auto"/>
      <w:textAlignment w:val="auto"/>
      <w:outlineLvl w:val="6"/>
    </w:pPr>
    <w:rPr>
      <w:rFonts w:asciiTheme="minorHAnsi" w:eastAsiaTheme="minorEastAsia" w:hAnsiTheme="minorHAnsi" w:cstheme="majorBidi"/>
      <w:b/>
      <w:bCs/>
      <w:snapToGrid/>
      <w:color w:val="595959" w:themeColor="text1" w:themeTint="A6"/>
      <w:kern w:val="2"/>
      <w:sz w:val="22"/>
      <w:szCs w:val="24"/>
      <w:lang w:eastAsia="zh-CN"/>
      <w14:ligatures w14:val="standardContextual"/>
    </w:rPr>
  </w:style>
  <w:style w:type="paragraph" w:styleId="8">
    <w:name w:val="heading 8"/>
    <w:basedOn w:val="a"/>
    <w:next w:val="a"/>
    <w:link w:val="8Char"/>
    <w:uiPriority w:val="9"/>
    <w:semiHidden/>
    <w:unhideWhenUsed/>
    <w:qFormat/>
    <w:pPr>
      <w:keepNext/>
      <w:keepLines/>
      <w:widowControl w:val="0"/>
      <w:kinsoku/>
      <w:autoSpaceDE/>
      <w:autoSpaceDN/>
      <w:adjustRightInd/>
      <w:snapToGrid/>
      <w:spacing w:line="278" w:lineRule="auto"/>
      <w:textAlignment w:val="auto"/>
      <w:outlineLvl w:val="7"/>
    </w:pPr>
    <w:rPr>
      <w:rFonts w:asciiTheme="minorHAnsi" w:eastAsiaTheme="minorEastAsia" w:hAnsiTheme="minorHAnsi" w:cstheme="majorBidi"/>
      <w:snapToGrid/>
      <w:color w:val="595959" w:themeColor="text1" w:themeTint="A6"/>
      <w:kern w:val="2"/>
      <w:sz w:val="22"/>
      <w:szCs w:val="24"/>
      <w:lang w:eastAsia="zh-CN"/>
      <w14:ligatures w14:val="standardContextual"/>
    </w:rPr>
  </w:style>
  <w:style w:type="paragraph" w:styleId="9">
    <w:name w:val="heading 9"/>
    <w:basedOn w:val="a"/>
    <w:next w:val="a"/>
    <w:link w:val="9Char"/>
    <w:uiPriority w:val="9"/>
    <w:semiHidden/>
    <w:unhideWhenUsed/>
    <w:qFormat/>
    <w:pPr>
      <w:keepNext/>
      <w:keepLines/>
      <w:widowControl w:val="0"/>
      <w:kinsoku/>
      <w:autoSpaceDE/>
      <w:autoSpaceDN/>
      <w:adjustRightInd/>
      <w:snapToGrid/>
      <w:spacing w:line="278" w:lineRule="auto"/>
      <w:textAlignment w:val="auto"/>
      <w:outlineLvl w:val="8"/>
    </w:pPr>
    <w:rPr>
      <w:rFonts w:asciiTheme="minorHAnsi" w:eastAsiaTheme="majorEastAsia" w:hAnsiTheme="minorHAnsi" w:cstheme="majorBidi"/>
      <w:snapToGrid/>
      <w:color w:val="595959" w:themeColor="text1" w:themeTint="A6"/>
      <w:kern w:val="2"/>
      <w:sz w:val="22"/>
      <w:szCs w:val="24"/>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widowControl w:val="0"/>
      <w:tabs>
        <w:tab w:val="center" w:pos="4153"/>
        <w:tab w:val="right" w:pos="8306"/>
      </w:tabs>
      <w:kinsoku/>
      <w:autoSpaceDE/>
      <w:autoSpaceDN/>
      <w:adjustRightInd/>
      <w:spacing w:after="160"/>
      <w:textAlignment w:val="auto"/>
    </w:pPr>
    <w:rPr>
      <w:rFonts w:asciiTheme="minorHAnsi" w:eastAsiaTheme="minorEastAsia" w:hAnsiTheme="minorHAnsi" w:cstheme="minorBidi"/>
      <w:snapToGrid/>
      <w:color w:val="auto"/>
      <w:kern w:val="2"/>
      <w:sz w:val="18"/>
      <w:szCs w:val="18"/>
      <w:lang w:eastAsia="zh-CN"/>
      <w14:ligatures w14:val="standardContextual"/>
    </w:rPr>
  </w:style>
  <w:style w:type="paragraph" w:styleId="a5">
    <w:name w:val="header"/>
    <w:basedOn w:val="a"/>
    <w:link w:val="Char1"/>
    <w:uiPriority w:val="99"/>
    <w:unhideWhenUsed/>
    <w:qFormat/>
    <w:pPr>
      <w:widowControl w:val="0"/>
      <w:tabs>
        <w:tab w:val="center" w:pos="4153"/>
        <w:tab w:val="right" w:pos="8306"/>
      </w:tabs>
      <w:kinsoku/>
      <w:autoSpaceDE/>
      <w:autoSpaceDN/>
      <w:adjustRightInd/>
      <w:spacing w:after="160"/>
      <w:jc w:val="center"/>
      <w:textAlignment w:val="auto"/>
    </w:pPr>
    <w:rPr>
      <w:rFonts w:asciiTheme="minorHAnsi" w:eastAsiaTheme="minorEastAsia" w:hAnsiTheme="minorHAnsi" w:cstheme="minorBidi"/>
      <w:snapToGrid/>
      <w:color w:val="auto"/>
      <w:kern w:val="2"/>
      <w:sz w:val="18"/>
      <w:szCs w:val="18"/>
      <w:lang w:eastAsia="zh-CN"/>
      <w14:ligatures w14:val="standardContextual"/>
    </w:rPr>
  </w:style>
  <w:style w:type="paragraph" w:styleId="a6">
    <w:name w:val="Subtitle"/>
    <w:basedOn w:val="a"/>
    <w:next w:val="a"/>
    <w:link w:val="Char2"/>
    <w:uiPriority w:val="11"/>
    <w:qFormat/>
    <w:pPr>
      <w:widowControl w:val="0"/>
      <w:kinsoku/>
      <w:autoSpaceDE/>
      <w:autoSpaceDN/>
      <w:adjustRightInd/>
      <w:snapToGrid/>
      <w:spacing w:after="160" w:line="278" w:lineRule="auto"/>
      <w:jc w:val="center"/>
      <w:textAlignment w:val="auto"/>
    </w:pPr>
    <w:rPr>
      <w:rFonts w:asciiTheme="majorHAnsi" w:eastAsiaTheme="majorEastAsia" w:hAnsiTheme="majorHAnsi" w:cstheme="majorBidi"/>
      <w:snapToGrid/>
      <w:color w:val="595959" w:themeColor="text1" w:themeTint="A6"/>
      <w:spacing w:val="15"/>
      <w:kern w:val="2"/>
      <w:sz w:val="28"/>
      <w:szCs w:val="28"/>
      <w:lang w:eastAsia="zh-CN"/>
      <w14:ligatures w14:val="standardContextual"/>
    </w:rPr>
  </w:style>
  <w:style w:type="paragraph" w:styleId="a7">
    <w:name w:val="Title"/>
    <w:basedOn w:val="a"/>
    <w:next w:val="a"/>
    <w:link w:val="Char3"/>
    <w:uiPriority w:val="10"/>
    <w:qFormat/>
    <w:pPr>
      <w:widowControl w:val="0"/>
      <w:kinsoku/>
      <w:autoSpaceDE/>
      <w:autoSpaceDN/>
      <w:adjustRightInd/>
      <w:snapToGrid/>
      <w:spacing w:after="80"/>
      <w:contextualSpacing/>
      <w:jc w:val="center"/>
      <w:textAlignment w:val="auto"/>
    </w:pPr>
    <w:rPr>
      <w:rFonts w:asciiTheme="majorHAnsi" w:eastAsiaTheme="majorEastAsia" w:hAnsiTheme="majorHAnsi" w:cstheme="majorBidi"/>
      <w:snapToGrid/>
      <w:color w:val="auto"/>
      <w:spacing w:val="-10"/>
      <w:kern w:val="28"/>
      <w:sz w:val="56"/>
      <w:szCs w:val="56"/>
      <w:lang w:eastAsia="zh-CN"/>
      <w14:ligatures w14:val="standardContextual"/>
    </w:rPr>
  </w:style>
  <w:style w:type="character" w:styleId="a8">
    <w:name w:val="Emphasis"/>
    <w:basedOn w:val="a0"/>
    <w:uiPriority w:val="20"/>
    <w:qFormat/>
    <w:rPr>
      <w:i/>
    </w:r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3">
    <w:name w:val="标题 Char"/>
    <w:basedOn w:val="a0"/>
    <w:link w:val="a7"/>
    <w:uiPriority w:val="10"/>
    <w:qFormat/>
    <w:rPr>
      <w:rFonts w:asciiTheme="majorHAnsi" w:eastAsiaTheme="majorEastAsia" w:hAnsiTheme="majorHAnsi" w:cstheme="majorBidi"/>
      <w:spacing w:val="-10"/>
      <w:kern w:val="28"/>
      <w:sz w:val="56"/>
      <w:szCs w:val="56"/>
    </w:rPr>
  </w:style>
  <w:style w:type="character" w:customStyle="1" w:styleId="Char2">
    <w:name w:val="副标题 Char"/>
    <w:basedOn w:val="a0"/>
    <w:link w:val="a6"/>
    <w:uiPriority w:val="11"/>
    <w:qFormat/>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Char4"/>
    <w:uiPriority w:val="29"/>
    <w:qFormat/>
    <w:pPr>
      <w:widowControl w:val="0"/>
      <w:kinsoku/>
      <w:autoSpaceDE/>
      <w:autoSpaceDN/>
      <w:adjustRightInd/>
      <w:snapToGrid/>
      <w:spacing w:before="160" w:after="160" w:line="278" w:lineRule="auto"/>
      <w:jc w:val="center"/>
      <w:textAlignment w:val="auto"/>
    </w:pPr>
    <w:rPr>
      <w:rFonts w:asciiTheme="minorHAnsi" w:eastAsiaTheme="minorEastAsia" w:hAnsiTheme="minorHAnsi" w:cstheme="minorBidi"/>
      <w:i/>
      <w:iCs/>
      <w:snapToGrid/>
      <w:color w:val="404040" w:themeColor="text1" w:themeTint="BF"/>
      <w:kern w:val="2"/>
      <w:sz w:val="22"/>
      <w:szCs w:val="24"/>
      <w:lang w:eastAsia="zh-CN"/>
      <w14:ligatures w14:val="standardContextual"/>
    </w:rPr>
  </w:style>
  <w:style w:type="character" w:customStyle="1" w:styleId="Char4">
    <w:name w:val="引用 Char"/>
    <w:basedOn w:val="a0"/>
    <w:link w:val="a9"/>
    <w:uiPriority w:val="29"/>
    <w:qFormat/>
    <w:rPr>
      <w:i/>
      <w:iCs/>
      <w:color w:val="404040" w:themeColor="text1" w:themeTint="BF"/>
    </w:rPr>
  </w:style>
  <w:style w:type="paragraph" w:styleId="aa">
    <w:name w:val="List Paragraph"/>
    <w:basedOn w:val="a"/>
    <w:uiPriority w:val="34"/>
    <w:qFormat/>
    <w:pPr>
      <w:widowControl w:val="0"/>
      <w:kinsoku/>
      <w:autoSpaceDE/>
      <w:autoSpaceDN/>
      <w:adjustRightInd/>
      <w:snapToGrid/>
      <w:spacing w:after="160" w:line="278" w:lineRule="auto"/>
      <w:ind w:left="720"/>
      <w:contextualSpacing/>
      <w:textAlignment w:val="auto"/>
    </w:pPr>
    <w:rPr>
      <w:rFonts w:asciiTheme="minorHAnsi" w:eastAsiaTheme="minorEastAsia" w:hAnsiTheme="minorHAnsi" w:cstheme="minorBidi"/>
      <w:snapToGrid/>
      <w:color w:val="auto"/>
      <w:kern w:val="2"/>
      <w:sz w:val="22"/>
      <w:szCs w:val="24"/>
      <w:lang w:eastAsia="zh-CN"/>
      <w14:ligatures w14:val="standardContextual"/>
    </w:rPr>
  </w:style>
  <w:style w:type="character" w:customStyle="1" w:styleId="10">
    <w:name w:val="明显强调1"/>
    <w:basedOn w:val="a0"/>
    <w:uiPriority w:val="21"/>
    <w:qFormat/>
    <w:rPr>
      <w:i/>
      <w:iCs/>
      <w:color w:val="0F4761" w:themeColor="accent1" w:themeShade="BF"/>
    </w:rPr>
  </w:style>
  <w:style w:type="paragraph" w:styleId="ab">
    <w:name w:val="Intense Quote"/>
    <w:basedOn w:val="a"/>
    <w:next w:val="a"/>
    <w:link w:val="Char5"/>
    <w:uiPriority w:val="30"/>
    <w:qFormat/>
    <w:pPr>
      <w:widowControl w:val="0"/>
      <w:pBdr>
        <w:top w:val="single" w:sz="4" w:space="10" w:color="0F4761" w:themeColor="accent1" w:themeShade="BF"/>
        <w:bottom w:val="single" w:sz="4" w:space="10" w:color="0F4761" w:themeColor="accent1" w:themeShade="BF"/>
      </w:pBdr>
      <w:kinsoku/>
      <w:autoSpaceDE/>
      <w:autoSpaceDN/>
      <w:adjustRightInd/>
      <w:snapToGrid/>
      <w:spacing w:before="360" w:after="360" w:line="278" w:lineRule="auto"/>
      <w:ind w:left="864" w:right="864"/>
      <w:jc w:val="center"/>
      <w:textAlignment w:val="auto"/>
    </w:pPr>
    <w:rPr>
      <w:rFonts w:asciiTheme="minorHAnsi" w:eastAsiaTheme="minorEastAsia" w:hAnsiTheme="minorHAnsi" w:cstheme="minorBidi"/>
      <w:i/>
      <w:iCs/>
      <w:snapToGrid/>
      <w:color w:val="0F4761" w:themeColor="accent1" w:themeShade="BF"/>
      <w:kern w:val="2"/>
      <w:sz w:val="22"/>
      <w:szCs w:val="24"/>
      <w:lang w:eastAsia="zh-CN"/>
      <w14:ligatures w14:val="standardContextual"/>
    </w:rPr>
  </w:style>
  <w:style w:type="character" w:customStyle="1" w:styleId="Char5">
    <w:name w:val="明显引用 Char"/>
    <w:basedOn w:val="a0"/>
    <w:link w:val="ab"/>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table" w:customStyle="1" w:styleId="TableNormal">
    <w:name w:val="Table Normal"/>
    <w:semiHidden/>
    <w:unhideWhenUsed/>
    <w:qFormat/>
    <w:rPr>
      <w:rFonts w:ascii="Arial" w:hAnsi="Arial" w:cs="Arial"/>
    </w:rPr>
    <w:tblPr>
      <w:tblCellMar>
        <w:top w:w="0" w:type="dxa"/>
        <w:left w:w="0" w:type="dxa"/>
        <w:bottom w:w="0" w:type="dxa"/>
        <w:right w:w="0" w:type="dxa"/>
      </w:tblCellMar>
    </w:tblPr>
  </w:style>
  <w:style w:type="character" w:customStyle="1" w:styleId="Char">
    <w:name w:val="批注框文本 Char"/>
    <w:basedOn w:val="a0"/>
    <w:link w:val="a3"/>
    <w:uiPriority w:val="99"/>
    <w:semiHidden/>
    <w:qFormat/>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589</Words>
  <Characters>3360</Characters>
  <Application>Microsoft Office Word</Application>
  <DocSecurity>0</DocSecurity>
  <Lines>28</Lines>
  <Paragraphs>7</Paragraphs>
  <ScaleCrop>false</ScaleCrop>
  <Company>Microsoft</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成浩 张</dc:creator>
  <cp:lastModifiedBy>hsq</cp:lastModifiedBy>
  <cp:revision>19</cp:revision>
  <dcterms:created xsi:type="dcterms:W3CDTF">2026-06-12T04:03:00Z</dcterms:created>
  <dcterms:modified xsi:type="dcterms:W3CDTF">2026-06-18T07:59:00Z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eyJoZGlkIjoiYjc3NTVmODk5OWI4YTU0YmU5MTlhYzJjMjBkNzFlNmEiLCJ1c2VySWQiOiIyNDMwNTgyMjAifQ==</vt:lpwstr>
  </property>
  <property fmtid="{D5CDD505-2E9C-101B-9397-08002B2CF9AE}" pid="3" name="KSOProductBuildVer">
    <vt:lpwstr>2052-12.1.0.26895</vt:lpwstr>
  </property>
  <property fmtid="{D5CDD505-2E9C-101B-9397-08002B2CF9AE}" pid="4" name="ICV">
    <vt:lpwstr>9289B31D66FB40048AF1E66CCBE818C4_13</vt:lpwstr>
  </property>
</Properties>
</file>