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82236C" w14:textId="77777777" w:rsidR="007D2D45" w:rsidRDefault="00670C17">
      <w:pPr>
        <w:autoSpaceDE w:val="0"/>
        <w:autoSpaceDN w:val="0"/>
        <w:adjustRightInd w:val="0"/>
        <w:spacing w:line="360" w:lineRule="auto"/>
        <w:jc w:val="left"/>
        <w:rPr>
          <w:rFonts w:ascii="仿宋" w:eastAsia="仿宋" w:hAnsi="仿宋" w:cs="仿宋"/>
          <w:sz w:val="28"/>
        </w:rPr>
      </w:pPr>
      <w:bookmarkStart w:id="0" w:name="_Hlk120197828"/>
      <w:r>
        <w:rPr>
          <w:rFonts w:ascii="仿宋" w:eastAsia="仿宋" w:hAnsi="仿宋" w:cs="仿宋" w:hint="eastAsia"/>
          <w:sz w:val="28"/>
          <w:lang w:bidi="ar"/>
        </w:rPr>
        <w:t>证券代码：</w:t>
      </w:r>
      <w:r>
        <w:rPr>
          <w:rFonts w:ascii="仿宋" w:eastAsia="仿宋" w:hAnsi="仿宋" w:cs="仿宋" w:hint="eastAsia"/>
          <w:sz w:val="28"/>
          <w:lang w:bidi="ar"/>
        </w:rPr>
        <w:t xml:space="preserve">301178     </w:t>
      </w:r>
      <w:r>
        <w:rPr>
          <w:rFonts w:ascii="仿宋" w:eastAsia="仿宋" w:hAnsi="仿宋" w:cs="仿宋" w:hint="eastAsia"/>
          <w:sz w:val="28"/>
          <w:lang w:bidi="ar"/>
        </w:rPr>
        <w:t>证券简称：天亿马</w:t>
      </w:r>
      <w:r>
        <w:rPr>
          <w:rFonts w:ascii="仿宋" w:eastAsia="仿宋" w:hAnsi="仿宋" w:cs="仿宋" w:hint="eastAsia"/>
          <w:sz w:val="28"/>
          <w:lang w:bidi="ar"/>
        </w:rPr>
        <w:t xml:space="preserve">    </w:t>
      </w:r>
      <w:r>
        <w:rPr>
          <w:rFonts w:ascii="仿宋" w:eastAsia="仿宋" w:hAnsi="仿宋" w:cs="仿宋" w:hint="eastAsia"/>
          <w:sz w:val="28"/>
          <w:lang w:bidi="ar"/>
        </w:rPr>
        <w:t>公告编号：</w:t>
      </w:r>
      <w:r>
        <w:rPr>
          <w:rFonts w:ascii="仿宋" w:eastAsia="仿宋" w:hAnsi="仿宋" w:cs="仿宋" w:hint="eastAsia"/>
          <w:sz w:val="28"/>
          <w:lang w:bidi="ar"/>
        </w:rPr>
        <w:t>2026-0</w:t>
      </w:r>
      <w:r>
        <w:rPr>
          <w:rFonts w:ascii="仿宋" w:eastAsia="仿宋" w:hAnsi="仿宋" w:cs="仿宋"/>
          <w:sz w:val="28"/>
          <w:lang w:bidi="ar"/>
        </w:rPr>
        <w:t>40</w:t>
      </w:r>
    </w:p>
    <w:bookmarkEnd w:id="0"/>
    <w:p w14:paraId="72918634" w14:textId="77777777" w:rsidR="007D2D45" w:rsidRDefault="00670C17">
      <w:pPr>
        <w:spacing w:line="360" w:lineRule="auto"/>
        <w:jc w:val="center"/>
        <w:rPr>
          <w:rFonts w:ascii="黑体" w:eastAsia="黑体" w:hAnsi="宋体" w:cs="黑体"/>
          <w:sz w:val="36"/>
          <w:szCs w:val="36"/>
        </w:rPr>
      </w:pPr>
      <w:r>
        <w:rPr>
          <w:rFonts w:ascii="黑体" w:eastAsia="黑体" w:hAnsi="宋体" w:cs="黑体" w:hint="eastAsia"/>
          <w:sz w:val="36"/>
          <w:szCs w:val="36"/>
          <w:lang w:bidi="ar"/>
        </w:rPr>
        <w:t>广东天亿马信息产业股份有限公司</w:t>
      </w:r>
    </w:p>
    <w:p w14:paraId="52657E46" w14:textId="77777777" w:rsidR="007D2D45" w:rsidRDefault="00670C17">
      <w:pPr>
        <w:spacing w:line="360" w:lineRule="auto"/>
        <w:jc w:val="center"/>
        <w:rPr>
          <w:rFonts w:ascii="黑体" w:eastAsia="黑体" w:hAnsi="宋体" w:cs="黑体"/>
          <w:sz w:val="36"/>
          <w:szCs w:val="36"/>
          <w:lang w:bidi="ar"/>
        </w:rPr>
      </w:pPr>
      <w:r>
        <w:rPr>
          <w:rFonts w:ascii="黑体" w:eastAsia="黑体" w:hAnsi="宋体" w:cs="黑体" w:hint="eastAsia"/>
          <w:sz w:val="36"/>
          <w:szCs w:val="36"/>
          <w:lang w:bidi="ar"/>
        </w:rPr>
        <w:t>关于发行股份及支付现金购买资产并募集配套资金</w:t>
      </w:r>
    </w:p>
    <w:p w14:paraId="330FA4A8" w14:textId="77777777" w:rsidR="007D2D45" w:rsidRDefault="00670C17">
      <w:pPr>
        <w:spacing w:line="360" w:lineRule="auto"/>
        <w:jc w:val="center"/>
        <w:rPr>
          <w:rFonts w:ascii="黑体" w:eastAsia="黑体" w:hAnsi="宋体" w:cs="黑体"/>
          <w:sz w:val="36"/>
          <w:szCs w:val="36"/>
          <w:lang w:bidi="ar"/>
        </w:rPr>
      </w:pPr>
      <w:r>
        <w:rPr>
          <w:rFonts w:ascii="黑体" w:eastAsia="黑体" w:hAnsi="宋体" w:cs="黑体" w:hint="eastAsia"/>
          <w:sz w:val="36"/>
          <w:szCs w:val="36"/>
          <w:lang w:bidi="ar"/>
        </w:rPr>
        <w:t>报告书（草案）（三次修订稿）修订说明的公告</w:t>
      </w:r>
    </w:p>
    <w:p w14:paraId="7A2C9DF1" w14:textId="77777777" w:rsidR="007D2D45" w:rsidRDefault="007D2D45">
      <w:pPr>
        <w:spacing w:line="360" w:lineRule="auto"/>
        <w:jc w:val="center"/>
        <w:rPr>
          <w:rFonts w:ascii="黑体" w:eastAsia="黑体" w:hAnsi="宋体" w:cs="黑体"/>
          <w:sz w:val="36"/>
          <w:szCs w:val="36"/>
          <w:lang w:bidi="ar"/>
        </w:rPr>
      </w:pPr>
    </w:p>
    <w:tbl>
      <w:tblPr>
        <w:tblStyle w:val="a6"/>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8296"/>
      </w:tblGrid>
      <w:tr w:rsidR="007D2D45" w14:paraId="454B36ED" w14:textId="77777777">
        <w:tc>
          <w:tcPr>
            <w:tcW w:w="8296" w:type="dxa"/>
          </w:tcPr>
          <w:p w14:paraId="1CB42063" w14:textId="77777777" w:rsidR="007D2D45" w:rsidRDefault="00670C17">
            <w:pPr>
              <w:adjustRightInd w:val="0"/>
              <w:snapToGrid w:val="0"/>
              <w:spacing w:line="360" w:lineRule="auto"/>
              <w:ind w:firstLineChars="200" w:firstLine="560"/>
              <w:contextualSpacing/>
              <w:jc w:val="left"/>
              <w:rPr>
                <w:bCs/>
                <w:szCs w:val="21"/>
              </w:rPr>
            </w:pPr>
            <w:r>
              <w:rPr>
                <w:rFonts w:ascii="楷体" w:eastAsia="楷体" w:hAnsi="楷体" w:cs="宋体" w:hint="eastAsia"/>
                <w:sz w:val="28"/>
                <w:lang w:bidi="ar"/>
              </w:rPr>
              <w:t>本公司及董事会全体成员保证信息披露的内容真实、准确、完整，没有虚假记载、误导性陈述或重大遗漏。</w:t>
            </w:r>
          </w:p>
        </w:tc>
      </w:tr>
    </w:tbl>
    <w:p w14:paraId="71870E71" w14:textId="77777777" w:rsidR="007D2D45" w:rsidRDefault="007D2D45">
      <w:pPr>
        <w:adjustRightInd w:val="0"/>
        <w:snapToGrid w:val="0"/>
        <w:spacing w:line="360" w:lineRule="auto"/>
        <w:ind w:firstLineChars="200" w:firstLine="643"/>
        <w:contextualSpacing/>
        <w:rPr>
          <w:rFonts w:eastAsia="仿宋"/>
          <w:b/>
          <w:color w:val="000000"/>
          <w:sz w:val="32"/>
          <w:szCs w:val="32"/>
        </w:rPr>
      </w:pPr>
    </w:p>
    <w:p w14:paraId="37F6A911" w14:textId="77777777" w:rsidR="007D2D45" w:rsidRDefault="00670C17">
      <w:pPr>
        <w:snapToGrid w:val="0"/>
        <w:spacing w:line="360" w:lineRule="auto"/>
        <w:ind w:firstLineChars="200" w:firstLine="560"/>
        <w:rPr>
          <w:rFonts w:ascii="仿宋" w:eastAsia="仿宋" w:hAnsi="仿宋" w:cs="仿宋"/>
          <w:sz w:val="28"/>
          <w:szCs w:val="28"/>
        </w:rPr>
      </w:pPr>
      <w:bookmarkStart w:id="1" w:name="_Hlk120199437"/>
      <w:r>
        <w:rPr>
          <w:rFonts w:ascii="仿宋" w:eastAsia="仿宋" w:hAnsi="仿宋" w:cs="仿宋" w:hint="eastAsia"/>
          <w:sz w:val="28"/>
          <w:szCs w:val="28"/>
        </w:rPr>
        <w:t>广东天亿马信息产业股份有限公司（以下简称“公司”</w:t>
      </w:r>
      <w:r>
        <w:rPr>
          <w:rFonts w:ascii="仿宋" w:eastAsia="仿宋" w:hAnsi="仿宋" w:cs="仿宋" w:hint="eastAsia"/>
          <w:sz w:val="28"/>
          <w:szCs w:val="28"/>
        </w:rPr>
        <w:t>“上市公司”</w:t>
      </w:r>
      <w:r>
        <w:rPr>
          <w:rFonts w:ascii="仿宋" w:eastAsia="仿宋" w:hAnsi="仿宋" w:cs="仿宋" w:hint="eastAsia"/>
          <w:sz w:val="28"/>
          <w:szCs w:val="28"/>
        </w:rPr>
        <w:t>）拟通过发行股份及支付现金的方式购买广东星云开物科技股份有限公司（以下简称“标的公司”</w:t>
      </w:r>
      <w:r>
        <w:rPr>
          <w:rFonts w:ascii="仿宋" w:eastAsia="仿宋" w:hAnsi="仿宋" w:cs="仿宋" w:hint="eastAsia"/>
          <w:sz w:val="28"/>
          <w:szCs w:val="28"/>
        </w:rPr>
        <w:t>“星云开物”</w:t>
      </w:r>
      <w:r>
        <w:rPr>
          <w:rFonts w:ascii="仿宋" w:eastAsia="仿宋" w:hAnsi="仿宋" w:cs="仿宋" w:hint="eastAsia"/>
          <w:sz w:val="28"/>
          <w:szCs w:val="28"/>
        </w:rPr>
        <w:t>）</w:t>
      </w:r>
      <w:r>
        <w:rPr>
          <w:rFonts w:ascii="仿宋" w:eastAsia="仿宋" w:hAnsi="仿宋" w:cs="仿宋" w:hint="eastAsia"/>
          <w:sz w:val="28"/>
          <w:szCs w:val="28"/>
        </w:rPr>
        <w:t>98.5632%</w:t>
      </w:r>
      <w:r>
        <w:rPr>
          <w:rFonts w:ascii="仿宋" w:eastAsia="仿宋" w:hAnsi="仿宋" w:cs="仿宋" w:hint="eastAsia"/>
          <w:sz w:val="28"/>
          <w:szCs w:val="28"/>
        </w:rPr>
        <w:t>股权（以下简称“标的资产”）并募集配套资金（以下简称“本次交易”）。</w:t>
      </w:r>
      <w:bookmarkEnd w:id="1"/>
    </w:p>
    <w:p w14:paraId="43E8674B" w14:textId="77777777" w:rsidR="007D2D45" w:rsidRDefault="00670C17">
      <w:pPr>
        <w:spacing w:line="360" w:lineRule="auto"/>
        <w:ind w:firstLineChars="200" w:firstLine="560"/>
        <w:rPr>
          <w:rFonts w:ascii="仿宋" w:eastAsia="仿宋" w:hAnsi="仿宋" w:cs="仿宋"/>
          <w:sz w:val="28"/>
          <w:szCs w:val="28"/>
        </w:rPr>
      </w:pPr>
      <w:r>
        <w:rPr>
          <w:rFonts w:ascii="仿宋" w:eastAsia="仿宋" w:hAnsi="仿宋" w:cs="仿宋"/>
          <w:sz w:val="28"/>
          <w:szCs w:val="28"/>
        </w:rPr>
        <w:t>公司</w:t>
      </w:r>
      <w:r>
        <w:rPr>
          <w:rFonts w:ascii="仿宋" w:eastAsia="仿宋" w:hAnsi="仿宋" w:cs="仿宋" w:hint="eastAsia"/>
          <w:sz w:val="28"/>
          <w:szCs w:val="28"/>
        </w:rPr>
        <w:t>近期</w:t>
      </w:r>
      <w:r>
        <w:rPr>
          <w:rFonts w:ascii="仿宋" w:eastAsia="仿宋" w:hAnsi="仿宋" w:cs="仿宋"/>
          <w:sz w:val="28"/>
          <w:szCs w:val="28"/>
        </w:rPr>
        <w:t>已实施完成</w:t>
      </w:r>
      <w:r>
        <w:rPr>
          <w:rFonts w:ascii="仿宋" w:eastAsia="仿宋" w:hAnsi="仿宋" w:cs="仿宋" w:hint="eastAsia"/>
          <w:sz w:val="28"/>
          <w:szCs w:val="28"/>
        </w:rPr>
        <w:t>2025</w:t>
      </w:r>
      <w:r>
        <w:rPr>
          <w:rFonts w:ascii="仿宋" w:eastAsia="仿宋" w:hAnsi="仿宋" w:cs="仿宋"/>
          <w:sz w:val="28"/>
          <w:szCs w:val="28"/>
        </w:rPr>
        <w:t>年年度权益分派，</w:t>
      </w:r>
      <w:r>
        <w:rPr>
          <w:rFonts w:ascii="仿宋" w:eastAsia="仿宋" w:hAnsi="仿宋" w:cs="仿宋" w:hint="eastAsia"/>
          <w:sz w:val="28"/>
          <w:szCs w:val="28"/>
        </w:rPr>
        <w:t>根据本次交易方案，</w:t>
      </w:r>
      <w:r>
        <w:rPr>
          <w:rFonts w:ascii="仿宋" w:eastAsia="仿宋" w:hAnsi="仿宋" w:cs="仿宋"/>
          <w:sz w:val="28"/>
          <w:szCs w:val="28"/>
        </w:rPr>
        <w:t>公司对本次发行股份及支付现金购买资产的股份发行价格进行</w:t>
      </w:r>
      <w:r>
        <w:rPr>
          <w:rFonts w:ascii="仿宋" w:eastAsia="仿宋" w:hAnsi="仿宋" w:cs="仿宋" w:hint="eastAsia"/>
          <w:sz w:val="28"/>
          <w:szCs w:val="28"/>
        </w:rPr>
        <w:t>除权</w:t>
      </w:r>
      <w:r>
        <w:rPr>
          <w:rFonts w:ascii="仿宋" w:eastAsia="仿宋" w:hAnsi="仿宋" w:cs="仿宋"/>
          <w:sz w:val="28"/>
          <w:szCs w:val="28"/>
        </w:rPr>
        <w:t>除息，</w:t>
      </w:r>
      <w:r>
        <w:rPr>
          <w:rFonts w:ascii="仿宋" w:eastAsia="仿宋" w:hAnsi="仿宋" w:cs="仿宋" w:hint="eastAsia"/>
          <w:sz w:val="28"/>
          <w:szCs w:val="28"/>
        </w:rPr>
        <w:t>发行价格及发行数量相应调整。调整后，本次交易</w:t>
      </w:r>
      <w:r>
        <w:rPr>
          <w:rFonts w:ascii="仿宋" w:eastAsia="仿宋" w:hAnsi="仿宋" w:cs="仿宋"/>
          <w:sz w:val="28"/>
          <w:szCs w:val="28"/>
        </w:rPr>
        <w:t>发行股份购买资产</w:t>
      </w:r>
      <w:r>
        <w:rPr>
          <w:rFonts w:ascii="仿宋" w:eastAsia="仿宋" w:hAnsi="仿宋" w:cs="仿宋" w:hint="eastAsia"/>
          <w:sz w:val="28"/>
          <w:szCs w:val="28"/>
        </w:rPr>
        <w:t>的股份</w:t>
      </w:r>
      <w:r>
        <w:rPr>
          <w:rFonts w:ascii="仿宋" w:eastAsia="仿宋" w:hAnsi="仿宋" w:cs="仿宋"/>
          <w:sz w:val="28"/>
          <w:szCs w:val="28"/>
        </w:rPr>
        <w:t>发行价格由</w:t>
      </w:r>
      <w:r>
        <w:rPr>
          <w:rFonts w:ascii="仿宋" w:eastAsia="仿宋" w:hAnsi="仿宋" w:cs="仿宋"/>
          <w:sz w:val="28"/>
          <w:szCs w:val="28"/>
        </w:rPr>
        <w:t>26.76</w:t>
      </w:r>
      <w:r>
        <w:rPr>
          <w:rFonts w:ascii="仿宋" w:eastAsia="仿宋" w:hAnsi="仿宋" w:cs="仿宋"/>
          <w:sz w:val="28"/>
          <w:szCs w:val="28"/>
        </w:rPr>
        <w:t>元</w:t>
      </w:r>
      <w:r>
        <w:rPr>
          <w:rFonts w:ascii="仿宋" w:eastAsia="仿宋" w:hAnsi="仿宋" w:cs="仿宋"/>
          <w:sz w:val="28"/>
          <w:szCs w:val="28"/>
        </w:rPr>
        <w:t>/</w:t>
      </w:r>
      <w:r>
        <w:rPr>
          <w:rFonts w:ascii="仿宋" w:eastAsia="仿宋" w:hAnsi="仿宋" w:cs="仿宋"/>
          <w:sz w:val="28"/>
          <w:szCs w:val="28"/>
        </w:rPr>
        <w:t>股调整为</w:t>
      </w:r>
      <w:r>
        <w:rPr>
          <w:rFonts w:ascii="仿宋" w:eastAsia="仿宋" w:hAnsi="仿宋" w:cs="仿宋"/>
          <w:sz w:val="28"/>
          <w:szCs w:val="28"/>
        </w:rPr>
        <w:t>19.18</w:t>
      </w:r>
      <w:r>
        <w:rPr>
          <w:rFonts w:ascii="仿宋" w:eastAsia="仿宋" w:hAnsi="仿宋" w:cs="仿宋"/>
          <w:sz w:val="28"/>
          <w:szCs w:val="28"/>
        </w:rPr>
        <w:t>元</w:t>
      </w:r>
      <w:r>
        <w:rPr>
          <w:rFonts w:ascii="仿宋" w:eastAsia="仿宋" w:hAnsi="仿宋" w:cs="仿宋"/>
          <w:sz w:val="28"/>
          <w:szCs w:val="28"/>
        </w:rPr>
        <w:t>/</w:t>
      </w:r>
      <w:r>
        <w:rPr>
          <w:rFonts w:ascii="仿宋" w:eastAsia="仿宋" w:hAnsi="仿宋" w:cs="仿宋"/>
          <w:sz w:val="28"/>
          <w:szCs w:val="28"/>
        </w:rPr>
        <w:t>股，发行数量相应由</w:t>
      </w:r>
      <w:r>
        <w:rPr>
          <w:rFonts w:ascii="仿宋" w:eastAsia="仿宋" w:hAnsi="仿宋" w:cs="仿宋"/>
          <w:sz w:val="28"/>
          <w:szCs w:val="28"/>
        </w:rPr>
        <w:t>21,762,605</w:t>
      </w:r>
      <w:r>
        <w:rPr>
          <w:rFonts w:ascii="仿宋" w:eastAsia="仿宋" w:hAnsi="仿宋" w:cs="仿宋"/>
          <w:sz w:val="28"/>
          <w:szCs w:val="28"/>
        </w:rPr>
        <w:t>股调整为</w:t>
      </w:r>
      <w:r>
        <w:rPr>
          <w:rFonts w:ascii="仿宋" w:eastAsia="仿宋" w:hAnsi="仿宋" w:cs="仿宋"/>
          <w:sz w:val="28"/>
          <w:szCs w:val="28"/>
        </w:rPr>
        <w:t>30,363,264</w:t>
      </w:r>
      <w:r>
        <w:rPr>
          <w:rFonts w:ascii="仿宋" w:eastAsia="仿宋" w:hAnsi="仿宋" w:cs="仿宋"/>
          <w:sz w:val="28"/>
          <w:szCs w:val="28"/>
        </w:rPr>
        <w:t>股，募集配套资金</w:t>
      </w:r>
      <w:r>
        <w:rPr>
          <w:rFonts w:ascii="仿宋" w:eastAsia="仿宋" w:hAnsi="仿宋" w:cs="仿宋" w:hint="eastAsia"/>
          <w:sz w:val="28"/>
          <w:szCs w:val="28"/>
        </w:rPr>
        <w:t>的股份发行价格由</w:t>
      </w:r>
      <w:r>
        <w:rPr>
          <w:rFonts w:ascii="仿宋" w:eastAsia="仿宋" w:hAnsi="仿宋" w:cs="仿宋"/>
          <w:sz w:val="28"/>
          <w:szCs w:val="28"/>
        </w:rPr>
        <w:t>32.74</w:t>
      </w:r>
      <w:r>
        <w:rPr>
          <w:rFonts w:ascii="仿宋" w:eastAsia="仿宋" w:hAnsi="仿宋" w:cs="仿宋"/>
          <w:sz w:val="28"/>
          <w:szCs w:val="28"/>
        </w:rPr>
        <w:t>元</w:t>
      </w:r>
      <w:r>
        <w:rPr>
          <w:rFonts w:ascii="仿宋" w:eastAsia="仿宋" w:hAnsi="仿宋" w:cs="仿宋"/>
          <w:sz w:val="28"/>
          <w:szCs w:val="28"/>
        </w:rPr>
        <w:t>/</w:t>
      </w:r>
      <w:r>
        <w:rPr>
          <w:rFonts w:ascii="仿宋" w:eastAsia="仿宋" w:hAnsi="仿宋" w:cs="仿宋"/>
          <w:sz w:val="28"/>
          <w:szCs w:val="28"/>
        </w:rPr>
        <w:t>股调整为</w:t>
      </w:r>
      <w:r>
        <w:rPr>
          <w:rFonts w:ascii="仿宋" w:eastAsia="仿宋" w:hAnsi="仿宋" w:cs="仿宋"/>
          <w:sz w:val="28"/>
          <w:szCs w:val="28"/>
        </w:rPr>
        <w:t>23.48</w:t>
      </w:r>
      <w:r>
        <w:rPr>
          <w:rFonts w:ascii="仿宋" w:eastAsia="仿宋" w:hAnsi="仿宋" w:cs="仿宋"/>
          <w:sz w:val="28"/>
          <w:szCs w:val="28"/>
        </w:rPr>
        <w:t>元</w:t>
      </w:r>
      <w:r>
        <w:rPr>
          <w:rFonts w:ascii="仿宋" w:eastAsia="仿宋" w:hAnsi="仿宋" w:cs="仿宋"/>
          <w:sz w:val="28"/>
          <w:szCs w:val="28"/>
        </w:rPr>
        <w:t>/</w:t>
      </w:r>
      <w:r>
        <w:rPr>
          <w:rFonts w:ascii="仿宋" w:eastAsia="仿宋" w:hAnsi="仿宋" w:cs="仿宋"/>
          <w:sz w:val="28"/>
          <w:szCs w:val="28"/>
        </w:rPr>
        <w:t>股</w:t>
      </w:r>
      <w:r>
        <w:rPr>
          <w:rFonts w:ascii="仿宋" w:eastAsia="仿宋" w:hAnsi="仿宋" w:cs="仿宋" w:hint="eastAsia"/>
          <w:sz w:val="28"/>
          <w:szCs w:val="28"/>
        </w:rPr>
        <w:t>，发行数量</w:t>
      </w:r>
      <w:r>
        <w:rPr>
          <w:rFonts w:ascii="仿宋" w:eastAsia="仿宋" w:hAnsi="仿宋" w:cs="仿宋"/>
          <w:sz w:val="28"/>
          <w:szCs w:val="28"/>
        </w:rPr>
        <w:t>由</w:t>
      </w:r>
      <w:r>
        <w:rPr>
          <w:rFonts w:ascii="仿宋" w:eastAsia="仿宋" w:hAnsi="仿宋" w:cs="仿宋" w:hint="eastAsia"/>
          <w:sz w:val="28"/>
          <w:szCs w:val="28"/>
        </w:rPr>
        <w:t>不超过</w:t>
      </w:r>
      <w:r>
        <w:rPr>
          <w:rFonts w:ascii="仿宋" w:eastAsia="仿宋" w:hAnsi="仿宋" w:cs="仿宋"/>
          <w:sz w:val="28"/>
          <w:szCs w:val="28"/>
        </w:rPr>
        <w:t>4,734,270</w:t>
      </w:r>
      <w:r>
        <w:rPr>
          <w:rFonts w:ascii="仿宋" w:eastAsia="仿宋" w:hAnsi="仿宋" w:cs="仿宋"/>
          <w:sz w:val="28"/>
          <w:szCs w:val="28"/>
        </w:rPr>
        <w:t>股调整为</w:t>
      </w:r>
      <w:r>
        <w:rPr>
          <w:rFonts w:ascii="仿宋" w:eastAsia="仿宋" w:hAnsi="仿宋" w:cs="仿宋" w:hint="eastAsia"/>
          <w:sz w:val="28"/>
          <w:szCs w:val="28"/>
        </w:rPr>
        <w:t>不超过</w:t>
      </w:r>
      <w:r>
        <w:rPr>
          <w:rFonts w:ascii="仿宋" w:eastAsia="仿宋" w:hAnsi="仿宋" w:cs="仿宋"/>
          <w:sz w:val="28"/>
          <w:szCs w:val="28"/>
        </w:rPr>
        <w:t>6,601,362</w:t>
      </w:r>
      <w:r>
        <w:rPr>
          <w:rFonts w:ascii="仿宋" w:eastAsia="仿宋" w:hAnsi="仿宋" w:cs="仿宋"/>
          <w:sz w:val="28"/>
          <w:szCs w:val="28"/>
        </w:rPr>
        <w:t>股</w:t>
      </w:r>
      <w:r>
        <w:rPr>
          <w:rFonts w:ascii="仿宋" w:eastAsia="仿宋" w:hAnsi="仿宋" w:cs="仿宋" w:hint="eastAsia"/>
          <w:sz w:val="28"/>
          <w:szCs w:val="28"/>
        </w:rPr>
        <w:t>。具体内容详见公司于</w:t>
      </w:r>
      <w:r>
        <w:rPr>
          <w:rFonts w:ascii="仿宋" w:eastAsia="仿宋" w:hAnsi="仿宋" w:cs="仿宋" w:hint="eastAsia"/>
          <w:sz w:val="28"/>
          <w:szCs w:val="28"/>
        </w:rPr>
        <w:t>2</w:t>
      </w:r>
      <w:r>
        <w:rPr>
          <w:rFonts w:ascii="仿宋" w:eastAsia="仿宋" w:hAnsi="仿宋" w:cs="仿宋"/>
          <w:sz w:val="28"/>
          <w:szCs w:val="28"/>
        </w:rPr>
        <w:t>026</w:t>
      </w:r>
      <w:r>
        <w:rPr>
          <w:rFonts w:ascii="仿宋" w:eastAsia="仿宋" w:hAnsi="仿宋" w:cs="仿宋" w:hint="eastAsia"/>
          <w:sz w:val="28"/>
          <w:szCs w:val="28"/>
        </w:rPr>
        <w:t>年</w:t>
      </w:r>
      <w:r>
        <w:rPr>
          <w:rFonts w:ascii="仿宋" w:eastAsia="仿宋" w:hAnsi="仿宋" w:cs="仿宋" w:hint="eastAsia"/>
          <w:sz w:val="28"/>
          <w:szCs w:val="28"/>
        </w:rPr>
        <w:t>6</w:t>
      </w:r>
      <w:r>
        <w:rPr>
          <w:rFonts w:ascii="仿宋" w:eastAsia="仿宋" w:hAnsi="仿宋" w:cs="仿宋" w:hint="eastAsia"/>
          <w:sz w:val="28"/>
          <w:szCs w:val="28"/>
        </w:rPr>
        <w:t>月</w:t>
      </w:r>
      <w:r>
        <w:rPr>
          <w:rFonts w:ascii="仿宋" w:eastAsia="仿宋" w:hAnsi="仿宋" w:cs="仿宋" w:hint="eastAsia"/>
          <w:sz w:val="28"/>
          <w:szCs w:val="28"/>
        </w:rPr>
        <w:t>1</w:t>
      </w:r>
      <w:r>
        <w:rPr>
          <w:rFonts w:ascii="仿宋" w:eastAsia="仿宋" w:hAnsi="仿宋" w:cs="仿宋"/>
          <w:sz w:val="28"/>
          <w:szCs w:val="28"/>
        </w:rPr>
        <w:t>8</w:t>
      </w:r>
      <w:r>
        <w:rPr>
          <w:rFonts w:ascii="仿宋" w:eastAsia="仿宋" w:hAnsi="仿宋" w:cs="仿宋" w:hint="eastAsia"/>
          <w:sz w:val="28"/>
          <w:szCs w:val="28"/>
        </w:rPr>
        <w:t>日发布于巨潮资讯网等法定信息披露媒体的《广东天亿马信息产业股份有限公司关于实施</w:t>
      </w:r>
      <w:r>
        <w:rPr>
          <w:rFonts w:ascii="仿宋" w:eastAsia="仿宋" w:hAnsi="仿宋" w:cs="仿宋" w:hint="eastAsia"/>
          <w:sz w:val="28"/>
          <w:szCs w:val="28"/>
        </w:rPr>
        <w:t>2025</w:t>
      </w:r>
      <w:r>
        <w:rPr>
          <w:rFonts w:ascii="仿宋" w:eastAsia="仿宋" w:hAnsi="仿宋" w:cs="仿宋" w:hint="eastAsia"/>
          <w:sz w:val="28"/>
          <w:szCs w:val="28"/>
        </w:rPr>
        <w:t>年年度权益分派后本次重组所涉发行股份购买资产及募集配套资金的股份发行价格及发行数量调整的公告》（公告编号：</w:t>
      </w:r>
      <w:r>
        <w:rPr>
          <w:rFonts w:ascii="仿宋" w:eastAsia="仿宋" w:hAnsi="仿宋" w:cs="仿宋" w:hint="eastAsia"/>
          <w:sz w:val="28"/>
          <w:szCs w:val="28"/>
        </w:rPr>
        <w:t>2</w:t>
      </w:r>
      <w:r>
        <w:rPr>
          <w:rFonts w:ascii="仿宋" w:eastAsia="仿宋" w:hAnsi="仿宋" w:cs="仿宋"/>
          <w:sz w:val="28"/>
          <w:szCs w:val="28"/>
        </w:rPr>
        <w:t>026-036</w:t>
      </w:r>
      <w:r>
        <w:rPr>
          <w:rFonts w:ascii="仿宋" w:eastAsia="仿宋" w:hAnsi="仿宋" w:cs="仿宋" w:hint="eastAsia"/>
          <w:sz w:val="28"/>
          <w:szCs w:val="28"/>
        </w:rPr>
        <w:t>）。</w:t>
      </w:r>
    </w:p>
    <w:p w14:paraId="582B53E2" w14:textId="77777777" w:rsidR="007D2D45" w:rsidRDefault="00670C17">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同时，</w:t>
      </w:r>
      <w:r>
        <w:rPr>
          <w:rFonts w:ascii="仿宋" w:eastAsia="仿宋" w:hAnsi="仿宋" w:cs="仿宋" w:hint="eastAsia"/>
          <w:sz w:val="28"/>
          <w:szCs w:val="28"/>
        </w:rPr>
        <w:t>鉴于金证（上海）资产评估有限公司（以下简称“金证评估”）出具的以</w:t>
      </w:r>
      <w:r>
        <w:rPr>
          <w:rFonts w:ascii="仿宋" w:eastAsia="仿宋" w:hAnsi="仿宋" w:cs="仿宋" w:hint="eastAsia"/>
          <w:sz w:val="28"/>
          <w:szCs w:val="28"/>
        </w:rPr>
        <w:t>2025</w:t>
      </w:r>
      <w:r>
        <w:rPr>
          <w:rFonts w:ascii="仿宋" w:eastAsia="仿宋" w:hAnsi="仿宋" w:cs="仿宋" w:hint="eastAsia"/>
          <w:sz w:val="28"/>
          <w:szCs w:val="28"/>
        </w:rPr>
        <w:t>年</w:t>
      </w:r>
      <w:r>
        <w:rPr>
          <w:rFonts w:ascii="仿宋" w:eastAsia="仿宋" w:hAnsi="仿宋" w:cs="仿宋" w:hint="eastAsia"/>
          <w:sz w:val="28"/>
          <w:szCs w:val="28"/>
        </w:rPr>
        <w:t>6</w:t>
      </w:r>
      <w:r>
        <w:rPr>
          <w:rFonts w:ascii="仿宋" w:eastAsia="仿宋" w:hAnsi="仿宋" w:cs="仿宋" w:hint="eastAsia"/>
          <w:sz w:val="28"/>
          <w:szCs w:val="28"/>
        </w:rPr>
        <w:t>月</w:t>
      </w:r>
      <w:r>
        <w:rPr>
          <w:rFonts w:ascii="仿宋" w:eastAsia="仿宋" w:hAnsi="仿宋" w:cs="仿宋" w:hint="eastAsia"/>
          <w:sz w:val="28"/>
          <w:szCs w:val="28"/>
        </w:rPr>
        <w:t>30</w:t>
      </w:r>
      <w:r>
        <w:rPr>
          <w:rFonts w:ascii="仿宋" w:eastAsia="仿宋" w:hAnsi="仿宋" w:cs="仿宋" w:hint="eastAsia"/>
          <w:sz w:val="28"/>
          <w:szCs w:val="28"/>
        </w:rPr>
        <w:t>日为评估基准日的资产评估报告即将超过一年有效期，为保持深圳证券交易所审查期间评估资料的有效性，维护上市公司及全体股东的利益，公司委托金证评估以</w:t>
      </w:r>
      <w:r>
        <w:rPr>
          <w:rFonts w:ascii="仿宋" w:eastAsia="仿宋" w:hAnsi="仿宋" w:cs="仿宋" w:hint="eastAsia"/>
          <w:sz w:val="28"/>
          <w:szCs w:val="28"/>
        </w:rPr>
        <w:t>2025</w:t>
      </w:r>
      <w:r>
        <w:rPr>
          <w:rFonts w:ascii="仿宋" w:eastAsia="仿宋" w:hAnsi="仿宋" w:cs="仿宋" w:hint="eastAsia"/>
          <w:sz w:val="28"/>
          <w:szCs w:val="28"/>
        </w:rPr>
        <w:t>年</w:t>
      </w:r>
      <w:r>
        <w:rPr>
          <w:rFonts w:ascii="仿宋" w:eastAsia="仿宋" w:hAnsi="仿宋" w:cs="仿宋" w:hint="eastAsia"/>
          <w:sz w:val="28"/>
          <w:szCs w:val="28"/>
        </w:rPr>
        <w:t>12</w:t>
      </w:r>
      <w:r>
        <w:rPr>
          <w:rFonts w:ascii="仿宋" w:eastAsia="仿宋" w:hAnsi="仿宋" w:cs="仿宋" w:hint="eastAsia"/>
          <w:sz w:val="28"/>
          <w:szCs w:val="28"/>
        </w:rPr>
        <w:t>月</w:t>
      </w:r>
      <w:r>
        <w:rPr>
          <w:rFonts w:ascii="仿宋" w:eastAsia="仿宋" w:hAnsi="仿宋" w:cs="仿宋" w:hint="eastAsia"/>
          <w:sz w:val="28"/>
          <w:szCs w:val="28"/>
        </w:rPr>
        <w:t>31</w:t>
      </w:r>
      <w:r>
        <w:rPr>
          <w:rFonts w:ascii="仿宋" w:eastAsia="仿宋" w:hAnsi="仿宋" w:cs="仿宋" w:hint="eastAsia"/>
          <w:sz w:val="28"/>
          <w:szCs w:val="28"/>
        </w:rPr>
        <w:t>日为基准日，对星云开物进行了加期评估，并出具加期《广东天亿马信息产业股份有限公司拟发行股份及支付现金购买资产所涉及的广东星云开物科技股份有限公司股东全部权益价值资产评估报告》。</w:t>
      </w:r>
      <w:r>
        <w:rPr>
          <w:rFonts w:ascii="仿宋" w:eastAsia="仿宋" w:hAnsi="仿宋" w:cs="仿宋" w:hint="eastAsia"/>
          <w:sz w:val="28"/>
          <w:szCs w:val="28"/>
        </w:rPr>
        <w:t>根据评估报告，</w:t>
      </w:r>
      <w:r>
        <w:rPr>
          <w:rFonts w:ascii="仿宋" w:eastAsia="仿宋" w:hAnsi="仿宋" w:cs="仿宋" w:hint="eastAsia"/>
          <w:sz w:val="28"/>
          <w:szCs w:val="28"/>
        </w:rPr>
        <w:t>公司对重组报告书进行了相应修订与更新</w:t>
      </w:r>
      <w:r>
        <w:rPr>
          <w:rFonts w:ascii="仿宋" w:eastAsia="仿宋" w:hAnsi="仿宋" w:cs="仿宋" w:hint="eastAsia"/>
          <w:sz w:val="28"/>
          <w:szCs w:val="28"/>
        </w:rPr>
        <w:t>。</w:t>
      </w:r>
    </w:p>
    <w:p w14:paraId="1E2A8C0B" w14:textId="77777777" w:rsidR="007D2D45" w:rsidRDefault="00670C17">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公司于</w:t>
      </w:r>
      <w:r>
        <w:rPr>
          <w:rFonts w:ascii="仿宋" w:eastAsia="仿宋" w:hAnsi="仿宋" w:cs="仿宋" w:hint="eastAsia"/>
          <w:sz w:val="28"/>
          <w:szCs w:val="28"/>
        </w:rPr>
        <w:t>2026</w:t>
      </w:r>
      <w:r>
        <w:rPr>
          <w:rFonts w:ascii="仿宋" w:eastAsia="仿宋" w:hAnsi="仿宋" w:cs="仿宋" w:hint="eastAsia"/>
          <w:sz w:val="28"/>
          <w:szCs w:val="28"/>
        </w:rPr>
        <w:t>年</w:t>
      </w:r>
      <w:r>
        <w:rPr>
          <w:rFonts w:ascii="仿宋" w:eastAsia="仿宋" w:hAnsi="仿宋" w:cs="仿宋" w:hint="eastAsia"/>
          <w:sz w:val="28"/>
          <w:szCs w:val="28"/>
        </w:rPr>
        <w:t>6</w:t>
      </w:r>
      <w:r>
        <w:rPr>
          <w:rFonts w:ascii="仿宋" w:eastAsia="仿宋" w:hAnsi="仿宋" w:cs="仿宋" w:hint="eastAsia"/>
          <w:sz w:val="28"/>
          <w:szCs w:val="28"/>
        </w:rPr>
        <w:t>月</w:t>
      </w:r>
      <w:r>
        <w:rPr>
          <w:rFonts w:ascii="仿宋" w:eastAsia="仿宋" w:hAnsi="仿宋" w:cs="仿宋" w:hint="eastAsia"/>
          <w:sz w:val="28"/>
          <w:szCs w:val="28"/>
        </w:rPr>
        <w:t>30</w:t>
      </w:r>
      <w:r>
        <w:rPr>
          <w:rFonts w:ascii="仿宋" w:eastAsia="仿宋" w:hAnsi="仿宋" w:cs="仿宋" w:hint="eastAsia"/>
          <w:sz w:val="28"/>
          <w:szCs w:val="28"/>
        </w:rPr>
        <w:t>日召开</w:t>
      </w:r>
      <w:r>
        <w:rPr>
          <w:rFonts w:ascii="仿宋" w:eastAsia="仿宋" w:hAnsi="仿宋" w:cs="仿宋" w:hint="eastAsia"/>
          <w:sz w:val="28"/>
          <w:szCs w:val="28"/>
        </w:rPr>
        <w:t>第四届董事会审计委员会第八次会议、第四届董事会第三次独立董事专门会议和</w:t>
      </w:r>
      <w:r>
        <w:rPr>
          <w:rFonts w:ascii="仿宋" w:eastAsia="仿宋" w:hAnsi="仿宋" w:cs="仿宋" w:hint="eastAsia"/>
          <w:sz w:val="28"/>
          <w:szCs w:val="28"/>
        </w:rPr>
        <w:t>第四届董事会第九次会议，</w:t>
      </w:r>
      <w:r>
        <w:rPr>
          <w:rFonts w:ascii="仿宋" w:eastAsia="仿宋" w:hAnsi="仿宋" w:cs="仿宋" w:hint="eastAsia"/>
          <w:sz w:val="28"/>
          <w:szCs w:val="28"/>
        </w:rPr>
        <w:t>审议通过了</w:t>
      </w:r>
      <w:r>
        <w:rPr>
          <w:rFonts w:ascii="仿宋" w:eastAsia="仿宋" w:hAnsi="仿宋" w:cs="仿宋" w:hint="eastAsia"/>
          <w:sz w:val="28"/>
          <w:szCs w:val="28"/>
        </w:rPr>
        <w:t>《关于</w:t>
      </w:r>
      <w:r>
        <w:rPr>
          <w:rFonts w:ascii="仿宋" w:eastAsia="仿宋" w:hAnsi="仿宋" w:cs="仿宋" w:hint="eastAsia"/>
          <w:sz w:val="28"/>
          <w:szCs w:val="28"/>
        </w:rPr>
        <w:t>&lt;</w:t>
      </w:r>
      <w:r>
        <w:rPr>
          <w:rFonts w:ascii="仿宋" w:eastAsia="仿宋" w:hAnsi="仿宋" w:cs="仿宋" w:hint="eastAsia"/>
          <w:sz w:val="28"/>
          <w:szCs w:val="28"/>
        </w:rPr>
        <w:t>广东天亿马信息产业股份有限公司发行股份及支付现金购买资产并募集配套资金报告书（草案）（三次修订稿）</w:t>
      </w:r>
      <w:r>
        <w:rPr>
          <w:rFonts w:ascii="仿宋" w:eastAsia="仿宋" w:hAnsi="仿宋" w:cs="仿宋" w:hint="eastAsia"/>
          <w:sz w:val="28"/>
          <w:szCs w:val="28"/>
        </w:rPr>
        <w:t>&gt;</w:t>
      </w:r>
      <w:r>
        <w:rPr>
          <w:rFonts w:ascii="仿宋" w:eastAsia="仿宋" w:hAnsi="仿宋" w:cs="仿宋" w:hint="eastAsia"/>
          <w:sz w:val="28"/>
          <w:szCs w:val="28"/>
        </w:rPr>
        <w:t>及其摘要的议案》等与本次交易相</w:t>
      </w:r>
      <w:r>
        <w:rPr>
          <w:rFonts w:ascii="仿宋" w:eastAsia="仿宋" w:hAnsi="仿宋" w:cs="仿宋" w:hint="eastAsia"/>
          <w:sz w:val="28"/>
          <w:szCs w:val="28"/>
        </w:rPr>
        <w:t>关的议案，具体内容详见与本公告同时披露的相关公告。</w:t>
      </w:r>
    </w:p>
    <w:p w14:paraId="608B1467" w14:textId="77777777" w:rsidR="007D2D45" w:rsidRDefault="00670C17">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重组报告书主要修订内容如下（如无特别说明，本修订说明公告中的简称或名词的释义与重组报告书中的简称或名词的释义具有相同含义）：</w:t>
      </w:r>
    </w:p>
    <w:tbl>
      <w:tblPr>
        <w:tblW w:w="5000" w:type="pct"/>
        <w:jc w:val="center"/>
        <w:tblBorders>
          <w:top w:val="single" w:sz="12" w:space="0" w:color="010000"/>
          <w:left w:val="single" w:sz="12" w:space="0" w:color="010000"/>
          <w:bottom w:val="single" w:sz="12" w:space="0" w:color="010000"/>
          <w:right w:val="single" w:sz="12" w:space="0" w:color="010000"/>
          <w:insideH w:val="single" w:sz="4" w:space="0" w:color="010000"/>
          <w:insideV w:val="single" w:sz="4" w:space="0" w:color="010000"/>
        </w:tblBorders>
        <w:tblLook w:val="04A0" w:firstRow="1" w:lastRow="0" w:firstColumn="1" w:lastColumn="0" w:noHBand="0" w:noVBand="1"/>
      </w:tblPr>
      <w:tblGrid>
        <w:gridCol w:w="3508"/>
        <w:gridCol w:w="5014"/>
      </w:tblGrid>
      <w:tr w:rsidR="007D2D45" w14:paraId="11806865" w14:textId="77777777" w:rsidTr="00564CD3">
        <w:trPr>
          <w:cantSplit/>
          <w:trHeight w:val="397"/>
          <w:tblHeader/>
          <w:jc w:val="center"/>
        </w:trPr>
        <w:tc>
          <w:tcPr>
            <w:tcW w:w="2058" w:type="pct"/>
            <w:tcBorders>
              <w:top w:val="single" w:sz="12" w:space="0" w:color="010000"/>
              <w:bottom w:val="single" w:sz="4" w:space="0" w:color="010000"/>
            </w:tcBorders>
            <w:vAlign w:val="center"/>
          </w:tcPr>
          <w:p w14:paraId="573842B0" w14:textId="77777777" w:rsidR="007D2D45" w:rsidRDefault="00670C17">
            <w:pPr>
              <w:keepNext/>
              <w:jc w:val="center"/>
              <w:rPr>
                <w:rFonts w:ascii="仿宋" w:eastAsia="仿宋" w:hAnsi="仿宋" w:cs="仿宋"/>
                <w:b/>
                <w:snapToGrid w:val="0"/>
                <w:color w:val="000000"/>
                <w:sz w:val="24"/>
                <w:szCs w:val="24"/>
              </w:rPr>
            </w:pPr>
            <w:r>
              <w:rPr>
                <w:rFonts w:ascii="仿宋" w:eastAsia="仿宋" w:hAnsi="仿宋" w:cs="仿宋" w:hint="eastAsia"/>
                <w:b/>
                <w:snapToGrid w:val="0"/>
                <w:color w:val="000000"/>
                <w:sz w:val="24"/>
                <w:szCs w:val="24"/>
              </w:rPr>
              <w:t>重组报告书章节</w:t>
            </w:r>
          </w:p>
        </w:tc>
        <w:tc>
          <w:tcPr>
            <w:tcW w:w="2942" w:type="pct"/>
            <w:tcBorders>
              <w:top w:val="single" w:sz="12" w:space="0" w:color="010000"/>
              <w:bottom w:val="single" w:sz="4" w:space="0" w:color="010000"/>
            </w:tcBorders>
            <w:vAlign w:val="center"/>
          </w:tcPr>
          <w:p w14:paraId="0E7DF72E" w14:textId="77777777" w:rsidR="007D2D45" w:rsidRDefault="00670C17">
            <w:pPr>
              <w:keepNext/>
              <w:jc w:val="center"/>
              <w:rPr>
                <w:rFonts w:ascii="仿宋" w:eastAsia="仿宋" w:hAnsi="仿宋" w:cs="仿宋"/>
                <w:b/>
                <w:snapToGrid w:val="0"/>
                <w:color w:val="000000"/>
                <w:sz w:val="24"/>
                <w:szCs w:val="24"/>
              </w:rPr>
            </w:pPr>
            <w:r>
              <w:rPr>
                <w:rFonts w:ascii="仿宋" w:eastAsia="仿宋" w:hAnsi="仿宋" w:cs="仿宋" w:hint="eastAsia"/>
                <w:b/>
                <w:snapToGrid w:val="0"/>
                <w:color w:val="000000"/>
                <w:sz w:val="24"/>
                <w:szCs w:val="24"/>
              </w:rPr>
              <w:t>修订内容</w:t>
            </w:r>
          </w:p>
        </w:tc>
      </w:tr>
      <w:tr w:rsidR="007D2D45" w14:paraId="2AD3905F" w14:textId="77777777" w:rsidTr="00564CD3">
        <w:trPr>
          <w:cantSplit/>
          <w:trHeight w:val="397"/>
          <w:jc w:val="center"/>
        </w:trPr>
        <w:tc>
          <w:tcPr>
            <w:tcW w:w="2058" w:type="pct"/>
            <w:shd w:val="clear" w:color="auto" w:fill="auto"/>
            <w:vAlign w:val="center"/>
          </w:tcPr>
          <w:p w14:paraId="08285A93"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释义</w:t>
            </w:r>
          </w:p>
        </w:tc>
        <w:tc>
          <w:tcPr>
            <w:tcW w:w="2942" w:type="pct"/>
            <w:shd w:val="clear" w:color="auto" w:fill="auto"/>
            <w:vAlign w:val="center"/>
          </w:tcPr>
          <w:p w14:paraId="790408D3"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对相关释义进行了更新和补充</w:t>
            </w:r>
          </w:p>
        </w:tc>
      </w:tr>
      <w:tr w:rsidR="007D2D45" w14:paraId="160F819C" w14:textId="77777777" w:rsidTr="00564CD3">
        <w:trPr>
          <w:cantSplit/>
          <w:trHeight w:val="397"/>
          <w:jc w:val="center"/>
        </w:trPr>
        <w:tc>
          <w:tcPr>
            <w:tcW w:w="2058" w:type="pct"/>
            <w:shd w:val="clear" w:color="auto" w:fill="auto"/>
            <w:vAlign w:val="center"/>
          </w:tcPr>
          <w:p w14:paraId="39D265AE"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重大事项提示</w:t>
            </w:r>
          </w:p>
        </w:tc>
        <w:tc>
          <w:tcPr>
            <w:tcW w:w="2942" w:type="pct"/>
            <w:shd w:val="clear" w:color="auto" w:fill="auto"/>
            <w:vAlign w:val="center"/>
          </w:tcPr>
          <w:p w14:paraId="538AFCC2"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更新本次加期评估相关情况、更新因上市公司实施</w:t>
            </w:r>
            <w:r>
              <w:rPr>
                <w:rFonts w:ascii="仿宋" w:eastAsia="仿宋" w:hAnsi="仿宋" w:cs="仿宋" w:hint="eastAsia"/>
                <w:snapToGrid w:val="0"/>
                <w:sz w:val="24"/>
                <w:szCs w:val="24"/>
              </w:rPr>
              <w:t>2025</w:t>
            </w:r>
            <w:r>
              <w:rPr>
                <w:rFonts w:ascii="仿宋" w:eastAsia="仿宋" w:hAnsi="仿宋" w:cs="仿宋" w:hint="eastAsia"/>
                <w:snapToGrid w:val="0"/>
                <w:sz w:val="24"/>
                <w:szCs w:val="24"/>
              </w:rPr>
              <w:t>年年度权益分派后对</w:t>
            </w:r>
            <w:r>
              <w:rPr>
                <w:rFonts w:ascii="仿宋" w:eastAsia="仿宋" w:hAnsi="仿宋" w:cs="仿宋"/>
                <w:snapToGrid w:val="0"/>
                <w:sz w:val="24"/>
                <w:szCs w:val="24"/>
              </w:rPr>
              <w:t>本次交易</w:t>
            </w:r>
            <w:r>
              <w:rPr>
                <w:rFonts w:ascii="仿宋" w:eastAsia="仿宋" w:hAnsi="仿宋" w:cs="仿宋" w:hint="eastAsia"/>
                <w:snapToGrid w:val="0"/>
                <w:sz w:val="24"/>
                <w:szCs w:val="24"/>
              </w:rPr>
              <w:t>发行股份购买资产及</w:t>
            </w:r>
            <w:r>
              <w:rPr>
                <w:rFonts w:ascii="仿宋" w:eastAsia="仿宋" w:hAnsi="仿宋" w:cs="仿宋"/>
                <w:snapToGrid w:val="0"/>
                <w:sz w:val="24"/>
                <w:szCs w:val="24"/>
              </w:rPr>
              <w:t>配套募集资金</w:t>
            </w:r>
            <w:r>
              <w:rPr>
                <w:rFonts w:ascii="仿宋" w:eastAsia="仿宋" w:hAnsi="仿宋" w:cs="仿宋" w:hint="eastAsia"/>
                <w:snapToGrid w:val="0"/>
                <w:sz w:val="24"/>
                <w:szCs w:val="24"/>
              </w:rPr>
              <w:t>的股票</w:t>
            </w:r>
            <w:r>
              <w:rPr>
                <w:rFonts w:ascii="仿宋" w:eastAsia="仿宋" w:hAnsi="仿宋" w:cs="仿宋"/>
                <w:snapToGrid w:val="0"/>
                <w:sz w:val="24"/>
                <w:szCs w:val="24"/>
              </w:rPr>
              <w:t>发行价格及数量的调整</w:t>
            </w:r>
            <w:r>
              <w:rPr>
                <w:rFonts w:ascii="仿宋" w:eastAsia="仿宋" w:hAnsi="仿宋" w:cs="仿宋" w:hint="eastAsia"/>
                <w:snapToGrid w:val="0"/>
                <w:sz w:val="24"/>
                <w:szCs w:val="24"/>
              </w:rPr>
              <w:t>、更新</w:t>
            </w:r>
            <w:r>
              <w:rPr>
                <w:rFonts w:ascii="仿宋" w:eastAsia="仿宋" w:hAnsi="仿宋" w:cs="仿宋"/>
                <w:snapToGrid w:val="0"/>
                <w:sz w:val="24"/>
                <w:szCs w:val="24"/>
              </w:rPr>
              <w:t>本次交易对上市公司股权结构的影响</w:t>
            </w:r>
          </w:p>
        </w:tc>
      </w:tr>
      <w:tr w:rsidR="007D2D45" w14:paraId="7DE6A647" w14:textId="77777777" w:rsidTr="00564CD3">
        <w:trPr>
          <w:cantSplit/>
          <w:trHeight w:val="397"/>
          <w:jc w:val="center"/>
        </w:trPr>
        <w:tc>
          <w:tcPr>
            <w:tcW w:w="2058" w:type="pct"/>
            <w:shd w:val="clear" w:color="auto" w:fill="auto"/>
            <w:vAlign w:val="center"/>
          </w:tcPr>
          <w:p w14:paraId="57581BEA"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重大风险提示</w:t>
            </w:r>
          </w:p>
        </w:tc>
        <w:tc>
          <w:tcPr>
            <w:tcW w:w="2942" w:type="pct"/>
            <w:shd w:val="clear" w:color="auto" w:fill="auto"/>
            <w:vAlign w:val="center"/>
          </w:tcPr>
          <w:p w14:paraId="5CE95174"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更新本次加期评估相关情况</w:t>
            </w:r>
          </w:p>
        </w:tc>
      </w:tr>
      <w:tr w:rsidR="007D2D45" w14:paraId="3DD5B0E4" w14:textId="77777777" w:rsidTr="00564CD3">
        <w:trPr>
          <w:cantSplit/>
          <w:trHeight w:val="397"/>
          <w:jc w:val="center"/>
        </w:trPr>
        <w:tc>
          <w:tcPr>
            <w:tcW w:w="2058" w:type="pct"/>
            <w:shd w:val="clear" w:color="auto" w:fill="auto"/>
            <w:vAlign w:val="center"/>
          </w:tcPr>
          <w:p w14:paraId="730EA508"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第一节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本次交易概况</w:t>
            </w:r>
          </w:p>
        </w:tc>
        <w:tc>
          <w:tcPr>
            <w:tcW w:w="2942" w:type="pct"/>
            <w:shd w:val="clear" w:color="auto" w:fill="auto"/>
            <w:vAlign w:val="center"/>
          </w:tcPr>
          <w:p w14:paraId="4A6FCB43"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更新</w:t>
            </w:r>
            <w:r>
              <w:rPr>
                <w:rFonts w:ascii="仿宋" w:eastAsia="仿宋" w:hAnsi="仿宋" w:cs="仿宋"/>
                <w:snapToGrid w:val="0"/>
                <w:sz w:val="24"/>
                <w:szCs w:val="24"/>
              </w:rPr>
              <w:t>本次交易</w:t>
            </w:r>
            <w:r>
              <w:rPr>
                <w:rFonts w:ascii="仿宋" w:eastAsia="仿宋" w:hAnsi="仿宋" w:cs="仿宋" w:hint="eastAsia"/>
                <w:snapToGrid w:val="0"/>
                <w:sz w:val="24"/>
                <w:szCs w:val="24"/>
              </w:rPr>
              <w:t>发行股份购买资产及配套募集资金的</w:t>
            </w:r>
            <w:r>
              <w:rPr>
                <w:rFonts w:ascii="仿宋" w:eastAsia="仿宋" w:hAnsi="仿宋" w:cs="仿宋"/>
                <w:snapToGrid w:val="0"/>
                <w:sz w:val="24"/>
                <w:szCs w:val="24"/>
              </w:rPr>
              <w:t>股份发行价格及数量的</w:t>
            </w:r>
            <w:r>
              <w:rPr>
                <w:rFonts w:ascii="仿宋" w:eastAsia="仿宋" w:hAnsi="仿宋" w:cs="仿宋" w:hint="eastAsia"/>
                <w:snapToGrid w:val="0"/>
                <w:sz w:val="24"/>
                <w:szCs w:val="24"/>
              </w:rPr>
              <w:t>调整、</w:t>
            </w:r>
            <w:r>
              <w:rPr>
                <w:rFonts w:ascii="仿宋" w:eastAsia="仿宋" w:hAnsi="仿宋" w:cs="仿宋"/>
                <w:snapToGrid w:val="0"/>
                <w:sz w:val="24"/>
                <w:szCs w:val="24"/>
              </w:rPr>
              <w:t>本次交易对上市公司股权结构的影响</w:t>
            </w:r>
          </w:p>
        </w:tc>
      </w:tr>
      <w:tr w:rsidR="007D2D45" w14:paraId="5857A29E" w14:textId="77777777" w:rsidTr="00564CD3">
        <w:trPr>
          <w:cantSplit/>
          <w:trHeight w:val="397"/>
          <w:jc w:val="center"/>
        </w:trPr>
        <w:tc>
          <w:tcPr>
            <w:tcW w:w="2058" w:type="pct"/>
            <w:shd w:val="clear" w:color="auto" w:fill="auto"/>
            <w:vAlign w:val="center"/>
          </w:tcPr>
          <w:p w14:paraId="15B253FC"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lastRenderedPageBreak/>
              <w:t>第二节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上市公司基本情况</w:t>
            </w:r>
          </w:p>
        </w:tc>
        <w:tc>
          <w:tcPr>
            <w:tcW w:w="2942" w:type="pct"/>
            <w:shd w:val="clear" w:color="auto" w:fill="auto"/>
            <w:vAlign w:val="center"/>
          </w:tcPr>
          <w:p w14:paraId="1A1FFDC8"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更新上市公司</w:t>
            </w:r>
            <w:r>
              <w:rPr>
                <w:rFonts w:ascii="仿宋" w:eastAsia="仿宋" w:hAnsi="仿宋" w:cs="仿宋"/>
                <w:snapToGrid w:val="0"/>
                <w:sz w:val="24"/>
                <w:szCs w:val="24"/>
              </w:rPr>
              <w:t>2025</w:t>
            </w:r>
            <w:r>
              <w:rPr>
                <w:rFonts w:ascii="仿宋" w:eastAsia="仿宋" w:hAnsi="仿宋" w:cs="仿宋"/>
                <w:snapToGrid w:val="0"/>
                <w:sz w:val="24"/>
                <w:szCs w:val="24"/>
              </w:rPr>
              <w:t>年度权益分派</w:t>
            </w:r>
            <w:r>
              <w:rPr>
                <w:rFonts w:ascii="仿宋" w:eastAsia="仿宋" w:hAnsi="仿宋" w:cs="仿宋" w:hint="eastAsia"/>
                <w:snapToGrid w:val="0"/>
                <w:sz w:val="24"/>
                <w:szCs w:val="24"/>
              </w:rPr>
              <w:t>情况及股本变化情况、更新上市公司股本结构、控股股东及实际控制人概况</w:t>
            </w:r>
          </w:p>
        </w:tc>
      </w:tr>
      <w:tr w:rsidR="007D2D45" w14:paraId="6A2A7D5A" w14:textId="77777777" w:rsidTr="00564CD3">
        <w:trPr>
          <w:cantSplit/>
          <w:trHeight w:val="397"/>
          <w:jc w:val="center"/>
        </w:trPr>
        <w:tc>
          <w:tcPr>
            <w:tcW w:w="2058" w:type="pct"/>
            <w:shd w:val="clear" w:color="auto" w:fill="auto"/>
            <w:vAlign w:val="center"/>
          </w:tcPr>
          <w:p w14:paraId="539332E3"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第三节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交易对方基本情况</w:t>
            </w:r>
          </w:p>
        </w:tc>
        <w:tc>
          <w:tcPr>
            <w:tcW w:w="2942" w:type="pct"/>
            <w:shd w:val="clear" w:color="auto" w:fill="auto"/>
            <w:vAlign w:val="center"/>
          </w:tcPr>
          <w:p w14:paraId="12CD545F"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无</w:t>
            </w:r>
          </w:p>
        </w:tc>
      </w:tr>
      <w:tr w:rsidR="007D2D45" w14:paraId="1D48A151" w14:textId="77777777" w:rsidTr="00564CD3">
        <w:trPr>
          <w:cantSplit/>
          <w:trHeight w:val="397"/>
          <w:jc w:val="center"/>
        </w:trPr>
        <w:tc>
          <w:tcPr>
            <w:tcW w:w="2058" w:type="pct"/>
            <w:shd w:val="clear" w:color="auto" w:fill="auto"/>
            <w:vAlign w:val="center"/>
          </w:tcPr>
          <w:p w14:paraId="5BF01BDA"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第四节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交易标的基本情况</w:t>
            </w:r>
          </w:p>
        </w:tc>
        <w:tc>
          <w:tcPr>
            <w:tcW w:w="2942" w:type="pct"/>
            <w:shd w:val="clear" w:color="auto" w:fill="auto"/>
            <w:vAlign w:val="center"/>
          </w:tcPr>
          <w:p w14:paraId="5456B41D"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更新标的公司的生产经营资质</w:t>
            </w:r>
          </w:p>
        </w:tc>
      </w:tr>
      <w:tr w:rsidR="007D2D45" w14:paraId="278FD44C" w14:textId="77777777" w:rsidTr="00564CD3">
        <w:trPr>
          <w:cantSplit/>
          <w:trHeight w:val="397"/>
          <w:jc w:val="center"/>
        </w:trPr>
        <w:tc>
          <w:tcPr>
            <w:tcW w:w="2058" w:type="pct"/>
            <w:shd w:val="clear" w:color="auto" w:fill="auto"/>
            <w:vAlign w:val="center"/>
          </w:tcPr>
          <w:p w14:paraId="609FE249"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第五节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发行股份情况</w:t>
            </w:r>
          </w:p>
        </w:tc>
        <w:tc>
          <w:tcPr>
            <w:tcW w:w="2942" w:type="pct"/>
            <w:shd w:val="clear" w:color="auto" w:fill="auto"/>
            <w:vAlign w:val="center"/>
          </w:tcPr>
          <w:p w14:paraId="00D286F3"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更新发行股份购买资产及配套募集资金的</w:t>
            </w:r>
            <w:r>
              <w:rPr>
                <w:rFonts w:ascii="仿宋" w:eastAsia="仿宋" w:hAnsi="仿宋" w:cs="仿宋"/>
                <w:snapToGrid w:val="0"/>
                <w:sz w:val="24"/>
                <w:szCs w:val="24"/>
              </w:rPr>
              <w:t>股份发行价格及数量</w:t>
            </w:r>
          </w:p>
        </w:tc>
      </w:tr>
      <w:tr w:rsidR="007D2D45" w14:paraId="444029D3" w14:textId="77777777" w:rsidTr="00564CD3">
        <w:trPr>
          <w:cantSplit/>
          <w:trHeight w:val="397"/>
          <w:jc w:val="center"/>
        </w:trPr>
        <w:tc>
          <w:tcPr>
            <w:tcW w:w="2058" w:type="pct"/>
            <w:shd w:val="clear" w:color="auto" w:fill="auto"/>
            <w:vAlign w:val="center"/>
          </w:tcPr>
          <w:p w14:paraId="74833771"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第六节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交易标的评估情况</w:t>
            </w:r>
          </w:p>
        </w:tc>
        <w:tc>
          <w:tcPr>
            <w:tcW w:w="2942" w:type="pct"/>
            <w:shd w:val="clear" w:color="auto" w:fill="auto"/>
            <w:vAlign w:val="center"/>
          </w:tcPr>
          <w:p w14:paraId="4B2E24A2" w14:textId="77777777" w:rsidR="007D2D45" w:rsidRDefault="00670C17">
            <w:pPr>
              <w:jc w:val="center"/>
              <w:rPr>
                <w:rFonts w:ascii="仿宋" w:eastAsia="仿宋" w:hAnsi="仿宋" w:cs="仿宋"/>
                <w:snapToGrid w:val="0"/>
                <w:sz w:val="24"/>
                <w:szCs w:val="24"/>
              </w:rPr>
            </w:pPr>
            <w:r>
              <w:rPr>
                <w:rFonts w:ascii="仿宋" w:eastAsia="仿宋" w:hAnsi="仿宋" w:cs="仿宋"/>
                <w:snapToGrid w:val="0"/>
                <w:sz w:val="24"/>
                <w:szCs w:val="24"/>
              </w:rPr>
              <w:t>更新加期评估</w:t>
            </w:r>
            <w:r>
              <w:rPr>
                <w:rFonts w:ascii="仿宋" w:eastAsia="仿宋" w:hAnsi="仿宋" w:cs="仿宋" w:hint="eastAsia"/>
                <w:snapToGrid w:val="0"/>
                <w:sz w:val="24"/>
                <w:szCs w:val="24"/>
              </w:rPr>
              <w:t>相关</w:t>
            </w:r>
            <w:r>
              <w:rPr>
                <w:rFonts w:ascii="仿宋" w:eastAsia="仿宋" w:hAnsi="仿宋" w:cs="仿宋"/>
                <w:snapToGrid w:val="0"/>
                <w:sz w:val="24"/>
                <w:szCs w:val="24"/>
              </w:rPr>
              <w:t>情况</w:t>
            </w:r>
          </w:p>
        </w:tc>
      </w:tr>
      <w:tr w:rsidR="007D2D45" w14:paraId="72E0D36E" w14:textId="77777777" w:rsidTr="00564CD3">
        <w:trPr>
          <w:cantSplit/>
          <w:trHeight w:val="397"/>
          <w:jc w:val="center"/>
        </w:trPr>
        <w:tc>
          <w:tcPr>
            <w:tcW w:w="2058" w:type="pct"/>
            <w:shd w:val="clear" w:color="auto" w:fill="auto"/>
            <w:vAlign w:val="center"/>
          </w:tcPr>
          <w:p w14:paraId="22519EB4"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第七节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本次交易主要合同</w:t>
            </w:r>
          </w:p>
        </w:tc>
        <w:tc>
          <w:tcPr>
            <w:tcW w:w="2942" w:type="pct"/>
            <w:shd w:val="clear" w:color="auto" w:fill="auto"/>
            <w:vAlign w:val="center"/>
          </w:tcPr>
          <w:p w14:paraId="73788DB2"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无</w:t>
            </w:r>
          </w:p>
        </w:tc>
      </w:tr>
      <w:tr w:rsidR="007D2D45" w14:paraId="72ECA81D" w14:textId="77777777" w:rsidTr="00564CD3">
        <w:trPr>
          <w:cantSplit/>
          <w:trHeight w:val="397"/>
          <w:jc w:val="center"/>
        </w:trPr>
        <w:tc>
          <w:tcPr>
            <w:tcW w:w="2058" w:type="pct"/>
            <w:shd w:val="clear" w:color="auto" w:fill="auto"/>
            <w:vAlign w:val="center"/>
          </w:tcPr>
          <w:p w14:paraId="71190D05"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第八节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本次交易的合规性分析</w:t>
            </w:r>
          </w:p>
        </w:tc>
        <w:tc>
          <w:tcPr>
            <w:tcW w:w="2942" w:type="pct"/>
            <w:shd w:val="clear" w:color="auto" w:fill="auto"/>
            <w:vAlign w:val="center"/>
          </w:tcPr>
          <w:p w14:paraId="74301042"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更新发行股份购买资产及配套募集资金的</w:t>
            </w:r>
            <w:r>
              <w:rPr>
                <w:rFonts w:ascii="仿宋" w:eastAsia="仿宋" w:hAnsi="仿宋" w:cs="仿宋"/>
                <w:snapToGrid w:val="0"/>
                <w:sz w:val="24"/>
                <w:szCs w:val="24"/>
              </w:rPr>
              <w:t>股份发行价格及数量</w:t>
            </w:r>
            <w:r>
              <w:rPr>
                <w:rFonts w:ascii="仿宋" w:eastAsia="仿宋" w:hAnsi="仿宋" w:cs="仿宋" w:hint="eastAsia"/>
                <w:snapToGrid w:val="0"/>
                <w:sz w:val="24"/>
                <w:szCs w:val="24"/>
              </w:rPr>
              <w:t>、更新上市公司同行业可比公司资产负债率</w:t>
            </w:r>
          </w:p>
        </w:tc>
      </w:tr>
      <w:tr w:rsidR="007D2D45" w14:paraId="3298E0A3" w14:textId="77777777" w:rsidTr="00564CD3">
        <w:trPr>
          <w:cantSplit/>
          <w:trHeight w:val="397"/>
          <w:jc w:val="center"/>
        </w:trPr>
        <w:tc>
          <w:tcPr>
            <w:tcW w:w="2058" w:type="pct"/>
            <w:shd w:val="clear" w:color="auto" w:fill="auto"/>
            <w:vAlign w:val="center"/>
          </w:tcPr>
          <w:p w14:paraId="4CC32269"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第九节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管理层讨论与分析</w:t>
            </w:r>
          </w:p>
        </w:tc>
        <w:tc>
          <w:tcPr>
            <w:tcW w:w="2942" w:type="pct"/>
            <w:shd w:val="clear" w:color="auto" w:fill="auto"/>
            <w:vAlign w:val="center"/>
          </w:tcPr>
          <w:p w14:paraId="668C6202"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更新标的公司同行业可比公司</w:t>
            </w:r>
            <w:r>
              <w:rPr>
                <w:rFonts w:ascii="仿宋" w:eastAsia="仿宋" w:hAnsi="仿宋" w:cs="仿宋"/>
                <w:snapToGrid w:val="0"/>
                <w:sz w:val="24"/>
                <w:szCs w:val="24"/>
              </w:rPr>
              <w:t>应收账款坏账准备计提比例</w:t>
            </w:r>
            <w:r>
              <w:rPr>
                <w:rFonts w:ascii="仿宋" w:eastAsia="仿宋" w:hAnsi="仿宋" w:cs="仿宋" w:hint="eastAsia"/>
                <w:snapToGrid w:val="0"/>
                <w:sz w:val="24"/>
                <w:szCs w:val="24"/>
              </w:rPr>
              <w:t>、</w:t>
            </w:r>
            <w:r>
              <w:rPr>
                <w:rFonts w:ascii="仿宋" w:eastAsia="仿宋" w:hAnsi="仿宋" w:cs="仿宋"/>
                <w:snapToGrid w:val="0"/>
                <w:sz w:val="24"/>
                <w:szCs w:val="24"/>
              </w:rPr>
              <w:t>主要偿债能力指标</w:t>
            </w:r>
            <w:r>
              <w:rPr>
                <w:rFonts w:ascii="仿宋" w:eastAsia="仿宋" w:hAnsi="仿宋" w:cs="仿宋" w:hint="eastAsia"/>
                <w:snapToGrid w:val="0"/>
                <w:sz w:val="24"/>
                <w:szCs w:val="24"/>
              </w:rPr>
              <w:t>、营运能力指标、综合毛利率、销售费用率、管理费用率、研发费用率、财务费用率情况</w:t>
            </w:r>
          </w:p>
        </w:tc>
      </w:tr>
      <w:tr w:rsidR="007D2D45" w14:paraId="20B69334" w14:textId="77777777" w:rsidTr="00564CD3">
        <w:trPr>
          <w:cantSplit/>
          <w:trHeight w:val="397"/>
          <w:jc w:val="center"/>
        </w:trPr>
        <w:tc>
          <w:tcPr>
            <w:tcW w:w="2058" w:type="pct"/>
            <w:shd w:val="clear" w:color="auto" w:fill="auto"/>
            <w:vAlign w:val="center"/>
          </w:tcPr>
          <w:p w14:paraId="34D6D4ED"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第十节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财务会计信息</w:t>
            </w:r>
          </w:p>
        </w:tc>
        <w:tc>
          <w:tcPr>
            <w:tcW w:w="2942" w:type="pct"/>
            <w:shd w:val="clear" w:color="auto" w:fill="auto"/>
            <w:vAlign w:val="center"/>
          </w:tcPr>
          <w:p w14:paraId="6C0BEE01"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无</w:t>
            </w:r>
          </w:p>
        </w:tc>
      </w:tr>
      <w:tr w:rsidR="007D2D45" w14:paraId="304666AD" w14:textId="77777777" w:rsidTr="00564CD3">
        <w:trPr>
          <w:cantSplit/>
          <w:trHeight w:val="397"/>
          <w:jc w:val="center"/>
        </w:trPr>
        <w:tc>
          <w:tcPr>
            <w:tcW w:w="2058" w:type="pct"/>
            <w:shd w:val="clear" w:color="auto" w:fill="auto"/>
            <w:vAlign w:val="center"/>
          </w:tcPr>
          <w:p w14:paraId="239F9322"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第十一节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同业竞争与关联交易</w:t>
            </w:r>
          </w:p>
        </w:tc>
        <w:tc>
          <w:tcPr>
            <w:tcW w:w="2942" w:type="pct"/>
            <w:shd w:val="clear" w:color="auto" w:fill="auto"/>
            <w:vAlign w:val="center"/>
          </w:tcPr>
          <w:p w14:paraId="0B17EF5D"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更新本次交易完成后不考虑募集配套资金</w:t>
            </w:r>
            <w:r>
              <w:rPr>
                <w:rFonts w:ascii="仿宋" w:eastAsia="仿宋" w:hAnsi="仿宋" w:cs="仿宋"/>
                <w:snapToGrid w:val="0"/>
                <w:sz w:val="24"/>
                <w:szCs w:val="24"/>
              </w:rPr>
              <w:t>交易对方及其关联方或一致行动人合计持有上市公司股份情况</w:t>
            </w:r>
            <w:r>
              <w:rPr>
                <w:rFonts w:ascii="仿宋" w:eastAsia="仿宋" w:hAnsi="仿宋" w:cs="仿宋" w:hint="eastAsia"/>
                <w:snapToGrid w:val="0"/>
                <w:sz w:val="24"/>
                <w:szCs w:val="24"/>
              </w:rPr>
              <w:t>、</w:t>
            </w:r>
            <w:r>
              <w:rPr>
                <w:rFonts w:ascii="仿宋" w:eastAsia="仿宋" w:hAnsi="仿宋" w:cs="仿宋"/>
                <w:snapToGrid w:val="0"/>
                <w:sz w:val="24"/>
                <w:szCs w:val="24"/>
              </w:rPr>
              <w:t>报告期内标的资产的关联交易情况</w:t>
            </w:r>
            <w:r>
              <w:rPr>
                <w:rFonts w:ascii="仿宋" w:eastAsia="仿宋" w:hAnsi="仿宋" w:cs="仿宋" w:hint="eastAsia"/>
                <w:snapToGrid w:val="0"/>
                <w:sz w:val="24"/>
                <w:szCs w:val="24"/>
              </w:rPr>
              <w:t>、</w:t>
            </w:r>
            <w:r>
              <w:rPr>
                <w:rFonts w:ascii="仿宋" w:eastAsia="仿宋" w:hAnsi="仿宋" w:cs="仿宋"/>
                <w:snapToGrid w:val="0"/>
                <w:sz w:val="24"/>
                <w:szCs w:val="24"/>
              </w:rPr>
              <w:t>本次交易前后上市公司最近一年关联交易的金额及占比</w:t>
            </w:r>
          </w:p>
        </w:tc>
      </w:tr>
      <w:tr w:rsidR="007D2D45" w14:paraId="5EE4487E" w14:textId="77777777" w:rsidTr="00564CD3">
        <w:trPr>
          <w:cantSplit/>
          <w:trHeight w:val="397"/>
          <w:jc w:val="center"/>
        </w:trPr>
        <w:tc>
          <w:tcPr>
            <w:tcW w:w="2058" w:type="pct"/>
            <w:shd w:val="clear" w:color="auto" w:fill="auto"/>
            <w:vAlign w:val="center"/>
          </w:tcPr>
          <w:p w14:paraId="343DD539"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第十二节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风险因素</w:t>
            </w:r>
          </w:p>
        </w:tc>
        <w:tc>
          <w:tcPr>
            <w:tcW w:w="2942" w:type="pct"/>
            <w:shd w:val="clear" w:color="auto" w:fill="auto"/>
            <w:vAlign w:val="center"/>
          </w:tcPr>
          <w:p w14:paraId="32A0D3A6"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更新本次加期评估相关情况</w:t>
            </w:r>
          </w:p>
        </w:tc>
      </w:tr>
      <w:tr w:rsidR="007D2D45" w14:paraId="4EDDF3E9" w14:textId="77777777" w:rsidTr="00564CD3">
        <w:trPr>
          <w:cantSplit/>
          <w:trHeight w:val="397"/>
          <w:jc w:val="center"/>
        </w:trPr>
        <w:tc>
          <w:tcPr>
            <w:tcW w:w="2058" w:type="pct"/>
            <w:shd w:val="clear" w:color="auto" w:fill="auto"/>
            <w:vAlign w:val="center"/>
          </w:tcPr>
          <w:p w14:paraId="6DFA0DE5"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第十三节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其他重要事项</w:t>
            </w:r>
          </w:p>
        </w:tc>
        <w:tc>
          <w:tcPr>
            <w:tcW w:w="2942" w:type="pct"/>
            <w:shd w:val="clear" w:color="auto" w:fill="auto"/>
            <w:vAlign w:val="center"/>
          </w:tcPr>
          <w:p w14:paraId="2648B895"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无</w:t>
            </w:r>
          </w:p>
        </w:tc>
      </w:tr>
      <w:tr w:rsidR="007D2D45" w14:paraId="4B949F25" w14:textId="77777777" w:rsidTr="00564CD3">
        <w:trPr>
          <w:cantSplit/>
          <w:trHeight w:val="397"/>
          <w:jc w:val="center"/>
        </w:trPr>
        <w:tc>
          <w:tcPr>
            <w:tcW w:w="2058" w:type="pct"/>
            <w:shd w:val="clear" w:color="auto" w:fill="auto"/>
            <w:vAlign w:val="center"/>
          </w:tcPr>
          <w:p w14:paraId="284DA4F2"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第十四节</w:t>
            </w:r>
            <w:r>
              <w:rPr>
                <w:rFonts w:ascii="仿宋" w:eastAsia="仿宋" w:hAnsi="仿宋" w:cs="仿宋" w:hint="eastAsia"/>
                <w:snapToGrid w:val="0"/>
                <w:sz w:val="24"/>
                <w:szCs w:val="24"/>
              </w:rPr>
              <w:t xml:space="preserve"> </w:t>
            </w:r>
            <w:r>
              <w:rPr>
                <w:rFonts w:ascii="仿宋" w:eastAsia="仿宋" w:hAnsi="仿宋" w:cs="仿宋"/>
                <w:snapToGrid w:val="0"/>
                <w:sz w:val="24"/>
                <w:szCs w:val="24"/>
              </w:rPr>
              <w:t>独立董事及证券服务机构对本次交易的意见</w:t>
            </w:r>
          </w:p>
        </w:tc>
        <w:tc>
          <w:tcPr>
            <w:tcW w:w="2942" w:type="pct"/>
            <w:shd w:val="clear" w:color="auto" w:fill="auto"/>
            <w:vAlign w:val="center"/>
          </w:tcPr>
          <w:p w14:paraId="1593363E"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新增独立董事对加期评估报告认可的意见</w:t>
            </w:r>
          </w:p>
        </w:tc>
      </w:tr>
      <w:tr w:rsidR="007D2D45" w14:paraId="61475B13" w14:textId="77777777" w:rsidTr="00564CD3">
        <w:trPr>
          <w:cantSplit/>
          <w:trHeight w:val="397"/>
          <w:jc w:val="center"/>
        </w:trPr>
        <w:tc>
          <w:tcPr>
            <w:tcW w:w="2058" w:type="pct"/>
            <w:shd w:val="clear" w:color="auto" w:fill="auto"/>
            <w:vAlign w:val="center"/>
          </w:tcPr>
          <w:p w14:paraId="603C6848" w14:textId="77777777" w:rsidR="007D2D45" w:rsidRDefault="00670C17">
            <w:pPr>
              <w:jc w:val="center"/>
              <w:rPr>
                <w:rFonts w:ascii="仿宋" w:eastAsia="仿宋" w:hAnsi="仿宋" w:cs="仿宋"/>
                <w:snapToGrid w:val="0"/>
                <w:sz w:val="24"/>
                <w:szCs w:val="24"/>
              </w:rPr>
            </w:pPr>
            <w:bookmarkStart w:id="2" w:name="_GoBack"/>
            <w:bookmarkEnd w:id="2"/>
            <w:r>
              <w:rPr>
                <w:rFonts w:ascii="仿宋" w:eastAsia="仿宋" w:hAnsi="仿宋" w:cs="仿宋" w:hint="eastAsia"/>
                <w:snapToGrid w:val="0"/>
                <w:sz w:val="24"/>
                <w:szCs w:val="24"/>
              </w:rPr>
              <w:t>第十五节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本次交易的相关中介机构</w:t>
            </w:r>
          </w:p>
        </w:tc>
        <w:tc>
          <w:tcPr>
            <w:tcW w:w="2942" w:type="pct"/>
            <w:shd w:val="clear" w:color="auto" w:fill="auto"/>
            <w:vAlign w:val="center"/>
          </w:tcPr>
          <w:p w14:paraId="35CF0032"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无</w:t>
            </w:r>
          </w:p>
        </w:tc>
      </w:tr>
      <w:tr w:rsidR="007D2D45" w14:paraId="7B17E117" w14:textId="77777777" w:rsidTr="00564CD3">
        <w:trPr>
          <w:cantSplit/>
          <w:trHeight w:val="397"/>
          <w:jc w:val="center"/>
        </w:trPr>
        <w:tc>
          <w:tcPr>
            <w:tcW w:w="2058" w:type="pct"/>
            <w:shd w:val="clear" w:color="auto" w:fill="auto"/>
            <w:vAlign w:val="center"/>
          </w:tcPr>
          <w:p w14:paraId="39D7582D"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第十六节</w:t>
            </w:r>
            <w:r>
              <w:rPr>
                <w:rFonts w:ascii="仿宋" w:eastAsia="仿宋" w:hAnsi="仿宋" w:cs="仿宋" w:hint="eastAsia"/>
                <w:snapToGrid w:val="0"/>
                <w:sz w:val="24"/>
                <w:szCs w:val="24"/>
              </w:rPr>
              <w:t xml:space="preserve"> </w:t>
            </w:r>
            <w:r>
              <w:rPr>
                <w:rFonts w:ascii="仿宋" w:eastAsia="仿宋" w:hAnsi="仿宋" w:cs="仿宋"/>
                <w:snapToGrid w:val="0"/>
                <w:sz w:val="24"/>
                <w:szCs w:val="24"/>
              </w:rPr>
              <w:t>上市公司及全体董事、高级管理人员及相关中介机构的声明</w:t>
            </w:r>
          </w:p>
        </w:tc>
        <w:tc>
          <w:tcPr>
            <w:tcW w:w="2942" w:type="pct"/>
            <w:shd w:val="clear" w:color="auto" w:fill="auto"/>
            <w:vAlign w:val="center"/>
          </w:tcPr>
          <w:p w14:paraId="685E0CA4"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无</w:t>
            </w:r>
          </w:p>
        </w:tc>
      </w:tr>
      <w:tr w:rsidR="007D2D45" w14:paraId="40D937FB" w14:textId="77777777" w:rsidTr="00564CD3">
        <w:trPr>
          <w:cantSplit/>
          <w:trHeight w:val="397"/>
          <w:jc w:val="center"/>
        </w:trPr>
        <w:tc>
          <w:tcPr>
            <w:tcW w:w="2058" w:type="pct"/>
            <w:shd w:val="clear" w:color="auto" w:fill="auto"/>
            <w:vAlign w:val="center"/>
          </w:tcPr>
          <w:p w14:paraId="07F5667D"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第十七节</w:t>
            </w:r>
            <w:r>
              <w:rPr>
                <w:rFonts w:ascii="仿宋" w:eastAsia="仿宋" w:hAnsi="仿宋" w:cs="仿宋" w:hint="eastAsia"/>
                <w:snapToGrid w:val="0"/>
                <w:sz w:val="24"/>
                <w:szCs w:val="24"/>
              </w:rPr>
              <w:t xml:space="preserve"> </w:t>
            </w:r>
            <w:r>
              <w:rPr>
                <w:rFonts w:ascii="仿宋" w:eastAsia="仿宋" w:hAnsi="仿宋" w:cs="仿宋" w:hint="eastAsia"/>
                <w:snapToGrid w:val="0"/>
                <w:sz w:val="24"/>
                <w:szCs w:val="24"/>
              </w:rPr>
              <w:t>备查资料</w:t>
            </w:r>
          </w:p>
        </w:tc>
        <w:tc>
          <w:tcPr>
            <w:tcW w:w="2942" w:type="pct"/>
            <w:shd w:val="clear" w:color="auto" w:fill="auto"/>
            <w:vAlign w:val="center"/>
          </w:tcPr>
          <w:p w14:paraId="26C07870"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无</w:t>
            </w:r>
          </w:p>
        </w:tc>
      </w:tr>
      <w:tr w:rsidR="007D2D45" w14:paraId="74BF8E52" w14:textId="77777777" w:rsidTr="00564CD3">
        <w:trPr>
          <w:cantSplit/>
          <w:trHeight w:val="397"/>
          <w:jc w:val="center"/>
        </w:trPr>
        <w:tc>
          <w:tcPr>
            <w:tcW w:w="2058" w:type="pct"/>
            <w:shd w:val="clear" w:color="auto" w:fill="auto"/>
            <w:vAlign w:val="center"/>
          </w:tcPr>
          <w:p w14:paraId="6DB498E9" w14:textId="77777777" w:rsidR="007D2D45" w:rsidRDefault="00670C17">
            <w:pPr>
              <w:jc w:val="center"/>
              <w:rPr>
                <w:rFonts w:ascii="仿宋" w:eastAsia="仿宋" w:hAnsi="仿宋" w:cs="仿宋"/>
                <w:snapToGrid w:val="0"/>
                <w:sz w:val="24"/>
                <w:szCs w:val="24"/>
              </w:rPr>
            </w:pPr>
            <w:r>
              <w:rPr>
                <w:rFonts w:ascii="仿宋" w:eastAsia="仿宋" w:hAnsi="仿宋" w:cs="仿宋"/>
                <w:snapToGrid w:val="0"/>
                <w:sz w:val="24"/>
                <w:szCs w:val="24"/>
              </w:rPr>
              <w:t>第十八节</w:t>
            </w:r>
            <w:r>
              <w:rPr>
                <w:rFonts w:ascii="仿宋" w:eastAsia="仿宋" w:hAnsi="仿宋" w:cs="仿宋"/>
                <w:snapToGrid w:val="0"/>
                <w:sz w:val="24"/>
                <w:szCs w:val="24"/>
              </w:rPr>
              <w:t xml:space="preserve"> </w:t>
            </w:r>
            <w:r>
              <w:rPr>
                <w:rFonts w:ascii="仿宋" w:eastAsia="仿宋" w:hAnsi="仿宋" w:cs="仿宋"/>
                <w:snapToGrid w:val="0"/>
                <w:sz w:val="24"/>
                <w:szCs w:val="24"/>
              </w:rPr>
              <w:t>附件</w:t>
            </w:r>
          </w:p>
        </w:tc>
        <w:tc>
          <w:tcPr>
            <w:tcW w:w="2942" w:type="pct"/>
            <w:shd w:val="clear" w:color="auto" w:fill="auto"/>
            <w:vAlign w:val="center"/>
          </w:tcPr>
          <w:p w14:paraId="445B119D" w14:textId="77777777" w:rsidR="007D2D45" w:rsidRDefault="00670C17">
            <w:pPr>
              <w:jc w:val="center"/>
              <w:rPr>
                <w:rFonts w:ascii="仿宋" w:eastAsia="仿宋" w:hAnsi="仿宋" w:cs="仿宋"/>
                <w:snapToGrid w:val="0"/>
                <w:sz w:val="24"/>
                <w:szCs w:val="24"/>
              </w:rPr>
            </w:pPr>
            <w:r>
              <w:rPr>
                <w:rFonts w:ascii="仿宋" w:eastAsia="仿宋" w:hAnsi="仿宋" w:cs="仿宋" w:hint="eastAsia"/>
                <w:snapToGrid w:val="0"/>
                <w:sz w:val="24"/>
                <w:szCs w:val="24"/>
              </w:rPr>
              <w:t>无</w:t>
            </w:r>
          </w:p>
        </w:tc>
      </w:tr>
    </w:tbl>
    <w:p w14:paraId="5FF208FB" w14:textId="77777777" w:rsidR="007D2D45" w:rsidRDefault="00670C17">
      <w:pPr>
        <w:snapToGrid w:val="0"/>
        <w:spacing w:line="360" w:lineRule="auto"/>
        <w:ind w:firstLineChars="200" w:firstLine="560"/>
        <w:rPr>
          <w:rFonts w:ascii="仿宋" w:eastAsia="仿宋" w:hAnsi="仿宋" w:cs="仿宋"/>
          <w:sz w:val="28"/>
          <w:szCs w:val="28"/>
        </w:rPr>
      </w:pPr>
      <w:r>
        <w:rPr>
          <w:rFonts w:ascii="仿宋" w:eastAsia="仿宋" w:hAnsi="仿宋" w:cs="仿宋"/>
          <w:sz w:val="28"/>
          <w:szCs w:val="28"/>
        </w:rPr>
        <w:t>除上述补充与修订之外，</w:t>
      </w:r>
      <w:r>
        <w:rPr>
          <w:rFonts w:ascii="仿宋" w:eastAsia="仿宋" w:hAnsi="仿宋" w:cs="仿宋" w:hint="eastAsia"/>
          <w:sz w:val="28"/>
          <w:szCs w:val="28"/>
        </w:rPr>
        <w:t>本次交易相关的标的公司审计报告及备考审阅报告关于关联方及关联交易部分同步修订。此外，</w:t>
      </w:r>
      <w:r>
        <w:rPr>
          <w:rFonts w:ascii="仿宋" w:eastAsia="仿宋" w:hAnsi="仿宋" w:cs="仿宋"/>
          <w:sz w:val="28"/>
          <w:szCs w:val="28"/>
        </w:rPr>
        <w:t>公司对草案（修订稿）全文进行了梳理和自查，完善了少许表述，对重组方案无影响</w:t>
      </w:r>
      <w:r>
        <w:rPr>
          <w:rFonts w:ascii="仿宋" w:eastAsia="仿宋" w:hAnsi="仿宋" w:cs="仿宋" w:hint="eastAsia"/>
          <w:sz w:val="28"/>
          <w:szCs w:val="28"/>
        </w:rPr>
        <w:t>。</w:t>
      </w:r>
    </w:p>
    <w:p w14:paraId="40785073" w14:textId="77777777" w:rsidR="007D2D45" w:rsidRDefault="00670C17">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特此公告。</w:t>
      </w:r>
    </w:p>
    <w:p w14:paraId="01DE3F93" w14:textId="77777777" w:rsidR="007D2D45" w:rsidRDefault="00670C17">
      <w:pPr>
        <w:spacing w:beforeLines="50" w:before="156" w:line="360" w:lineRule="auto"/>
        <w:ind w:firstLineChars="200" w:firstLine="560"/>
        <w:jc w:val="right"/>
        <w:rPr>
          <w:rFonts w:ascii="仿宋" w:eastAsia="仿宋" w:hAnsi="仿宋" w:cs="仿宋"/>
          <w:sz w:val="28"/>
        </w:rPr>
      </w:pPr>
      <w:r>
        <w:rPr>
          <w:rFonts w:ascii="仿宋" w:eastAsia="仿宋" w:hAnsi="仿宋" w:cs="仿宋" w:hint="eastAsia"/>
          <w:sz w:val="28"/>
          <w:lang w:bidi="ar"/>
        </w:rPr>
        <w:t>广东天亿马信息产业股份有限公司</w:t>
      </w:r>
    </w:p>
    <w:p w14:paraId="07012B62" w14:textId="77777777" w:rsidR="007D2D45" w:rsidRDefault="00670C17">
      <w:pPr>
        <w:spacing w:beforeLines="50" w:before="156" w:line="360" w:lineRule="auto"/>
        <w:ind w:firstLineChars="200" w:firstLine="560"/>
        <w:jc w:val="right"/>
        <w:rPr>
          <w:rFonts w:ascii="仿宋" w:eastAsia="仿宋" w:hAnsi="仿宋" w:cs="仿宋"/>
          <w:sz w:val="28"/>
          <w:lang w:bidi="ar"/>
        </w:rPr>
      </w:pPr>
      <w:r>
        <w:rPr>
          <w:rFonts w:ascii="仿宋" w:eastAsia="仿宋" w:hAnsi="仿宋" w:cs="仿宋" w:hint="eastAsia"/>
          <w:sz w:val="28"/>
          <w:lang w:bidi="ar"/>
        </w:rPr>
        <w:t>董事会</w:t>
      </w:r>
    </w:p>
    <w:p w14:paraId="553834C9" w14:textId="77777777" w:rsidR="007D2D45" w:rsidRDefault="00670C17">
      <w:pPr>
        <w:spacing w:beforeLines="50" w:before="156" w:line="360" w:lineRule="auto"/>
        <w:ind w:firstLineChars="200" w:firstLine="560"/>
        <w:jc w:val="right"/>
        <w:rPr>
          <w:rFonts w:ascii="仿宋" w:eastAsia="仿宋" w:hAnsi="仿宋" w:cs="仿宋"/>
          <w:sz w:val="28"/>
        </w:rPr>
      </w:pPr>
      <w:r>
        <w:rPr>
          <w:rFonts w:ascii="仿宋" w:eastAsia="仿宋" w:hAnsi="仿宋" w:cs="仿宋" w:hint="eastAsia"/>
          <w:sz w:val="28"/>
          <w:szCs w:val="28"/>
          <w:lang w:bidi="ar"/>
        </w:rPr>
        <w:t>2026</w:t>
      </w:r>
      <w:r>
        <w:rPr>
          <w:rFonts w:ascii="仿宋" w:eastAsia="仿宋" w:hAnsi="仿宋" w:cs="仿宋" w:hint="eastAsia"/>
          <w:sz w:val="28"/>
          <w:szCs w:val="28"/>
          <w:lang w:bidi="ar"/>
        </w:rPr>
        <w:t>年</w:t>
      </w:r>
      <w:r>
        <w:rPr>
          <w:rFonts w:ascii="仿宋" w:eastAsia="仿宋" w:hAnsi="仿宋" w:cs="仿宋"/>
          <w:sz w:val="28"/>
          <w:szCs w:val="28"/>
          <w:lang w:bidi="ar"/>
        </w:rPr>
        <w:t>7</w:t>
      </w:r>
      <w:r>
        <w:rPr>
          <w:rFonts w:ascii="仿宋" w:eastAsia="仿宋" w:hAnsi="仿宋" w:cs="仿宋" w:hint="eastAsia"/>
          <w:sz w:val="28"/>
          <w:szCs w:val="28"/>
          <w:lang w:bidi="ar"/>
        </w:rPr>
        <w:t>月</w:t>
      </w:r>
      <w:r>
        <w:rPr>
          <w:rFonts w:ascii="仿宋" w:eastAsia="仿宋" w:hAnsi="仿宋" w:cs="仿宋" w:hint="eastAsia"/>
          <w:sz w:val="28"/>
          <w:szCs w:val="28"/>
          <w:lang w:bidi="ar"/>
        </w:rPr>
        <w:t>1</w:t>
      </w:r>
      <w:r>
        <w:rPr>
          <w:rFonts w:ascii="仿宋" w:eastAsia="仿宋" w:hAnsi="仿宋" w:cs="仿宋" w:hint="eastAsia"/>
          <w:sz w:val="28"/>
          <w:szCs w:val="28"/>
          <w:lang w:bidi="ar"/>
        </w:rPr>
        <w:t>日</w:t>
      </w:r>
    </w:p>
    <w:p w14:paraId="351FE03F" w14:textId="77777777" w:rsidR="007D2D45" w:rsidRDefault="007D2D45">
      <w:pPr>
        <w:snapToGrid w:val="0"/>
        <w:spacing w:line="360" w:lineRule="auto"/>
        <w:ind w:firstLineChars="200" w:firstLine="560"/>
        <w:jc w:val="right"/>
        <w:rPr>
          <w:rFonts w:ascii="仿宋" w:eastAsia="仿宋" w:hAnsi="仿宋" w:cs="仿宋"/>
          <w:sz w:val="28"/>
          <w:szCs w:val="28"/>
        </w:rPr>
      </w:pPr>
    </w:p>
    <w:sectPr w:rsidR="007D2D4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7AFB8" w14:textId="77777777" w:rsidR="00670C17" w:rsidRDefault="00670C17">
      <w:r>
        <w:separator/>
      </w:r>
    </w:p>
  </w:endnote>
  <w:endnote w:type="continuationSeparator" w:id="0">
    <w:p w14:paraId="3575F6BA" w14:textId="77777777" w:rsidR="00670C17" w:rsidRDefault="0067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7B515" w14:textId="77777777" w:rsidR="007D2D45" w:rsidRDefault="00670C17">
    <w:pPr>
      <w:pStyle w:val="a4"/>
      <w:jc w:val="center"/>
    </w:pPr>
    <w:r>
      <w:fldChar w:fldCharType="begin"/>
    </w:r>
    <w:r>
      <w:instrText xml:space="preserve"> PAGE  \* Arabic  \* MERGEFORMAT </w:instrText>
    </w:r>
    <w:r>
      <w:fldChar w:fldCharType="separate"/>
    </w:r>
    <w:r w:rsidR="00564CD3">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652A8" w14:textId="77777777" w:rsidR="00670C17" w:rsidRDefault="00670C17">
      <w:r>
        <w:separator/>
      </w:r>
    </w:p>
  </w:footnote>
  <w:footnote w:type="continuationSeparator" w:id="0">
    <w:p w14:paraId="41A9491F" w14:textId="77777777" w:rsidR="00670C17" w:rsidRDefault="00670C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lOThjZTE2ZGQ0Y2ViYjU4ODVjM2E0NjgyY2MwNjgifQ=="/>
  </w:docVars>
  <w:rsids>
    <w:rsidRoot w:val="005B6B98"/>
    <w:rsid w:val="00004EA3"/>
    <w:rsid w:val="000115AF"/>
    <w:rsid w:val="00016E61"/>
    <w:rsid w:val="0003409C"/>
    <w:rsid w:val="00042CA4"/>
    <w:rsid w:val="00043EB7"/>
    <w:rsid w:val="0004665F"/>
    <w:rsid w:val="000511D8"/>
    <w:rsid w:val="00062918"/>
    <w:rsid w:val="00085224"/>
    <w:rsid w:val="000A6494"/>
    <w:rsid w:val="000B4A85"/>
    <w:rsid w:val="000C453B"/>
    <w:rsid w:val="000C533D"/>
    <w:rsid w:val="000C7A27"/>
    <w:rsid w:val="000D208C"/>
    <w:rsid w:val="000D4118"/>
    <w:rsid w:val="000E0167"/>
    <w:rsid w:val="000F1AE3"/>
    <w:rsid w:val="0010125C"/>
    <w:rsid w:val="00107093"/>
    <w:rsid w:val="00116985"/>
    <w:rsid w:val="00123EFF"/>
    <w:rsid w:val="0015055E"/>
    <w:rsid w:val="00151226"/>
    <w:rsid w:val="00162554"/>
    <w:rsid w:val="0017703C"/>
    <w:rsid w:val="00194AFA"/>
    <w:rsid w:val="001B2141"/>
    <w:rsid w:val="001B687E"/>
    <w:rsid w:val="001C6EB4"/>
    <w:rsid w:val="001D08AF"/>
    <w:rsid w:val="001D3543"/>
    <w:rsid w:val="001D7FC5"/>
    <w:rsid w:val="001E0B64"/>
    <w:rsid w:val="001E416C"/>
    <w:rsid w:val="001F5837"/>
    <w:rsid w:val="0020153E"/>
    <w:rsid w:val="00202ED5"/>
    <w:rsid w:val="00211A4F"/>
    <w:rsid w:val="00214F5B"/>
    <w:rsid w:val="00234353"/>
    <w:rsid w:val="002355D3"/>
    <w:rsid w:val="002543B6"/>
    <w:rsid w:val="00266231"/>
    <w:rsid w:val="00286594"/>
    <w:rsid w:val="00292BE3"/>
    <w:rsid w:val="00292E64"/>
    <w:rsid w:val="0029402C"/>
    <w:rsid w:val="00296417"/>
    <w:rsid w:val="002B059D"/>
    <w:rsid w:val="002B2367"/>
    <w:rsid w:val="002B5D29"/>
    <w:rsid w:val="002C6571"/>
    <w:rsid w:val="002D655F"/>
    <w:rsid w:val="002E06AF"/>
    <w:rsid w:val="002E3209"/>
    <w:rsid w:val="002E7795"/>
    <w:rsid w:val="002F11E1"/>
    <w:rsid w:val="002F25D7"/>
    <w:rsid w:val="00303FC4"/>
    <w:rsid w:val="0030416F"/>
    <w:rsid w:val="003078E0"/>
    <w:rsid w:val="003108D0"/>
    <w:rsid w:val="00313BCE"/>
    <w:rsid w:val="0031496D"/>
    <w:rsid w:val="00316742"/>
    <w:rsid w:val="00325A75"/>
    <w:rsid w:val="00325B37"/>
    <w:rsid w:val="0033172B"/>
    <w:rsid w:val="00331F7C"/>
    <w:rsid w:val="00333495"/>
    <w:rsid w:val="003437A9"/>
    <w:rsid w:val="003441DF"/>
    <w:rsid w:val="00344B54"/>
    <w:rsid w:val="003469C0"/>
    <w:rsid w:val="003519AD"/>
    <w:rsid w:val="00364CFD"/>
    <w:rsid w:val="00371B23"/>
    <w:rsid w:val="00390D63"/>
    <w:rsid w:val="003A34F1"/>
    <w:rsid w:val="003B278C"/>
    <w:rsid w:val="003B3FC9"/>
    <w:rsid w:val="003B69A0"/>
    <w:rsid w:val="003E34E6"/>
    <w:rsid w:val="003E627A"/>
    <w:rsid w:val="003F09CD"/>
    <w:rsid w:val="003F4C77"/>
    <w:rsid w:val="00403A10"/>
    <w:rsid w:val="00411D31"/>
    <w:rsid w:val="00420EFA"/>
    <w:rsid w:val="00431010"/>
    <w:rsid w:val="00440CCC"/>
    <w:rsid w:val="00444A3E"/>
    <w:rsid w:val="0046359B"/>
    <w:rsid w:val="00463991"/>
    <w:rsid w:val="0046491D"/>
    <w:rsid w:val="00465CE4"/>
    <w:rsid w:val="0047104B"/>
    <w:rsid w:val="004806B5"/>
    <w:rsid w:val="004812E9"/>
    <w:rsid w:val="00483973"/>
    <w:rsid w:val="004940CF"/>
    <w:rsid w:val="0049763C"/>
    <w:rsid w:val="004A7917"/>
    <w:rsid w:val="004D6E82"/>
    <w:rsid w:val="004E5078"/>
    <w:rsid w:val="004F195D"/>
    <w:rsid w:val="004F510B"/>
    <w:rsid w:val="004F58CE"/>
    <w:rsid w:val="004F597C"/>
    <w:rsid w:val="0052120A"/>
    <w:rsid w:val="005276F2"/>
    <w:rsid w:val="00542F43"/>
    <w:rsid w:val="00553C0D"/>
    <w:rsid w:val="00554DC4"/>
    <w:rsid w:val="00564CD3"/>
    <w:rsid w:val="005764DB"/>
    <w:rsid w:val="00582AC8"/>
    <w:rsid w:val="00584A54"/>
    <w:rsid w:val="00585BBB"/>
    <w:rsid w:val="00585DD3"/>
    <w:rsid w:val="00586992"/>
    <w:rsid w:val="00587DD3"/>
    <w:rsid w:val="005919FD"/>
    <w:rsid w:val="005A7290"/>
    <w:rsid w:val="005B3C42"/>
    <w:rsid w:val="005B4916"/>
    <w:rsid w:val="005B4BDE"/>
    <w:rsid w:val="005B6B98"/>
    <w:rsid w:val="005C1926"/>
    <w:rsid w:val="005C36C2"/>
    <w:rsid w:val="005D6F48"/>
    <w:rsid w:val="005E6E4F"/>
    <w:rsid w:val="005F0366"/>
    <w:rsid w:val="005F1E9E"/>
    <w:rsid w:val="005F4AC9"/>
    <w:rsid w:val="00601F83"/>
    <w:rsid w:val="00604ACB"/>
    <w:rsid w:val="00605327"/>
    <w:rsid w:val="006055C8"/>
    <w:rsid w:val="00624A16"/>
    <w:rsid w:val="00631482"/>
    <w:rsid w:val="00635519"/>
    <w:rsid w:val="00636C7C"/>
    <w:rsid w:val="00643920"/>
    <w:rsid w:val="0064573F"/>
    <w:rsid w:val="00646B70"/>
    <w:rsid w:val="00646DF7"/>
    <w:rsid w:val="00647E05"/>
    <w:rsid w:val="006534B8"/>
    <w:rsid w:val="0065591E"/>
    <w:rsid w:val="00656592"/>
    <w:rsid w:val="0066614E"/>
    <w:rsid w:val="00670C17"/>
    <w:rsid w:val="00695C6A"/>
    <w:rsid w:val="006A15F7"/>
    <w:rsid w:val="006A42FF"/>
    <w:rsid w:val="006C0111"/>
    <w:rsid w:val="006C1151"/>
    <w:rsid w:val="006C6B32"/>
    <w:rsid w:val="006D2A72"/>
    <w:rsid w:val="006E41D3"/>
    <w:rsid w:val="006E68C8"/>
    <w:rsid w:val="006E6E4A"/>
    <w:rsid w:val="006F77BB"/>
    <w:rsid w:val="00702203"/>
    <w:rsid w:val="007112D2"/>
    <w:rsid w:val="00714A28"/>
    <w:rsid w:val="0071689C"/>
    <w:rsid w:val="007225D5"/>
    <w:rsid w:val="00723465"/>
    <w:rsid w:val="00726E57"/>
    <w:rsid w:val="00732A2A"/>
    <w:rsid w:val="00735013"/>
    <w:rsid w:val="00750DBB"/>
    <w:rsid w:val="007530FD"/>
    <w:rsid w:val="00754044"/>
    <w:rsid w:val="00760D06"/>
    <w:rsid w:val="00762F08"/>
    <w:rsid w:val="00766AE6"/>
    <w:rsid w:val="00780C0A"/>
    <w:rsid w:val="007869B0"/>
    <w:rsid w:val="00795697"/>
    <w:rsid w:val="007C1E79"/>
    <w:rsid w:val="007C726C"/>
    <w:rsid w:val="007D2D45"/>
    <w:rsid w:val="007E5CC1"/>
    <w:rsid w:val="007E7CEE"/>
    <w:rsid w:val="007F2FA0"/>
    <w:rsid w:val="0080383C"/>
    <w:rsid w:val="0080580E"/>
    <w:rsid w:val="00835063"/>
    <w:rsid w:val="008412E0"/>
    <w:rsid w:val="00846A93"/>
    <w:rsid w:val="00850370"/>
    <w:rsid w:val="00850471"/>
    <w:rsid w:val="008561A2"/>
    <w:rsid w:val="00860344"/>
    <w:rsid w:val="008618DD"/>
    <w:rsid w:val="00864F28"/>
    <w:rsid w:val="00872761"/>
    <w:rsid w:val="00881D8B"/>
    <w:rsid w:val="0089054C"/>
    <w:rsid w:val="008B1959"/>
    <w:rsid w:val="008B28A9"/>
    <w:rsid w:val="008B62C4"/>
    <w:rsid w:val="008B688C"/>
    <w:rsid w:val="008D0CED"/>
    <w:rsid w:val="008E2FBA"/>
    <w:rsid w:val="008E3C1C"/>
    <w:rsid w:val="008E7A49"/>
    <w:rsid w:val="008F37B5"/>
    <w:rsid w:val="00903252"/>
    <w:rsid w:val="00903358"/>
    <w:rsid w:val="00904F76"/>
    <w:rsid w:val="009068A7"/>
    <w:rsid w:val="00931534"/>
    <w:rsid w:val="00936EF7"/>
    <w:rsid w:val="00942C2D"/>
    <w:rsid w:val="009523CC"/>
    <w:rsid w:val="009637D3"/>
    <w:rsid w:val="0096781A"/>
    <w:rsid w:val="009720E8"/>
    <w:rsid w:val="00972D07"/>
    <w:rsid w:val="009737D5"/>
    <w:rsid w:val="00973ABD"/>
    <w:rsid w:val="009770D2"/>
    <w:rsid w:val="00980167"/>
    <w:rsid w:val="009822A4"/>
    <w:rsid w:val="009A0B48"/>
    <w:rsid w:val="009B073F"/>
    <w:rsid w:val="009B557B"/>
    <w:rsid w:val="009B7278"/>
    <w:rsid w:val="009C39DA"/>
    <w:rsid w:val="009C3F55"/>
    <w:rsid w:val="009C47A0"/>
    <w:rsid w:val="009D4240"/>
    <w:rsid w:val="009D580D"/>
    <w:rsid w:val="009D5E8A"/>
    <w:rsid w:val="009E02C3"/>
    <w:rsid w:val="00A05AE8"/>
    <w:rsid w:val="00A10721"/>
    <w:rsid w:val="00A12CB3"/>
    <w:rsid w:val="00A33037"/>
    <w:rsid w:val="00A37C0B"/>
    <w:rsid w:val="00A415CB"/>
    <w:rsid w:val="00A45466"/>
    <w:rsid w:val="00A5513A"/>
    <w:rsid w:val="00A60466"/>
    <w:rsid w:val="00A61D88"/>
    <w:rsid w:val="00A641CA"/>
    <w:rsid w:val="00A742DF"/>
    <w:rsid w:val="00A860B6"/>
    <w:rsid w:val="00A96962"/>
    <w:rsid w:val="00A97AC7"/>
    <w:rsid w:val="00AB220F"/>
    <w:rsid w:val="00AB249C"/>
    <w:rsid w:val="00AD2713"/>
    <w:rsid w:val="00B1592E"/>
    <w:rsid w:val="00B21823"/>
    <w:rsid w:val="00B30DFF"/>
    <w:rsid w:val="00B3600A"/>
    <w:rsid w:val="00B56F61"/>
    <w:rsid w:val="00B62933"/>
    <w:rsid w:val="00B64BF3"/>
    <w:rsid w:val="00B77028"/>
    <w:rsid w:val="00B93BCD"/>
    <w:rsid w:val="00B94C12"/>
    <w:rsid w:val="00BA500D"/>
    <w:rsid w:val="00BA546F"/>
    <w:rsid w:val="00BD53FD"/>
    <w:rsid w:val="00BD66DA"/>
    <w:rsid w:val="00BF4E2F"/>
    <w:rsid w:val="00BF679E"/>
    <w:rsid w:val="00C0267B"/>
    <w:rsid w:val="00C0691B"/>
    <w:rsid w:val="00C07DE1"/>
    <w:rsid w:val="00C179F3"/>
    <w:rsid w:val="00C20F55"/>
    <w:rsid w:val="00C215A7"/>
    <w:rsid w:val="00C26AF1"/>
    <w:rsid w:val="00C32AB4"/>
    <w:rsid w:val="00C34899"/>
    <w:rsid w:val="00C37A89"/>
    <w:rsid w:val="00C44951"/>
    <w:rsid w:val="00C466CC"/>
    <w:rsid w:val="00C46EB4"/>
    <w:rsid w:val="00C550C5"/>
    <w:rsid w:val="00C57B16"/>
    <w:rsid w:val="00C62096"/>
    <w:rsid w:val="00C6334C"/>
    <w:rsid w:val="00C64364"/>
    <w:rsid w:val="00C6790C"/>
    <w:rsid w:val="00C70CF9"/>
    <w:rsid w:val="00C723DF"/>
    <w:rsid w:val="00C7617C"/>
    <w:rsid w:val="00C81B0E"/>
    <w:rsid w:val="00C8399C"/>
    <w:rsid w:val="00C83A16"/>
    <w:rsid w:val="00C8720E"/>
    <w:rsid w:val="00C913E5"/>
    <w:rsid w:val="00C92072"/>
    <w:rsid w:val="00C96760"/>
    <w:rsid w:val="00CB12B3"/>
    <w:rsid w:val="00CB1C0D"/>
    <w:rsid w:val="00CB43C6"/>
    <w:rsid w:val="00CC1E53"/>
    <w:rsid w:val="00CD044F"/>
    <w:rsid w:val="00CD36D7"/>
    <w:rsid w:val="00CD5212"/>
    <w:rsid w:val="00CF1635"/>
    <w:rsid w:val="00D00062"/>
    <w:rsid w:val="00D24A9E"/>
    <w:rsid w:val="00D30447"/>
    <w:rsid w:val="00D31E21"/>
    <w:rsid w:val="00D3291C"/>
    <w:rsid w:val="00D47A5D"/>
    <w:rsid w:val="00D5502F"/>
    <w:rsid w:val="00D56503"/>
    <w:rsid w:val="00D7027A"/>
    <w:rsid w:val="00D728B9"/>
    <w:rsid w:val="00D767B5"/>
    <w:rsid w:val="00D80560"/>
    <w:rsid w:val="00D82E48"/>
    <w:rsid w:val="00D96DCD"/>
    <w:rsid w:val="00DA1808"/>
    <w:rsid w:val="00DA1ECA"/>
    <w:rsid w:val="00DA21DB"/>
    <w:rsid w:val="00DA3713"/>
    <w:rsid w:val="00DC3A72"/>
    <w:rsid w:val="00DD30CE"/>
    <w:rsid w:val="00DD720D"/>
    <w:rsid w:val="00DD7511"/>
    <w:rsid w:val="00DE47BA"/>
    <w:rsid w:val="00DE4A1A"/>
    <w:rsid w:val="00DE583B"/>
    <w:rsid w:val="00DE6DFA"/>
    <w:rsid w:val="00DF6F8D"/>
    <w:rsid w:val="00E0359C"/>
    <w:rsid w:val="00E25DA0"/>
    <w:rsid w:val="00E30451"/>
    <w:rsid w:val="00E30AA4"/>
    <w:rsid w:val="00E43FC8"/>
    <w:rsid w:val="00E533FB"/>
    <w:rsid w:val="00E629EA"/>
    <w:rsid w:val="00E7188E"/>
    <w:rsid w:val="00E861DC"/>
    <w:rsid w:val="00E92BB0"/>
    <w:rsid w:val="00EA253B"/>
    <w:rsid w:val="00EA661F"/>
    <w:rsid w:val="00EA6C74"/>
    <w:rsid w:val="00EB60D7"/>
    <w:rsid w:val="00EC177C"/>
    <w:rsid w:val="00EC192F"/>
    <w:rsid w:val="00EC6B54"/>
    <w:rsid w:val="00ED36A2"/>
    <w:rsid w:val="00ED5911"/>
    <w:rsid w:val="00EF69C9"/>
    <w:rsid w:val="00F1342A"/>
    <w:rsid w:val="00F2021B"/>
    <w:rsid w:val="00F20CFE"/>
    <w:rsid w:val="00F25B72"/>
    <w:rsid w:val="00F2665F"/>
    <w:rsid w:val="00F334B5"/>
    <w:rsid w:val="00F443CF"/>
    <w:rsid w:val="00F475D2"/>
    <w:rsid w:val="00F71EE9"/>
    <w:rsid w:val="00F7614A"/>
    <w:rsid w:val="00F80279"/>
    <w:rsid w:val="00F8302D"/>
    <w:rsid w:val="00F9521A"/>
    <w:rsid w:val="00FA36EA"/>
    <w:rsid w:val="00FB2E4D"/>
    <w:rsid w:val="00FC7C94"/>
    <w:rsid w:val="00FE298F"/>
    <w:rsid w:val="00FE37F2"/>
    <w:rsid w:val="00FE4A0E"/>
    <w:rsid w:val="02310132"/>
    <w:rsid w:val="032365A9"/>
    <w:rsid w:val="0361265C"/>
    <w:rsid w:val="080A4579"/>
    <w:rsid w:val="0D5F7DD6"/>
    <w:rsid w:val="14861F22"/>
    <w:rsid w:val="156B6F4B"/>
    <w:rsid w:val="16261842"/>
    <w:rsid w:val="181C5568"/>
    <w:rsid w:val="1A2D037C"/>
    <w:rsid w:val="1AE7638C"/>
    <w:rsid w:val="1D1F583A"/>
    <w:rsid w:val="1E8170BF"/>
    <w:rsid w:val="200C7BCE"/>
    <w:rsid w:val="240F5A90"/>
    <w:rsid w:val="255A0F8D"/>
    <w:rsid w:val="2B1328B5"/>
    <w:rsid w:val="2BE73B31"/>
    <w:rsid w:val="2F307C09"/>
    <w:rsid w:val="2FA34A6B"/>
    <w:rsid w:val="336851BD"/>
    <w:rsid w:val="391E3DE9"/>
    <w:rsid w:val="3C5255AE"/>
    <w:rsid w:val="3E063608"/>
    <w:rsid w:val="3F461941"/>
    <w:rsid w:val="43086074"/>
    <w:rsid w:val="448C37A5"/>
    <w:rsid w:val="45C57BED"/>
    <w:rsid w:val="4A022010"/>
    <w:rsid w:val="4A795622"/>
    <w:rsid w:val="4B217CD3"/>
    <w:rsid w:val="514F19CB"/>
    <w:rsid w:val="5167665C"/>
    <w:rsid w:val="51EC090F"/>
    <w:rsid w:val="567C2252"/>
    <w:rsid w:val="5FAE5456"/>
    <w:rsid w:val="6078165F"/>
    <w:rsid w:val="60ED0796"/>
    <w:rsid w:val="6AFB5D68"/>
    <w:rsid w:val="6CB71DEE"/>
    <w:rsid w:val="6D49739B"/>
    <w:rsid w:val="713E6586"/>
    <w:rsid w:val="798D5DE3"/>
    <w:rsid w:val="7A7B1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宋体" w:hAnsi="宋体"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宋体" w:hAnsi="宋体" w:cstheme="minorBidi"/>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Times New Roman" w:hAnsi="Times New Roman" w:cs="Times New Roman"/>
      <w:sz w:val="18"/>
      <w:szCs w:val="18"/>
    </w:rPr>
  </w:style>
  <w:style w:type="paragraph" w:styleId="a7">
    <w:name w:val="List Paragraph"/>
    <w:basedOn w:val="a"/>
    <w:uiPriority w:val="99"/>
    <w:qFormat/>
    <w:pPr>
      <w:ind w:firstLineChars="200" w:firstLine="420"/>
    </w:pPr>
  </w:style>
  <w:style w:type="paragraph" w:customStyle="1" w:styleId="1">
    <w:name w:val="修订1"/>
    <w:hidden/>
    <w:uiPriority w:val="99"/>
    <w:unhideWhenUsed/>
    <w:qFormat/>
    <w:rPr>
      <w:rFonts w:ascii="Times New Roman" w:hAnsi="Times New Roman" w:cs="Times New Roman"/>
      <w:kern w:val="2"/>
      <w:sz w:val="21"/>
    </w:rPr>
  </w:style>
  <w:style w:type="paragraph" w:customStyle="1" w:styleId="2">
    <w:name w:val="修订2"/>
    <w:hidden/>
    <w:uiPriority w:val="99"/>
    <w:unhideWhenUsed/>
    <w:qFormat/>
    <w:rPr>
      <w:rFonts w:ascii="Times New Roman" w:hAnsi="Times New Roman"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宋体" w:hAnsi="宋体"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宋体" w:hAnsi="宋体" w:cstheme="minorBidi"/>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Times New Roman" w:hAnsi="Times New Roman" w:cs="Times New Roman"/>
      <w:sz w:val="18"/>
      <w:szCs w:val="18"/>
    </w:rPr>
  </w:style>
  <w:style w:type="paragraph" w:styleId="a7">
    <w:name w:val="List Paragraph"/>
    <w:basedOn w:val="a"/>
    <w:uiPriority w:val="99"/>
    <w:qFormat/>
    <w:pPr>
      <w:ind w:firstLineChars="200" w:firstLine="420"/>
    </w:pPr>
  </w:style>
  <w:style w:type="paragraph" w:customStyle="1" w:styleId="1">
    <w:name w:val="修订1"/>
    <w:hidden/>
    <w:uiPriority w:val="99"/>
    <w:unhideWhenUsed/>
    <w:qFormat/>
    <w:rPr>
      <w:rFonts w:ascii="Times New Roman" w:hAnsi="Times New Roman" w:cs="Times New Roman"/>
      <w:kern w:val="2"/>
      <w:sz w:val="21"/>
    </w:rPr>
  </w:style>
  <w:style w:type="paragraph" w:customStyle="1" w:styleId="2">
    <w:name w:val="修订2"/>
    <w:hidden/>
    <w:uiPriority w:val="99"/>
    <w:unhideWhenUsed/>
    <w:qFormat/>
    <w:rPr>
      <w:rFonts w:ascii="Times New Roman"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1074</Characters>
  <Application>Microsoft Office Word</Application>
  <DocSecurity>0</DocSecurity>
  <Lines>71</Lines>
  <Paragraphs>51</Paragraphs>
  <ScaleCrop>false</ScaleCrop>
  <Company>china</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梁红霞</dc:creator>
  <cp:lastModifiedBy>hsq</cp:lastModifiedBy>
  <cp:revision>72</cp:revision>
  <cp:lastPrinted>2024-07-18T08:52:00Z</cp:lastPrinted>
  <dcterms:created xsi:type="dcterms:W3CDTF">2024-07-31T01:17:00Z</dcterms:created>
  <dcterms:modified xsi:type="dcterms:W3CDTF">2026-06-30T10:11:00Z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B38ADD5DE6314B3CB43716AEFEEBF55D</vt:lpwstr>
  </property>
  <property fmtid="{D5CDD505-2E9C-101B-9397-08002B2CF9AE}" pid="4" name="KSOTemplateDocerSaveRecord">
    <vt:lpwstr>eyJoZGlkIjoiYjc3NTVmODk5OWI4YTU0YmU5MTlhYzJjMjBkNzFlNmEiLCJ1c2VySWQiOiIyNDMwNTgyMjAifQ==</vt:lpwstr>
  </property>
</Properties>
</file>