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E4D3C">
      <w:pPr>
        <w:widowControl/>
        <w:jc w:val="left"/>
        <w:rPr>
          <w:rFonts w:ascii="仿宋" w:hAnsi="仿宋" w:eastAsia="仿宋" w:cs="仿宋"/>
          <w:sz w:val="28"/>
          <w:szCs w:val="28"/>
        </w:rPr>
      </w:pPr>
      <w:bookmarkStart w:id="0" w:name="CompanyName_3"/>
      <w:r>
        <w:rPr>
          <w:rFonts w:hint="eastAsia" w:ascii="仿宋" w:hAnsi="仿宋" w:eastAsia="仿宋" w:cs="仿宋"/>
          <w:kern w:val="0"/>
          <w:sz w:val="28"/>
          <w:szCs w:val="28"/>
          <w:lang w:bidi="ar"/>
        </w:rPr>
        <w:t>证券代码：301178    证券简称：天亿马    公告编号：2026-043</w:t>
      </w:r>
    </w:p>
    <w:p w14:paraId="37CEC91E">
      <w:pPr>
        <w:spacing w:line="360" w:lineRule="auto"/>
        <w:ind w:firstLine="482" w:firstLineChars="200"/>
        <w:jc w:val="center"/>
        <w:rPr>
          <w:rFonts w:ascii="仿宋" w:hAnsi="仿宋" w:eastAsia="仿宋"/>
          <w:b/>
          <w:bCs/>
          <w:sz w:val="24"/>
          <w:lang w:val="zh-CN"/>
        </w:rPr>
      </w:pPr>
    </w:p>
    <w:p w14:paraId="6F942DDD">
      <w:pPr>
        <w:spacing w:line="360" w:lineRule="auto"/>
        <w:ind w:firstLine="720" w:firstLineChars="200"/>
        <w:jc w:val="center"/>
        <w:rPr>
          <w:rFonts w:ascii="黑体" w:hAnsi="黑体" w:eastAsia="黑体" w:cs="黑体"/>
          <w:sz w:val="36"/>
          <w:szCs w:val="36"/>
          <w:lang w:val="zh-CN"/>
        </w:rPr>
      </w:pPr>
      <w:r>
        <w:rPr>
          <w:rFonts w:hint="eastAsia" w:ascii="黑体" w:hAnsi="黑体" w:eastAsia="黑体" w:cs="黑体"/>
          <w:sz w:val="36"/>
          <w:szCs w:val="36"/>
          <w:lang w:val="zh-CN"/>
        </w:rPr>
        <w:t>广东天亿马信息产业股份有限公司</w:t>
      </w:r>
    </w:p>
    <w:p w14:paraId="15342387">
      <w:pPr>
        <w:spacing w:after="240" w:afterLines="100" w:line="360" w:lineRule="auto"/>
        <w:ind w:firstLine="720" w:firstLineChars="200"/>
        <w:jc w:val="center"/>
        <w:rPr>
          <w:rFonts w:ascii="黑体" w:hAnsi="黑体" w:eastAsia="黑体" w:cs="黑体"/>
          <w:b/>
          <w:bCs/>
          <w:sz w:val="36"/>
          <w:szCs w:val="36"/>
          <w:lang w:val="zh-CN"/>
        </w:rPr>
      </w:pPr>
      <w:r>
        <w:rPr>
          <w:rFonts w:hint="eastAsia" w:ascii="黑体" w:hAnsi="黑体" w:eastAsia="黑体" w:cs="黑体"/>
          <w:sz w:val="36"/>
          <w:szCs w:val="36"/>
          <w:lang w:val="zh-CN"/>
        </w:rPr>
        <w:t>202</w:t>
      </w:r>
      <w:r>
        <w:rPr>
          <w:rFonts w:hint="eastAsia" w:ascii="黑体" w:hAnsi="黑体" w:eastAsia="黑体" w:cs="黑体"/>
          <w:sz w:val="36"/>
          <w:szCs w:val="36"/>
        </w:rPr>
        <w:t>6</w:t>
      </w:r>
      <w:r>
        <w:rPr>
          <w:rFonts w:hint="eastAsia" w:ascii="黑体" w:hAnsi="黑体" w:eastAsia="黑体" w:cs="黑体"/>
          <w:sz w:val="36"/>
          <w:szCs w:val="36"/>
          <w:lang w:val="zh-CN"/>
        </w:rPr>
        <w:t>年第二次临时股东会决议公告</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C79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522" w:type="dxa"/>
            <w:tcBorders>
              <w:top w:val="single" w:color="auto" w:sz="4" w:space="0"/>
              <w:left w:val="single" w:color="auto" w:sz="4" w:space="0"/>
              <w:bottom w:val="single" w:color="auto" w:sz="4" w:space="0"/>
              <w:right w:val="single" w:color="auto" w:sz="4" w:space="0"/>
            </w:tcBorders>
          </w:tcPr>
          <w:p w14:paraId="274F18F4">
            <w:pPr>
              <w:widowControl/>
              <w:spacing w:line="440" w:lineRule="exact"/>
              <w:ind w:firstLine="560" w:firstLineChars="200"/>
              <w:rPr>
                <w:rFonts w:ascii="楷体" w:hAnsi="楷体" w:eastAsia="楷体" w:cs="宋体"/>
                <w:color w:val="000000"/>
                <w:kern w:val="0"/>
                <w:sz w:val="28"/>
              </w:rPr>
            </w:pPr>
            <w:r>
              <w:rPr>
                <w:rFonts w:hint="eastAsia" w:ascii="楷体" w:hAnsi="楷体" w:eastAsia="楷体" w:cs="宋体"/>
                <w:color w:val="000000"/>
                <w:kern w:val="0"/>
                <w:sz w:val="28"/>
              </w:rPr>
              <w:t>本公司及董事会全体成员保证信息披露内容的真实、准确和完整，没有虚假记载、误导性陈述或重大遗漏。</w:t>
            </w:r>
          </w:p>
        </w:tc>
      </w:tr>
    </w:tbl>
    <w:p w14:paraId="699D33BA">
      <w:pPr>
        <w:spacing w:line="360" w:lineRule="auto"/>
        <w:rPr>
          <w:rFonts w:ascii="仿宋" w:hAnsi="仿宋" w:eastAsia="仿宋"/>
          <w:b/>
          <w:bCs/>
          <w:sz w:val="32"/>
          <w:szCs w:val="32"/>
          <w:lang w:val="zh-CN"/>
        </w:rPr>
      </w:pPr>
    </w:p>
    <w:p w14:paraId="4D88408F">
      <w:pPr>
        <w:spacing w:line="360" w:lineRule="auto"/>
        <w:ind w:firstLine="560" w:firstLineChars="200"/>
        <w:rPr>
          <w:rFonts w:ascii="仿宋" w:hAnsi="仿宋" w:eastAsia="仿宋"/>
          <w:sz w:val="28"/>
          <w:szCs w:val="28"/>
          <w:lang w:val="zh-CN"/>
        </w:rPr>
      </w:pPr>
      <w:r>
        <w:rPr>
          <w:rFonts w:hint="eastAsia" w:ascii="仿宋" w:hAnsi="仿宋" w:eastAsia="仿宋"/>
          <w:sz w:val="28"/>
          <w:szCs w:val="28"/>
          <w:lang w:val="zh-CN"/>
        </w:rPr>
        <w:t>特别提示：</w:t>
      </w:r>
    </w:p>
    <w:p w14:paraId="19F08377">
      <w:pPr>
        <w:spacing w:line="360" w:lineRule="auto"/>
        <w:ind w:firstLine="560" w:firstLineChars="200"/>
        <w:rPr>
          <w:rFonts w:ascii="仿宋" w:hAnsi="仿宋" w:eastAsia="仿宋"/>
          <w:sz w:val="28"/>
          <w:szCs w:val="28"/>
          <w:lang w:val="zh-CN"/>
        </w:rPr>
      </w:pPr>
      <w:r>
        <w:rPr>
          <w:rFonts w:hint="eastAsia" w:ascii="仿宋" w:hAnsi="仿宋" w:eastAsia="仿宋"/>
          <w:sz w:val="28"/>
          <w:szCs w:val="28"/>
          <w:lang w:val="zh-CN"/>
        </w:rPr>
        <w:t>1.本次股东会不存在否决议案的情形。</w:t>
      </w:r>
    </w:p>
    <w:p w14:paraId="46142CC6">
      <w:pPr>
        <w:spacing w:after="480" w:afterLines="200" w:line="360" w:lineRule="auto"/>
        <w:ind w:firstLine="560" w:firstLineChars="200"/>
        <w:rPr>
          <w:rFonts w:ascii="仿宋" w:hAnsi="仿宋" w:eastAsia="仿宋"/>
          <w:b/>
          <w:bCs/>
          <w:sz w:val="24"/>
          <w:lang w:val="zh-CN"/>
        </w:rPr>
      </w:pPr>
      <w:r>
        <w:rPr>
          <w:rFonts w:hint="eastAsia" w:ascii="仿宋" w:hAnsi="仿宋" w:eastAsia="仿宋"/>
          <w:sz w:val="28"/>
          <w:szCs w:val="28"/>
          <w:lang w:val="zh-CN"/>
        </w:rPr>
        <w:t>2.本次股东会不涉及变更以往股东会已通过的决议。</w:t>
      </w:r>
    </w:p>
    <w:p w14:paraId="0ECE2912">
      <w:pPr>
        <w:numPr>
          <w:ilvl w:val="0"/>
          <w:numId w:val="1"/>
        </w:numPr>
        <w:spacing w:line="360" w:lineRule="auto"/>
        <w:ind w:firstLine="562" w:firstLineChars="200"/>
        <w:outlineLvl w:val="0"/>
        <w:rPr>
          <w:rFonts w:ascii="仿宋" w:hAnsi="仿宋" w:eastAsia="仿宋"/>
          <w:b/>
          <w:bCs/>
          <w:sz w:val="28"/>
          <w:szCs w:val="28"/>
        </w:rPr>
      </w:pPr>
      <w:r>
        <w:rPr>
          <w:rFonts w:hint="eastAsia" w:ascii="仿宋" w:hAnsi="仿宋" w:eastAsia="仿宋"/>
          <w:b/>
          <w:bCs/>
          <w:sz w:val="28"/>
          <w:szCs w:val="28"/>
        </w:rPr>
        <w:t>会议召开情况</w:t>
      </w:r>
    </w:p>
    <w:p w14:paraId="4CC81501">
      <w:pPr>
        <w:spacing w:line="360" w:lineRule="auto"/>
        <w:ind w:firstLine="560" w:firstLineChars="200"/>
        <w:outlineLvl w:val="1"/>
        <w:rPr>
          <w:rFonts w:ascii="仿宋" w:hAnsi="仿宋" w:eastAsia="仿宋"/>
          <w:sz w:val="28"/>
          <w:szCs w:val="28"/>
        </w:rPr>
      </w:pPr>
      <w:r>
        <w:rPr>
          <w:rFonts w:hint="eastAsia" w:ascii="仿宋" w:hAnsi="仿宋" w:eastAsia="仿宋"/>
          <w:sz w:val="28"/>
          <w:szCs w:val="28"/>
        </w:rPr>
        <w:t>（一）召开时间</w:t>
      </w:r>
    </w:p>
    <w:p w14:paraId="0EE707C6">
      <w:pPr>
        <w:spacing w:line="360" w:lineRule="auto"/>
        <w:ind w:firstLine="560" w:firstLineChars="200"/>
        <w:rPr>
          <w:rFonts w:ascii="仿宋" w:hAnsi="仿宋" w:eastAsia="仿宋"/>
          <w:sz w:val="28"/>
          <w:szCs w:val="28"/>
        </w:rPr>
      </w:pPr>
      <w:r>
        <w:rPr>
          <w:rFonts w:ascii="仿宋" w:hAnsi="仿宋" w:eastAsia="仿宋"/>
          <w:sz w:val="28"/>
          <w:szCs w:val="28"/>
        </w:rPr>
        <w:t>1.现场会议时间：202</w:t>
      </w:r>
      <w:r>
        <w:rPr>
          <w:rFonts w:hint="eastAsia" w:ascii="仿宋" w:hAnsi="仿宋" w:eastAsia="仿宋"/>
          <w:sz w:val="28"/>
          <w:szCs w:val="28"/>
        </w:rPr>
        <w:t>6</w:t>
      </w:r>
      <w:r>
        <w:rPr>
          <w:rFonts w:ascii="仿宋" w:hAnsi="仿宋" w:eastAsia="仿宋"/>
          <w:sz w:val="28"/>
          <w:szCs w:val="28"/>
        </w:rPr>
        <w:t>年</w:t>
      </w:r>
      <w:r>
        <w:rPr>
          <w:rFonts w:hint="eastAsia" w:ascii="仿宋" w:hAnsi="仿宋" w:eastAsia="仿宋"/>
          <w:sz w:val="28"/>
          <w:szCs w:val="28"/>
        </w:rPr>
        <w:t>6</w:t>
      </w:r>
      <w:r>
        <w:rPr>
          <w:rFonts w:ascii="仿宋" w:hAnsi="仿宋" w:eastAsia="仿宋"/>
          <w:sz w:val="28"/>
          <w:szCs w:val="28"/>
        </w:rPr>
        <w:t>月</w:t>
      </w:r>
      <w:r>
        <w:rPr>
          <w:rFonts w:hint="eastAsia" w:ascii="仿宋" w:hAnsi="仿宋" w:eastAsia="仿宋"/>
          <w:sz w:val="28"/>
          <w:szCs w:val="28"/>
        </w:rPr>
        <w:t>30</w:t>
      </w:r>
      <w:r>
        <w:rPr>
          <w:rFonts w:ascii="仿宋" w:hAnsi="仿宋" w:eastAsia="仿宋"/>
          <w:sz w:val="28"/>
          <w:szCs w:val="28"/>
        </w:rPr>
        <w:t>日（星期</w:t>
      </w:r>
      <w:r>
        <w:rPr>
          <w:rFonts w:hint="eastAsia" w:ascii="仿宋" w:hAnsi="仿宋" w:eastAsia="仿宋"/>
          <w:sz w:val="28"/>
          <w:szCs w:val="28"/>
        </w:rPr>
        <w:t>二</w:t>
      </w:r>
      <w:r>
        <w:rPr>
          <w:rFonts w:ascii="仿宋" w:hAnsi="仿宋" w:eastAsia="仿宋"/>
          <w:sz w:val="28"/>
          <w:szCs w:val="28"/>
        </w:rPr>
        <w:t>）下午15:00。</w:t>
      </w:r>
    </w:p>
    <w:p w14:paraId="68AC6DD3">
      <w:pPr>
        <w:spacing w:line="360" w:lineRule="auto"/>
        <w:ind w:firstLine="560" w:firstLineChars="200"/>
        <w:rPr>
          <w:rFonts w:ascii="仿宋" w:hAnsi="仿宋" w:eastAsia="仿宋"/>
          <w:sz w:val="28"/>
          <w:szCs w:val="28"/>
        </w:rPr>
      </w:pPr>
      <w:r>
        <w:rPr>
          <w:rFonts w:ascii="仿宋" w:hAnsi="仿宋" w:eastAsia="仿宋"/>
          <w:sz w:val="28"/>
          <w:szCs w:val="28"/>
        </w:rPr>
        <w:t>2.网络投票时间：</w:t>
      </w:r>
      <w:r>
        <w:rPr>
          <w:rFonts w:hint="eastAsia" w:ascii="仿宋" w:hAnsi="仿宋" w:eastAsia="仿宋"/>
          <w:sz w:val="28"/>
          <w:szCs w:val="28"/>
        </w:rPr>
        <w:t>1）</w:t>
      </w:r>
      <w:r>
        <w:rPr>
          <w:rFonts w:ascii="仿宋" w:hAnsi="仿宋" w:eastAsia="仿宋"/>
          <w:sz w:val="28"/>
          <w:szCs w:val="28"/>
        </w:rPr>
        <w:t>深圳证券交易所交易系统投票的时间为现场会议召开当日9:15—9：25，9:30—11:30和13:00—15:00</w:t>
      </w:r>
      <w:r>
        <w:rPr>
          <w:rFonts w:hint="eastAsia" w:ascii="仿宋" w:hAnsi="仿宋" w:eastAsia="仿宋"/>
          <w:sz w:val="28"/>
          <w:szCs w:val="28"/>
        </w:rPr>
        <w:t>；2）</w:t>
      </w:r>
      <w:r>
        <w:rPr>
          <w:rFonts w:ascii="仿宋" w:hAnsi="仿宋" w:eastAsia="仿宋"/>
          <w:sz w:val="28"/>
          <w:szCs w:val="28"/>
        </w:rPr>
        <w:t>深圳证券交易所互联网投票系统投票的时间为现场会议召开当日9:15—15:00。</w:t>
      </w:r>
    </w:p>
    <w:p w14:paraId="5825D199">
      <w:pPr>
        <w:spacing w:line="360" w:lineRule="auto"/>
        <w:ind w:firstLine="560" w:firstLineChars="200"/>
        <w:rPr>
          <w:rFonts w:ascii="仿宋" w:hAnsi="仿宋" w:eastAsia="仿宋"/>
          <w:sz w:val="28"/>
          <w:szCs w:val="28"/>
        </w:rPr>
      </w:pPr>
      <w:r>
        <w:rPr>
          <w:rFonts w:hint="eastAsia" w:ascii="仿宋" w:hAnsi="仿宋" w:eastAsia="仿宋"/>
          <w:sz w:val="28"/>
          <w:szCs w:val="28"/>
        </w:rPr>
        <w:t>（二）会议地点：广东省汕头市海滨路55号海逸投资大厦4-5层公司会议室</w:t>
      </w:r>
    </w:p>
    <w:p w14:paraId="6C22C739">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（三）会议召集人：董事会</w:t>
      </w:r>
    </w:p>
    <w:p w14:paraId="1A6C7E60">
      <w:pPr>
        <w:ind w:firstLine="560" w:firstLineChars="200"/>
        <w:rPr>
          <w:rFonts w:ascii="仿宋" w:hAnsi="仿宋" w:eastAsia="仿宋"/>
          <w:sz w:val="28"/>
          <w:szCs w:val="28"/>
        </w:rPr>
      </w:pPr>
      <w:r>
        <w:rPr>
          <w:rFonts w:hint="eastAsia" w:ascii="仿宋" w:hAnsi="仿宋" w:eastAsia="仿宋"/>
          <w:sz w:val="28"/>
          <w:szCs w:val="28"/>
        </w:rPr>
        <w:t>（四）会议的召开方式：本次股东会采用现场投票与网络投票相结合的方式。</w:t>
      </w:r>
    </w:p>
    <w:p w14:paraId="22C0EA5E">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（五）会议主持人：林明玲女士</w:t>
      </w:r>
    </w:p>
    <w:p w14:paraId="66D3C578">
      <w:pPr>
        <w:spacing w:line="360" w:lineRule="auto"/>
        <w:ind w:firstLine="560" w:firstLineChars="200"/>
        <w:rPr>
          <w:rFonts w:ascii="仿宋" w:hAnsi="仿宋" w:eastAsia="仿宋"/>
          <w:sz w:val="28"/>
          <w:szCs w:val="28"/>
        </w:rPr>
      </w:pPr>
      <w:r>
        <w:rPr>
          <w:rFonts w:hint="eastAsia" w:ascii="仿宋" w:hAnsi="仿宋" w:eastAsia="仿宋"/>
          <w:color w:val="000000"/>
          <w:sz w:val="28"/>
          <w:szCs w:val="28"/>
        </w:rPr>
        <w:t>（六）</w:t>
      </w:r>
      <w:r>
        <w:rPr>
          <w:rFonts w:hint="eastAsia" w:ascii="仿宋" w:hAnsi="仿宋" w:eastAsia="仿宋"/>
          <w:sz w:val="28"/>
          <w:szCs w:val="28"/>
        </w:rPr>
        <w:t>会议召开的合法、合规性：经公司第四届董事会第八次会议审议通过，决定召开本次股东会。本次股东会会议召开符合有关法律、行政法规、部门规章、规范性文件和《广东天亿马信息产业股份有限公司章程》（以下简称“《公司章程》”）等规定。</w:t>
      </w:r>
    </w:p>
    <w:p w14:paraId="32B8A22C">
      <w:pPr>
        <w:spacing w:line="360" w:lineRule="auto"/>
        <w:ind w:left="561"/>
        <w:rPr>
          <w:rFonts w:ascii="仿宋" w:hAnsi="仿宋" w:eastAsia="仿宋"/>
          <w:b/>
          <w:bCs/>
          <w:sz w:val="28"/>
          <w:szCs w:val="28"/>
        </w:rPr>
      </w:pPr>
    </w:p>
    <w:p w14:paraId="427A06A2">
      <w:pPr>
        <w:numPr>
          <w:ilvl w:val="0"/>
          <w:numId w:val="1"/>
        </w:numPr>
        <w:spacing w:line="360" w:lineRule="auto"/>
        <w:ind w:firstLine="562" w:firstLineChars="200"/>
        <w:outlineLvl w:val="0"/>
        <w:rPr>
          <w:rFonts w:ascii="仿宋" w:hAnsi="仿宋" w:eastAsia="仿宋"/>
          <w:b/>
          <w:bCs/>
          <w:sz w:val="28"/>
          <w:szCs w:val="28"/>
        </w:rPr>
      </w:pPr>
      <w:r>
        <w:rPr>
          <w:rFonts w:hint="eastAsia" w:ascii="仿宋" w:hAnsi="仿宋" w:eastAsia="仿宋"/>
          <w:b/>
          <w:bCs/>
          <w:sz w:val="28"/>
          <w:szCs w:val="28"/>
        </w:rPr>
        <w:t>会议出席情况</w:t>
      </w:r>
    </w:p>
    <w:p w14:paraId="570678E7">
      <w:pPr>
        <w:spacing w:line="360" w:lineRule="auto"/>
        <w:ind w:firstLine="560" w:firstLineChars="200"/>
        <w:rPr>
          <w:rFonts w:ascii="仿宋" w:hAnsi="仿宋" w:eastAsia="仿宋"/>
          <w:sz w:val="28"/>
          <w:szCs w:val="28"/>
        </w:rPr>
      </w:pPr>
      <w:r>
        <w:rPr>
          <w:rFonts w:hint="eastAsia" w:ascii="仿宋" w:hAnsi="仿宋" w:eastAsia="仿宋"/>
          <w:sz w:val="28"/>
          <w:szCs w:val="28"/>
        </w:rPr>
        <w:t>（一）股东出席情况</w:t>
      </w:r>
    </w:p>
    <w:p w14:paraId="191203B3">
      <w:pPr>
        <w:spacing w:line="360" w:lineRule="auto"/>
        <w:ind w:left="141" w:leftChars="67" w:firstLine="420" w:firstLineChars="150"/>
        <w:rPr>
          <w:rFonts w:ascii="仿宋" w:hAnsi="仿宋" w:eastAsia="仿宋"/>
          <w:sz w:val="28"/>
          <w:szCs w:val="28"/>
        </w:rPr>
      </w:pPr>
      <w:r>
        <w:rPr>
          <w:rFonts w:ascii="仿宋" w:hAnsi="仿宋" w:eastAsia="仿宋"/>
          <w:sz w:val="28"/>
          <w:szCs w:val="28"/>
        </w:rPr>
        <w:t>通过现场和网络投票的股东及股东代理人合计138人，代表股份33,706,846股，占广东天亿马信息产业股份有限公司（以下简称“公司”）有表决权股份总数的36.6857%</w:t>
      </w:r>
      <w:r>
        <w:rPr>
          <w:rFonts w:hint="eastAsia" w:ascii="仿宋" w:hAnsi="仿宋" w:eastAsia="仿宋"/>
          <w:sz w:val="28"/>
          <w:szCs w:val="28"/>
        </w:rPr>
        <w:t>（</w:t>
      </w:r>
      <w:r>
        <w:rPr>
          <w:rFonts w:ascii="仿宋" w:hAnsi="仿宋" w:eastAsia="仿宋"/>
          <w:sz w:val="28"/>
          <w:szCs w:val="28"/>
        </w:rPr>
        <w:t>总股本按剔除最新披露的回购专户股份数计，下同）。其中：</w:t>
      </w:r>
      <w:r>
        <w:rPr>
          <w:rFonts w:hint="eastAsia" w:ascii="仿宋" w:hAnsi="仿宋" w:eastAsia="仿宋"/>
          <w:sz w:val="28"/>
          <w:szCs w:val="28"/>
        </w:rPr>
        <w:t>出席现场会议的股东及股东代理人共4方，代表股份数</w:t>
      </w:r>
      <w:r>
        <w:rPr>
          <w:rFonts w:ascii="仿宋" w:hAnsi="仿宋" w:eastAsia="仿宋"/>
          <w:sz w:val="28"/>
          <w:szCs w:val="28"/>
        </w:rPr>
        <w:t>32,559,302</w:t>
      </w:r>
      <w:r>
        <w:rPr>
          <w:rFonts w:hint="eastAsia" w:ascii="仿宋" w:hAnsi="仿宋" w:eastAsia="仿宋"/>
          <w:sz w:val="28"/>
          <w:szCs w:val="28"/>
        </w:rPr>
        <w:t>股，占公司有表决权股份总数的</w:t>
      </w:r>
      <w:r>
        <w:rPr>
          <w:rFonts w:ascii="仿宋" w:hAnsi="仿宋" w:eastAsia="仿宋"/>
          <w:sz w:val="28"/>
          <w:szCs w:val="28"/>
        </w:rPr>
        <w:t>35.4367%</w:t>
      </w:r>
      <w:r>
        <w:rPr>
          <w:rFonts w:hint="eastAsia" w:ascii="仿宋" w:hAnsi="仿宋" w:eastAsia="仿宋"/>
          <w:sz w:val="28"/>
          <w:szCs w:val="28"/>
        </w:rPr>
        <w:t>；通过网络投票的股东共计</w:t>
      </w:r>
      <w:r>
        <w:rPr>
          <w:rFonts w:ascii="仿宋" w:hAnsi="仿宋" w:eastAsia="仿宋"/>
          <w:sz w:val="28"/>
          <w:szCs w:val="28"/>
        </w:rPr>
        <w:t>134</w:t>
      </w:r>
      <w:r>
        <w:rPr>
          <w:rFonts w:hint="eastAsia" w:ascii="仿宋" w:hAnsi="仿宋" w:eastAsia="仿宋"/>
          <w:sz w:val="28"/>
          <w:szCs w:val="28"/>
        </w:rPr>
        <w:t>人，代表股份数</w:t>
      </w:r>
      <w:r>
        <w:rPr>
          <w:rFonts w:ascii="仿宋" w:hAnsi="仿宋" w:eastAsia="仿宋"/>
          <w:sz w:val="28"/>
          <w:szCs w:val="28"/>
        </w:rPr>
        <w:t>1,147,544</w:t>
      </w:r>
      <w:r>
        <w:rPr>
          <w:rFonts w:hint="eastAsia" w:ascii="仿宋" w:hAnsi="仿宋" w:eastAsia="仿宋"/>
          <w:sz w:val="28"/>
          <w:szCs w:val="28"/>
        </w:rPr>
        <w:t>股，占公司有表决权股份总数的</w:t>
      </w:r>
      <w:r>
        <w:rPr>
          <w:rFonts w:ascii="仿宋" w:hAnsi="仿宋" w:eastAsia="仿宋"/>
          <w:sz w:val="28"/>
          <w:szCs w:val="28"/>
        </w:rPr>
        <w:t>1.2490%</w:t>
      </w:r>
      <w:r>
        <w:rPr>
          <w:rFonts w:hint="eastAsia" w:ascii="仿宋" w:hAnsi="仿宋" w:eastAsia="仿宋"/>
          <w:sz w:val="28"/>
          <w:szCs w:val="28"/>
        </w:rPr>
        <w:t>。以上股东均为本次股东会股权登记日即2026年6月25日交易结束后在中国证券登记结算有限责任公司深圳分公司登记在册的公司股东或其代理人。</w:t>
      </w:r>
    </w:p>
    <w:p w14:paraId="0016B8E3">
      <w:pPr>
        <w:spacing w:line="360" w:lineRule="auto"/>
        <w:ind w:left="141" w:leftChars="67" w:firstLine="420" w:firstLineChars="150"/>
        <w:rPr>
          <w:rFonts w:ascii="仿宋" w:hAnsi="仿宋" w:eastAsia="仿宋"/>
          <w:sz w:val="28"/>
          <w:szCs w:val="28"/>
        </w:rPr>
      </w:pPr>
      <w:r>
        <w:rPr>
          <w:rFonts w:hint="eastAsia" w:ascii="仿宋" w:hAnsi="仿宋" w:eastAsia="仿宋"/>
          <w:caps/>
          <w:sz w:val="28"/>
          <w:szCs w:val="28"/>
        </w:rPr>
        <w:t>（二）</w:t>
      </w:r>
      <w:r>
        <w:rPr>
          <w:rFonts w:hint="eastAsia" w:ascii="仿宋" w:hAnsi="仿宋" w:eastAsia="仿宋"/>
          <w:sz w:val="28"/>
          <w:szCs w:val="28"/>
        </w:rPr>
        <w:t>公司第四届董事会成员8人，董事长林明玲女士、董事郭树荣先生现场出席本次会议，董事马翊珽先生、刘楚境先生和独立董事曹丽梅女士、石洁芝女士、滕丽秋女士通讯出席本次会议。</w:t>
      </w:r>
    </w:p>
    <w:p w14:paraId="56FB6C47">
      <w:pPr>
        <w:spacing w:line="360" w:lineRule="auto"/>
        <w:ind w:firstLine="482"/>
        <w:rPr>
          <w:rFonts w:ascii="仿宋" w:hAnsi="仿宋" w:eastAsia="仿宋"/>
          <w:sz w:val="28"/>
          <w:szCs w:val="28"/>
        </w:rPr>
      </w:pPr>
      <w:r>
        <w:rPr>
          <w:rFonts w:hint="eastAsia" w:ascii="仿宋" w:hAnsi="仿宋" w:eastAsia="仿宋"/>
          <w:sz w:val="28"/>
          <w:szCs w:val="28"/>
        </w:rPr>
        <w:t>公司高级管理人员亦列席会议。</w:t>
      </w:r>
    </w:p>
    <w:p w14:paraId="7B1FB56F">
      <w:pPr>
        <w:spacing w:line="360" w:lineRule="auto"/>
        <w:ind w:firstLine="482"/>
        <w:rPr>
          <w:rFonts w:hint="eastAsia" w:ascii="仿宋" w:hAnsi="仿宋" w:eastAsia="仿宋"/>
          <w:sz w:val="28"/>
          <w:szCs w:val="28"/>
        </w:rPr>
      </w:pPr>
      <w:r>
        <w:rPr>
          <w:rFonts w:hint="eastAsia" w:ascii="仿宋" w:hAnsi="仿宋" w:eastAsia="仿宋"/>
          <w:sz w:val="28"/>
          <w:szCs w:val="28"/>
        </w:rPr>
        <w:t>公司聘请的广东泛尔律师事务所律师对本次会议进行见证并出具法律意见书。</w:t>
      </w:r>
    </w:p>
    <w:p w14:paraId="1CA6D925">
      <w:pPr>
        <w:spacing w:line="360" w:lineRule="auto"/>
        <w:ind w:firstLine="482"/>
        <w:rPr>
          <w:rFonts w:ascii="仿宋" w:hAnsi="仿宋" w:eastAsia="仿宋"/>
          <w:sz w:val="28"/>
          <w:szCs w:val="28"/>
        </w:rPr>
      </w:pPr>
    </w:p>
    <w:p w14:paraId="4998B72B">
      <w:pPr>
        <w:numPr>
          <w:ilvl w:val="0"/>
          <w:numId w:val="1"/>
        </w:numPr>
        <w:spacing w:line="360" w:lineRule="auto"/>
        <w:ind w:firstLine="562" w:firstLineChars="200"/>
        <w:outlineLvl w:val="0"/>
        <w:rPr>
          <w:rFonts w:ascii="仿宋" w:hAnsi="仿宋" w:eastAsia="仿宋"/>
          <w:b/>
          <w:bCs/>
          <w:sz w:val="28"/>
          <w:szCs w:val="28"/>
        </w:rPr>
      </w:pPr>
      <w:r>
        <w:rPr>
          <w:rFonts w:hint="eastAsia" w:ascii="仿宋" w:hAnsi="仿宋" w:eastAsia="仿宋"/>
          <w:b/>
          <w:bCs/>
          <w:sz w:val="28"/>
          <w:szCs w:val="28"/>
        </w:rPr>
        <w:t>议案审议表决情况</w:t>
      </w:r>
    </w:p>
    <w:p w14:paraId="78478E48">
      <w:pPr>
        <w:spacing w:line="360" w:lineRule="auto"/>
        <w:ind w:firstLine="562" w:firstLineChars="200"/>
        <w:outlineLvl w:val="1"/>
        <w:rPr>
          <w:rFonts w:ascii="仿宋" w:hAnsi="仿宋" w:eastAsia="仿宋"/>
          <w:b/>
          <w:sz w:val="28"/>
          <w:szCs w:val="28"/>
        </w:rPr>
      </w:pPr>
      <w:r>
        <w:rPr>
          <w:rFonts w:hint="eastAsia" w:ascii="仿宋" w:hAnsi="仿宋" w:eastAsia="仿宋"/>
          <w:b/>
          <w:sz w:val="28"/>
          <w:szCs w:val="28"/>
        </w:rPr>
        <w:t>（一）表决方式：</w:t>
      </w:r>
      <w:r>
        <w:rPr>
          <w:rFonts w:ascii="仿宋" w:hAnsi="仿宋" w:eastAsia="仿宋"/>
          <w:b/>
          <w:sz w:val="28"/>
          <w:szCs w:val="28"/>
        </w:rPr>
        <w:t>本次股东会议案采用</w:t>
      </w:r>
    </w:p>
    <w:p w14:paraId="25164F66">
      <w:pPr>
        <w:spacing w:line="360" w:lineRule="auto"/>
        <w:ind w:firstLine="560" w:firstLineChars="200"/>
        <w:rPr>
          <w:rFonts w:ascii="仿宋" w:hAnsi="仿宋" w:eastAsia="仿宋"/>
          <w:sz w:val="28"/>
          <w:szCs w:val="28"/>
        </w:rPr>
      </w:pPr>
      <w:r>
        <w:rPr>
          <w:rFonts w:ascii="仿宋" w:hAnsi="仿宋" w:eastAsia="仿宋"/>
          <w:sz w:val="28"/>
          <w:szCs w:val="28"/>
        </w:rPr>
        <w:t>现场表决和网络投票相结合的表决方式</w:t>
      </w:r>
      <w:r>
        <w:rPr>
          <w:rFonts w:hint="eastAsia" w:ascii="仿宋" w:hAnsi="仿宋" w:eastAsia="仿宋"/>
          <w:sz w:val="28"/>
          <w:szCs w:val="28"/>
        </w:rPr>
        <w:t>。</w:t>
      </w:r>
    </w:p>
    <w:bookmarkEnd w:id="0"/>
    <w:p w14:paraId="4BC5B18D">
      <w:pPr>
        <w:spacing w:line="360" w:lineRule="auto"/>
        <w:ind w:firstLine="562" w:firstLineChars="200"/>
        <w:outlineLvl w:val="1"/>
        <w:rPr>
          <w:rFonts w:ascii="仿宋" w:hAnsi="仿宋" w:eastAsia="仿宋"/>
          <w:b/>
          <w:sz w:val="28"/>
          <w:szCs w:val="28"/>
        </w:rPr>
      </w:pPr>
      <w:r>
        <w:rPr>
          <w:rFonts w:hint="eastAsia" w:ascii="仿宋" w:hAnsi="仿宋" w:eastAsia="仿宋"/>
          <w:b/>
          <w:sz w:val="28"/>
          <w:szCs w:val="28"/>
        </w:rPr>
        <w:t>（二）</w:t>
      </w:r>
      <w:r>
        <w:rPr>
          <w:rFonts w:ascii="仿宋" w:hAnsi="仿宋" w:eastAsia="仿宋"/>
          <w:b/>
          <w:sz w:val="28"/>
          <w:szCs w:val="28"/>
        </w:rPr>
        <w:t>议案审议表决情况</w:t>
      </w:r>
    </w:p>
    <w:p w14:paraId="19CCEF7A">
      <w:pPr>
        <w:spacing w:line="360" w:lineRule="auto"/>
        <w:ind w:firstLine="562" w:firstLineChars="200"/>
        <w:outlineLvl w:val="1"/>
        <w:rPr>
          <w:rFonts w:ascii="仿宋" w:hAnsi="仿宋" w:eastAsia="仿宋"/>
          <w:b/>
          <w:sz w:val="28"/>
          <w:szCs w:val="28"/>
        </w:rPr>
      </w:pPr>
      <w:r>
        <w:rPr>
          <w:rFonts w:hint="eastAsia" w:ascii="仿宋" w:hAnsi="仿宋" w:eastAsia="仿宋"/>
          <w:b/>
          <w:sz w:val="28"/>
          <w:szCs w:val="28"/>
        </w:rPr>
        <w:t>1.00审议通过《</w:t>
      </w:r>
      <w:r>
        <w:rPr>
          <w:rFonts w:hint="eastAsia" w:ascii="仿宋" w:hAnsi="仿宋" w:eastAsia="仿宋"/>
          <w:b/>
          <w:color w:val="000000"/>
          <w:kern w:val="0"/>
          <w:sz w:val="28"/>
          <w:szCs w:val="28"/>
        </w:rPr>
        <w:t>关于制定&lt;董事、高级管理人员薪酬与考核管理制度&gt;的议案</w:t>
      </w:r>
      <w:r>
        <w:rPr>
          <w:rFonts w:hint="eastAsia" w:ascii="仿宋" w:hAnsi="仿宋" w:eastAsia="仿宋"/>
          <w:b/>
          <w:sz w:val="28"/>
          <w:szCs w:val="28"/>
        </w:rPr>
        <w:t>》</w:t>
      </w:r>
    </w:p>
    <w:p w14:paraId="5AA5FEBE">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表决结果：同意 33,629,626 股，占出席会议所有股东有表决权股份总数的99.7709%；反对11,140股，占出席会议所有股东有表决权股份总数的0.0330%；弃权66,080股（其中因未投票默认弃权45,800股），占出席会议所有股东有表决权股份总数的0.1960%。</w:t>
      </w:r>
    </w:p>
    <w:p w14:paraId="2D2AB809">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中小股东总表决情况：</w:t>
      </w:r>
      <w:bookmarkStart w:id="1" w:name="_GoBack"/>
      <w:bookmarkEnd w:id="1"/>
    </w:p>
    <w:p w14:paraId="0C49AB71">
      <w:pPr>
        <w:spacing w:line="360" w:lineRule="auto"/>
        <w:ind w:firstLine="560" w:firstLineChars="200"/>
        <w:rPr>
          <w:rFonts w:hint="eastAsia" w:ascii="仿宋" w:hAnsi="仿宋" w:eastAsia="仿宋"/>
          <w:sz w:val="28"/>
          <w:szCs w:val="28"/>
        </w:rPr>
      </w:pPr>
      <w:r>
        <w:rPr>
          <w:rFonts w:hint="eastAsia" w:ascii="仿宋" w:hAnsi="仿宋" w:eastAsia="仿宋"/>
          <w:sz w:val="28"/>
          <w:szCs w:val="28"/>
        </w:rPr>
        <w:t>同意 1,074,104 股，占出席本次股东会中小股东有效表决权股份总数的93.2929%；反对 11,140 股，占出席本次股东会中小股东有表决权股份总数的0.9676%；弃权66,080股（其中因未投票默认弃权45,800股），占出席本次股东会中小股东有表决权股份总数5.7395%。</w:t>
      </w:r>
    </w:p>
    <w:p w14:paraId="47E5181D">
      <w:pPr>
        <w:spacing w:line="360" w:lineRule="auto"/>
        <w:ind w:firstLine="560" w:firstLineChars="200"/>
        <w:rPr>
          <w:rFonts w:hint="eastAsia" w:ascii="仿宋" w:hAnsi="仿宋" w:eastAsia="仿宋"/>
          <w:sz w:val="28"/>
          <w:szCs w:val="28"/>
        </w:rPr>
      </w:pPr>
    </w:p>
    <w:p w14:paraId="21D7F0B5">
      <w:pPr>
        <w:numPr>
          <w:ilvl w:val="0"/>
          <w:numId w:val="1"/>
        </w:numPr>
        <w:spacing w:line="360" w:lineRule="auto"/>
        <w:ind w:firstLine="562" w:firstLineChars="200"/>
        <w:outlineLvl w:val="0"/>
        <w:rPr>
          <w:rFonts w:ascii="仿宋" w:hAnsi="仿宋" w:eastAsia="仿宋"/>
          <w:b/>
          <w:bCs/>
          <w:sz w:val="28"/>
          <w:szCs w:val="28"/>
        </w:rPr>
      </w:pPr>
      <w:r>
        <w:rPr>
          <w:rFonts w:hint="eastAsia" w:ascii="仿宋" w:hAnsi="仿宋" w:eastAsia="仿宋"/>
          <w:b/>
          <w:bCs/>
          <w:sz w:val="28"/>
          <w:szCs w:val="28"/>
        </w:rPr>
        <w:t>律师见证情况</w:t>
      </w:r>
    </w:p>
    <w:p w14:paraId="25C6C876">
      <w:pPr>
        <w:spacing w:line="360" w:lineRule="auto"/>
        <w:ind w:firstLine="560" w:firstLineChars="200"/>
        <w:rPr>
          <w:rFonts w:ascii="仿宋" w:hAnsi="仿宋" w:eastAsia="仿宋"/>
          <w:sz w:val="28"/>
          <w:szCs w:val="28"/>
        </w:rPr>
      </w:pPr>
      <w:r>
        <w:rPr>
          <w:rFonts w:hint="eastAsia" w:ascii="仿宋" w:hAnsi="仿宋" w:eastAsia="仿宋"/>
          <w:sz w:val="28"/>
          <w:szCs w:val="28"/>
        </w:rPr>
        <w:t>（一）律师事务所名称：广东泛尔律师事务所</w:t>
      </w:r>
    </w:p>
    <w:p w14:paraId="3E0A3CEC">
      <w:pPr>
        <w:spacing w:line="360" w:lineRule="auto"/>
        <w:ind w:firstLine="560" w:firstLineChars="200"/>
        <w:rPr>
          <w:rFonts w:ascii="仿宋" w:hAnsi="仿宋" w:eastAsia="仿宋"/>
          <w:sz w:val="28"/>
          <w:szCs w:val="28"/>
        </w:rPr>
      </w:pPr>
      <w:r>
        <w:rPr>
          <w:rFonts w:hint="eastAsia" w:ascii="仿宋" w:hAnsi="仿宋" w:eastAsia="仿宋"/>
          <w:sz w:val="28"/>
          <w:szCs w:val="28"/>
        </w:rPr>
        <w:t>（二）见证律师姓名：郭锋、胡婕涵</w:t>
      </w:r>
    </w:p>
    <w:p w14:paraId="3168D455">
      <w:pPr>
        <w:spacing w:line="360" w:lineRule="auto"/>
        <w:ind w:firstLine="560" w:firstLineChars="200"/>
        <w:rPr>
          <w:rFonts w:ascii="仿宋" w:hAnsi="仿宋" w:eastAsia="仿宋"/>
          <w:sz w:val="28"/>
          <w:szCs w:val="28"/>
        </w:rPr>
      </w:pPr>
      <w:r>
        <w:rPr>
          <w:rFonts w:hint="eastAsia" w:ascii="仿宋" w:hAnsi="仿宋" w:eastAsia="仿宋"/>
          <w:sz w:val="28"/>
          <w:szCs w:val="28"/>
        </w:rPr>
        <w:t>（三）结论性意见：公司本次股东会的召集、召开程序、出席会议人员的资格、表决程序和表决结果均符合中国法律法规和《公司章程》的规定，合法有效，公司本次股东会未发生增加、变更、否决提案的情形，本次股东会通过的决议合法有效。</w:t>
      </w:r>
    </w:p>
    <w:p w14:paraId="0142D0AB">
      <w:pPr>
        <w:spacing w:line="360" w:lineRule="auto"/>
        <w:ind w:firstLine="560" w:firstLineChars="200"/>
        <w:rPr>
          <w:rFonts w:ascii="仿宋" w:hAnsi="仿宋" w:eastAsia="仿宋"/>
          <w:sz w:val="28"/>
          <w:szCs w:val="28"/>
        </w:rPr>
      </w:pPr>
    </w:p>
    <w:p w14:paraId="63866449">
      <w:pPr>
        <w:numPr>
          <w:ilvl w:val="0"/>
          <w:numId w:val="1"/>
        </w:numPr>
        <w:spacing w:line="360" w:lineRule="auto"/>
        <w:ind w:firstLine="562" w:firstLineChars="200"/>
        <w:outlineLvl w:val="0"/>
        <w:rPr>
          <w:rFonts w:ascii="仿宋" w:hAnsi="仿宋" w:eastAsia="仿宋"/>
          <w:b/>
          <w:bCs/>
          <w:sz w:val="28"/>
          <w:szCs w:val="28"/>
        </w:rPr>
      </w:pPr>
      <w:r>
        <w:rPr>
          <w:rFonts w:hint="eastAsia" w:ascii="仿宋" w:hAnsi="仿宋" w:eastAsia="仿宋"/>
          <w:b/>
          <w:bCs/>
          <w:sz w:val="28"/>
          <w:szCs w:val="28"/>
        </w:rPr>
        <w:t>备查文件</w:t>
      </w:r>
    </w:p>
    <w:p w14:paraId="021FDE6C">
      <w:pPr>
        <w:spacing w:line="360" w:lineRule="auto"/>
        <w:ind w:firstLine="560" w:firstLineChars="200"/>
        <w:rPr>
          <w:rFonts w:ascii="仿宋" w:hAnsi="仿宋" w:eastAsia="仿宋"/>
          <w:sz w:val="28"/>
          <w:szCs w:val="28"/>
        </w:rPr>
      </w:pPr>
      <w:r>
        <w:rPr>
          <w:rFonts w:hint="eastAsia" w:ascii="仿宋" w:hAnsi="仿宋" w:eastAsia="仿宋"/>
          <w:sz w:val="28"/>
          <w:szCs w:val="28"/>
        </w:rPr>
        <w:t>（一）《广东天亿马信息产业股份有限公司2026年第二次临时股东会决议》；</w:t>
      </w:r>
    </w:p>
    <w:p w14:paraId="1443CD61">
      <w:pPr>
        <w:spacing w:line="360" w:lineRule="auto"/>
        <w:ind w:firstLine="560" w:firstLineChars="200"/>
        <w:rPr>
          <w:rFonts w:ascii="仿宋" w:hAnsi="仿宋" w:eastAsia="仿宋"/>
          <w:sz w:val="28"/>
          <w:szCs w:val="28"/>
        </w:rPr>
      </w:pPr>
      <w:r>
        <w:rPr>
          <w:rFonts w:hint="eastAsia" w:ascii="仿宋" w:hAnsi="仿宋" w:eastAsia="仿宋"/>
          <w:sz w:val="28"/>
          <w:szCs w:val="28"/>
        </w:rPr>
        <w:t>（二）《广东泛尔律师事务所关于广东天亿马信息产业股份有限公司2026年第二次临时股东会法律意见书》。</w:t>
      </w:r>
    </w:p>
    <w:p w14:paraId="69E1CD5C">
      <w:pPr>
        <w:spacing w:line="360" w:lineRule="auto"/>
        <w:ind w:firstLine="560" w:firstLineChars="200"/>
        <w:rPr>
          <w:rFonts w:ascii="仿宋" w:hAnsi="仿宋" w:eastAsia="仿宋"/>
          <w:sz w:val="28"/>
          <w:szCs w:val="28"/>
        </w:rPr>
      </w:pPr>
      <w:r>
        <w:rPr>
          <w:rFonts w:hint="eastAsia" w:ascii="仿宋" w:hAnsi="仿宋" w:eastAsia="仿宋"/>
          <w:sz w:val="28"/>
          <w:szCs w:val="28"/>
        </w:rPr>
        <w:t>特此公告。</w:t>
      </w:r>
    </w:p>
    <w:p w14:paraId="515190EA">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广东天亿马信息产业股份有限公司</w:t>
      </w:r>
    </w:p>
    <w:p w14:paraId="3B5E44D0">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董事会</w:t>
      </w:r>
    </w:p>
    <w:p w14:paraId="6A9F2C7A">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2026年7月1日</w:t>
      </w:r>
    </w:p>
    <w:sectPr>
      <w:headerReference r:id="rId3" w:type="default"/>
      <w:pgSz w:w="11906" w:h="16838"/>
      <w:pgMar w:top="1440" w:right="1800" w:bottom="1440" w:left="1800" w:header="777" w:footer="1029"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AB779">
    <w:pPr>
      <w:pBdr>
        <w:bottom w:val="none" w:color="auto" w:sz="0" w:space="1"/>
      </w:pBdr>
      <w:tabs>
        <w:tab w:val="center" w:pos="4153"/>
        <w:tab w:val="right" w:pos="8306"/>
      </w:tabs>
      <w:snapToGrid w:val="0"/>
      <w:rPr>
        <w:rFonts w:ascii="仿宋" w:hAnsi="仿宋" w:eastAsia="仿宋"/>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BFE02A"/>
    <w:multiLevelType w:val="singleLevel"/>
    <w:tmpl w:val="9FBFE02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B4F"/>
    <w:rsid w:val="00000893"/>
    <w:rsid w:val="00001335"/>
    <w:rsid w:val="00010CAA"/>
    <w:rsid w:val="00020E7B"/>
    <w:rsid w:val="00022EFE"/>
    <w:rsid w:val="000234F3"/>
    <w:rsid w:val="00036424"/>
    <w:rsid w:val="000467D3"/>
    <w:rsid w:val="000651C2"/>
    <w:rsid w:val="00077D70"/>
    <w:rsid w:val="00085762"/>
    <w:rsid w:val="0009061B"/>
    <w:rsid w:val="000A3C3F"/>
    <w:rsid w:val="000B4344"/>
    <w:rsid w:val="000B505A"/>
    <w:rsid w:val="000C05BA"/>
    <w:rsid w:val="000C554F"/>
    <w:rsid w:val="000C60E6"/>
    <w:rsid w:val="000E1E7A"/>
    <w:rsid w:val="000E53CD"/>
    <w:rsid w:val="000E76DA"/>
    <w:rsid w:val="000F4532"/>
    <w:rsid w:val="000F728F"/>
    <w:rsid w:val="00102F09"/>
    <w:rsid w:val="00114DC0"/>
    <w:rsid w:val="00126FF2"/>
    <w:rsid w:val="00132B4B"/>
    <w:rsid w:val="001421FA"/>
    <w:rsid w:val="0014781D"/>
    <w:rsid w:val="00153F49"/>
    <w:rsid w:val="0015468C"/>
    <w:rsid w:val="00155774"/>
    <w:rsid w:val="0015743B"/>
    <w:rsid w:val="00163BD1"/>
    <w:rsid w:val="0016482C"/>
    <w:rsid w:val="00165397"/>
    <w:rsid w:val="0017133F"/>
    <w:rsid w:val="00180885"/>
    <w:rsid w:val="00180E6E"/>
    <w:rsid w:val="00190A45"/>
    <w:rsid w:val="0019104E"/>
    <w:rsid w:val="001963F7"/>
    <w:rsid w:val="001966F2"/>
    <w:rsid w:val="001B4ADB"/>
    <w:rsid w:val="001B58C9"/>
    <w:rsid w:val="001B6290"/>
    <w:rsid w:val="001C149B"/>
    <w:rsid w:val="001C6045"/>
    <w:rsid w:val="001C636C"/>
    <w:rsid w:val="001C7C91"/>
    <w:rsid w:val="001D133C"/>
    <w:rsid w:val="001F4A7A"/>
    <w:rsid w:val="00205EE0"/>
    <w:rsid w:val="00213E65"/>
    <w:rsid w:val="002158C6"/>
    <w:rsid w:val="00224966"/>
    <w:rsid w:val="00231639"/>
    <w:rsid w:val="002327CF"/>
    <w:rsid w:val="00250213"/>
    <w:rsid w:val="0025214D"/>
    <w:rsid w:val="0025540F"/>
    <w:rsid w:val="002636DD"/>
    <w:rsid w:val="00263E94"/>
    <w:rsid w:val="0026615B"/>
    <w:rsid w:val="00270925"/>
    <w:rsid w:val="00280A06"/>
    <w:rsid w:val="0028436E"/>
    <w:rsid w:val="0029442A"/>
    <w:rsid w:val="0029660D"/>
    <w:rsid w:val="00297519"/>
    <w:rsid w:val="00297F1C"/>
    <w:rsid w:val="002B151E"/>
    <w:rsid w:val="002B560A"/>
    <w:rsid w:val="002C7DF3"/>
    <w:rsid w:val="002D7034"/>
    <w:rsid w:val="002E6EFE"/>
    <w:rsid w:val="00300798"/>
    <w:rsid w:val="00304F3D"/>
    <w:rsid w:val="003234CF"/>
    <w:rsid w:val="003245E2"/>
    <w:rsid w:val="0033115C"/>
    <w:rsid w:val="00341E7C"/>
    <w:rsid w:val="00363FE3"/>
    <w:rsid w:val="0037088C"/>
    <w:rsid w:val="003709AB"/>
    <w:rsid w:val="0038086C"/>
    <w:rsid w:val="00385767"/>
    <w:rsid w:val="00386DFB"/>
    <w:rsid w:val="003A232A"/>
    <w:rsid w:val="003B20DD"/>
    <w:rsid w:val="003B3A81"/>
    <w:rsid w:val="003D4ACB"/>
    <w:rsid w:val="003D4CD4"/>
    <w:rsid w:val="003D5376"/>
    <w:rsid w:val="003D5EA9"/>
    <w:rsid w:val="003D7650"/>
    <w:rsid w:val="003F0403"/>
    <w:rsid w:val="004003E6"/>
    <w:rsid w:val="0040411B"/>
    <w:rsid w:val="00404BD7"/>
    <w:rsid w:val="00406181"/>
    <w:rsid w:val="004062F9"/>
    <w:rsid w:val="00407D39"/>
    <w:rsid w:val="00411867"/>
    <w:rsid w:val="00411882"/>
    <w:rsid w:val="00411FE2"/>
    <w:rsid w:val="0041424D"/>
    <w:rsid w:val="00422504"/>
    <w:rsid w:val="00433F97"/>
    <w:rsid w:val="00436003"/>
    <w:rsid w:val="004565E1"/>
    <w:rsid w:val="00460518"/>
    <w:rsid w:val="004641CB"/>
    <w:rsid w:val="00464F36"/>
    <w:rsid w:val="00466B2A"/>
    <w:rsid w:val="00474736"/>
    <w:rsid w:val="00474A71"/>
    <w:rsid w:val="00475C1D"/>
    <w:rsid w:val="00480AEC"/>
    <w:rsid w:val="004864A5"/>
    <w:rsid w:val="00487CA8"/>
    <w:rsid w:val="004C3886"/>
    <w:rsid w:val="004C414F"/>
    <w:rsid w:val="004D04AF"/>
    <w:rsid w:val="004D23EA"/>
    <w:rsid w:val="004D584A"/>
    <w:rsid w:val="004D5F2A"/>
    <w:rsid w:val="004E3D06"/>
    <w:rsid w:val="004E792D"/>
    <w:rsid w:val="00500E0B"/>
    <w:rsid w:val="00516D97"/>
    <w:rsid w:val="00523A93"/>
    <w:rsid w:val="00527752"/>
    <w:rsid w:val="00532BCC"/>
    <w:rsid w:val="00553703"/>
    <w:rsid w:val="00562D5F"/>
    <w:rsid w:val="005637BF"/>
    <w:rsid w:val="0057295D"/>
    <w:rsid w:val="0057535F"/>
    <w:rsid w:val="005766C2"/>
    <w:rsid w:val="005817A7"/>
    <w:rsid w:val="00585FDA"/>
    <w:rsid w:val="005861F9"/>
    <w:rsid w:val="005926EC"/>
    <w:rsid w:val="005A5E10"/>
    <w:rsid w:val="005C6FED"/>
    <w:rsid w:val="005D3FC0"/>
    <w:rsid w:val="005E16F1"/>
    <w:rsid w:val="005E24BB"/>
    <w:rsid w:val="005F3629"/>
    <w:rsid w:val="005F60A6"/>
    <w:rsid w:val="0061186D"/>
    <w:rsid w:val="00612A9A"/>
    <w:rsid w:val="0061561B"/>
    <w:rsid w:val="00624D7C"/>
    <w:rsid w:val="006266CC"/>
    <w:rsid w:val="00634CB2"/>
    <w:rsid w:val="00644743"/>
    <w:rsid w:val="00653082"/>
    <w:rsid w:val="0066006E"/>
    <w:rsid w:val="006658AB"/>
    <w:rsid w:val="00667D91"/>
    <w:rsid w:val="0067568E"/>
    <w:rsid w:val="00694D63"/>
    <w:rsid w:val="006A1FC3"/>
    <w:rsid w:val="006A28F5"/>
    <w:rsid w:val="006B1B1A"/>
    <w:rsid w:val="006C5F70"/>
    <w:rsid w:val="006E7417"/>
    <w:rsid w:val="006F08F0"/>
    <w:rsid w:val="006F0AC2"/>
    <w:rsid w:val="006F28ED"/>
    <w:rsid w:val="006F7C68"/>
    <w:rsid w:val="00702D70"/>
    <w:rsid w:val="007042F7"/>
    <w:rsid w:val="00706E75"/>
    <w:rsid w:val="0071477B"/>
    <w:rsid w:val="007314F2"/>
    <w:rsid w:val="0073427B"/>
    <w:rsid w:val="00735129"/>
    <w:rsid w:val="00735A0C"/>
    <w:rsid w:val="00744924"/>
    <w:rsid w:val="007466C4"/>
    <w:rsid w:val="00754D39"/>
    <w:rsid w:val="007573F8"/>
    <w:rsid w:val="007574BE"/>
    <w:rsid w:val="00766067"/>
    <w:rsid w:val="00767A67"/>
    <w:rsid w:val="0077119F"/>
    <w:rsid w:val="0077176B"/>
    <w:rsid w:val="007743E7"/>
    <w:rsid w:val="007837B8"/>
    <w:rsid w:val="00794225"/>
    <w:rsid w:val="00795429"/>
    <w:rsid w:val="00796B03"/>
    <w:rsid w:val="007A579E"/>
    <w:rsid w:val="007A78F3"/>
    <w:rsid w:val="007B0217"/>
    <w:rsid w:val="007C3537"/>
    <w:rsid w:val="007D29A3"/>
    <w:rsid w:val="007D49B8"/>
    <w:rsid w:val="007D52E6"/>
    <w:rsid w:val="007D7153"/>
    <w:rsid w:val="007E3771"/>
    <w:rsid w:val="007E43EC"/>
    <w:rsid w:val="007E7C36"/>
    <w:rsid w:val="007E7D99"/>
    <w:rsid w:val="007F566A"/>
    <w:rsid w:val="008012C7"/>
    <w:rsid w:val="008059DC"/>
    <w:rsid w:val="00816203"/>
    <w:rsid w:val="0082265F"/>
    <w:rsid w:val="00825DC9"/>
    <w:rsid w:val="00826166"/>
    <w:rsid w:val="00830ABF"/>
    <w:rsid w:val="008319B7"/>
    <w:rsid w:val="00832BCE"/>
    <w:rsid w:val="008427D8"/>
    <w:rsid w:val="00842EB6"/>
    <w:rsid w:val="0085683C"/>
    <w:rsid w:val="00862F22"/>
    <w:rsid w:val="0086607F"/>
    <w:rsid w:val="0086717C"/>
    <w:rsid w:val="00875C02"/>
    <w:rsid w:val="00877B62"/>
    <w:rsid w:val="00882947"/>
    <w:rsid w:val="00882A1C"/>
    <w:rsid w:val="00882F88"/>
    <w:rsid w:val="00894548"/>
    <w:rsid w:val="008B206D"/>
    <w:rsid w:val="008B37C1"/>
    <w:rsid w:val="008B679D"/>
    <w:rsid w:val="008C5164"/>
    <w:rsid w:val="008E293E"/>
    <w:rsid w:val="008E2EAC"/>
    <w:rsid w:val="008E64E9"/>
    <w:rsid w:val="00905503"/>
    <w:rsid w:val="00911446"/>
    <w:rsid w:val="00911FF2"/>
    <w:rsid w:val="00913672"/>
    <w:rsid w:val="00917B98"/>
    <w:rsid w:val="0092172F"/>
    <w:rsid w:val="00927417"/>
    <w:rsid w:val="0093140D"/>
    <w:rsid w:val="00943238"/>
    <w:rsid w:val="009532C3"/>
    <w:rsid w:val="00955197"/>
    <w:rsid w:val="009627BA"/>
    <w:rsid w:val="00966DAA"/>
    <w:rsid w:val="00974566"/>
    <w:rsid w:val="0098013A"/>
    <w:rsid w:val="00982702"/>
    <w:rsid w:val="00993146"/>
    <w:rsid w:val="009964F9"/>
    <w:rsid w:val="009A3E17"/>
    <w:rsid w:val="009A457D"/>
    <w:rsid w:val="009A56FB"/>
    <w:rsid w:val="009B12E0"/>
    <w:rsid w:val="009B2EE5"/>
    <w:rsid w:val="009D4C67"/>
    <w:rsid w:val="009E3383"/>
    <w:rsid w:val="009F05A9"/>
    <w:rsid w:val="00A07A90"/>
    <w:rsid w:val="00A26339"/>
    <w:rsid w:val="00A31FF3"/>
    <w:rsid w:val="00A32396"/>
    <w:rsid w:val="00A33D38"/>
    <w:rsid w:val="00A37C3C"/>
    <w:rsid w:val="00A42493"/>
    <w:rsid w:val="00A52086"/>
    <w:rsid w:val="00A604AE"/>
    <w:rsid w:val="00A83C19"/>
    <w:rsid w:val="00A84C79"/>
    <w:rsid w:val="00A870B2"/>
    <w:rsid w:val="00A90415"/>
    <w:rsid w:val="00A937BA"/>
    <w:rsid w:val="00AA139D"/>
    <w:rsid w:val="00AA6C60"/>
    <w:rsid w:val="00AA7A55"/>
    <w:rsid w:val="00AB4445"/>
    <w:rsid w:val="00AD4908"/>
    <w:rsid w:val="00AD54DF"/>
    <w:rsid w:val="00AE0371"/>
    <w:rsid w:val="00AE1603"/>
    <w:rsid w:val="00AE49F3"/>
    <w:rsid w:val="00AE4C63"/>
    <w:rsid w:val="00B02277"/>
    <w:rsid w:val="00B03F79"/>
    <w:rsid w:val="00B078D7"/>
    <w:rsid w:val="00B14654"/>
    <w:rsid w:val="00B14B46"/>
    <w:rsid w:val="00B22D05"/>
    <w:rsid w:val="00B307A8"/>
    <w:rsid w:val="00B32361"/>
    <w:rsid w:val="00B37915"/>
    <w:rsid w:val="00B427DE"/>
    <w:rsid w:val="00B43392"/>
    <w:rsid w:val="00B54B87"/>
    <w:rsid w:val="00B65994"/>
    <w:rsid w:val="00B74FBF"/>
    <w:rsid w:val="00B764B3"/>
    <w:rsid w:val="00B77E97"/>
    <w:rsid w:val="00B8253F"/>
    <w:rsid w:val="00B85D5C"/>
    <w:rsid w:val="00B87634"/>
    <w:rsid w:val="00B9323D"/>
    <w:rsid w:val="00B97DFA"/>
    <w:rsid w:val="00BA213C"/>
    <w:rsid w:val="00BA6D55"/>
    <w:rsid w:val="00BC414E"/>
    <w:rsid w:val="00BC7D21"/>
    <w:rsid w:val="00BD0168"/>
    <w:rsid w:val="00BD455E"/>
    <w:rsid w:val="00BD592B"/>
    <w:rsid w:val="00BF5271"/>
    <w:rsid w:val="00BF53F6"/>
    <w:rsid w:val="00C21E5A"/>
    <w:rsid w:val="00C227C2"/>
    <w:rsid w:val="00C23EE8"/>
    <w:rsid w:val="00C322D6"/>
    <w:rsid w:val="00C3312F"/>
    <w:rsid w:val="00C45DFF"/>
    <w:rsid w:val="00C6687E"/>
    <w:rsid w:val="00C746DE"/>
    <w:rsid w:val="00C95CF6"/>
    <w:rsid w:val="00CA7431"/>
    <w:rsid w:val="00CB0201"/>
    <w:rsid w:val="00CB5C4D"/>
    <w:rsid w:val="00CB5CE4"/>
    <w:rsid w:val="00CB60AA"/>
    <w:rsid w:val="00CB6B6D"/>
    <w:rsid w:val="00CC2F42"/>
    <w:rsid w:val="00CC46A6"/>
    <w:rsid w:val="00CC724F"/>
    <w:rsid w:val="00CD16E1"/>
    <w:rsid w:val="00CD2594"/>
    <w:rsid w:val="00CD56AF"/>
    <w:rsid w:val="00CE0189"/>
    <w:rsid w:val="00CE2E0C"/>
    <w:rsid w:val="00CF7EA5"/>
    <w:rsid w:val="00D10372"/>
    <w:rsid w:val="00D11386"/>
    <w:rsid w:val="00D15F88"/>
    <w:rsid w:val="00D26A12"/>
    <w:rsid w:val="00D402AB"/>
    <w:rsid w:val="00D43880"/>
    <w:rsid w:val="00D45FB6"/>
    <w:rsid w:val="00D51D25"/>
    <w:rsid w:val="00D70632"/>
    <w:rsid w:val="00D76055"/>
    <w:rsid w:val="00D81B0C"/>
    <w:rsid w:val="00D84074"/>
    <w:rsid w:val="00D924FB"/>
    <w:rsid w:val="00D92CD4"/>
    <w:rsid w:val="00D95506"/>
    <w:rsid w:val="00D968F6"/>
    <w:rsid w:val="00D9748F"/>
    <w:rsid w:val="00DA2B43"/>
    <w:rsid w:val="00DB5AEC"/>
    <w:rsid w:val="00DB70C6"/>
    <w:rsid w:val="00DC264A"/>
    <w:rsid w:val="00DC6CF8"/>
    <w:rsid w:val="00DC7043"/>
    <w:rsid w:val="00DE6630"/>
    <w:rsid w:val="00DE6C0F"/>
    <w:rsid w:val="00DF379A"/>
    <w:rsid w:val="00DF63E7"/>
    <w:rsid w:val="00E0297F"/>
    <w:rsid w:val="00E1127A"/>
    <w:rsid w:val="00E1139E"/>
    <w:rsid w:val="00E122D2"/>
    <w:rsid w:val="00E140D7"/>
    <w:rsid w:val="00E2099D"/>
    <w:rsid w:val="00E27120"/>
    <w:rsid w:val="00E315E2"/>
    <w:rsid w:val="00E4036D"/>
    <w:rsid w:val="00E41320"/>
    <w:rsid w:val="00E47156"/>
    <w:rsid w:val="00E50421"/>
    <w:rsid w:val="00E532B8"/>
    <w:rsid w:val="00E5561E"/>
    <w:rsid w:val="00E570AC"/>
    <w:rsid w:val="00E620FA"/>
    <w:rsid w:val="00E62713"/>
    <w:rsid w:val="00E62904"/>
    <w:rsid w:val="00E64DE2"/>
    <w:rsid w:val="00E65ABF"/>
    <w:rsid w:val="00E90099"/>
    <w:rsid w:val="00E900DC"/>
    <w:rsid w:val="00E9755A"/>
    <w:rsid w:val="00E97B4F"/>
    <w:rsid w:val="00EA66DA"/>
    <w:rsid w:val="00EB1B79"/>
    <w:rsid w:val="00EB4E5F"/>
    <w:rsid w:val="00F00EE1"/>
    <w:rsid w:val="00F02FF7"/>
    <w:rsid w:val="00F04464"/>
    <w:rsid w:val="00F117A5"/>
    <w:rsid w:val="00F1481E"/>
    <w:rsid w:val="00F1564B"/>
    <w:rsid w:val="00F219AB"/>
    <w:rsid w:val="00F219D7"/>
    <w:rsid w:val="00F22F32"/>
    <w:rsid w:val="00F2625B"/>
    <w:rsid w:val="00F4018E"/>
    <w:rsid w:val="00F41817"/>
    <w:rsid w:val="00F42D74"/>
    <w:rsid w:val="00F44600"/>
    <w:rsid w:val="00F52B1C"/>
    <w:rsid w:val="00F53C61"/>
    <w:rsid w:val="00F57AF4"/>
    <w:rsid w:val="00F6126D"/>
    <w:rsid w:val="00F65B0B"/>
    <w:rsid w:val="00F77636"/>
    <w:rsid w:val="00FB6A91"/>
    <w:rsid w:val="00FC55E9"/>
    <w:rsid w:val="00FC6516"/>
    <w:rsid w:val="00FD2F86"/>
    <w:rsid w:val="00FE5140"/>
    <w:rsid w:val="00FF41AE"/>
    <w:rsid w:val="00FF77A8"/>
    <w:rsid w:val="01565C22"/>
    <w:rsid w:val="05B057E0"/>
    <w:rsid w:val="06B331CE"/>
    <w:rsid w:val="07375BAD"/>
    <w:rsid w:val="08805332"/>
    <w:rsid w:val="09D0027E"/>
    <w:rsid w:val="09E71B0D"/>
    <w:rsid w:val="0B3E1AC0"/>
    <w:rsid w:val="0C0F70F9"/>
    <w:rsid w:val="0D4C1C87"/>
    <w:rsid w:val="0D4C5E5C"/>
    <w:rsid w:val="0D703BC7"/>
    <w:rsid w:val="0DBA3094"/>
    <w:rsid w:val="11EB01D1"/>
    <w:rsid w:val="12DB7D35"/>
    <w:rsid w:val="15883A78"/>
    <w:rsid w:val="168C6BC8"/>
    <w:rsid w:val="17215F32"/>
    <w:rsid w:val="1A5A2DE1"/>
    <w:rsid w:val="1E0208EF"/>
    <w:rsid w:val="22A243CB"/>
    <w:rsid w:val="22D1476F"/>
    <w:rsid w:val="2849353B"/>
    <w:rsid w:val="2C151C67"/>
    <w:rsid w:val="2E0A681D"/>
    <w:rsid w:val="2E5F4C10"/>
    <w:rsid w:val="2EAC41ED"/>
    <w:rsid w:val="30136B4D"/>
    <w:rsid w:val="307072DF"/>
    <w:rsid w:val="314A25F5"/>
    <w:rsid w:val="34282322"/>
    <w:rsid w:val="351A4352"/>
    <w:rsid w:val="38653A79"/>
    <w:rsid w:val="39406294"/>
    <w:rsid w:val="3BAC0F6E"/>
    <w:rsid w:val="3E63708A"/>
    <w:rsid w:val="3EFFB7F8"/>
    <w:rsid w:val="3FC45529"/>
    <w:rsid w:val="42EF72DD"/>
    <w:rsid w:val="46B0314E"/>
    <w:rsid w:val="494C41EC"/>
    <w:rsid w:val="4B246E03"/>
    <w:rsid w:val="4B8E5292"/>
    <w:rsid w:val="4BF058F8"/>
    <w:rsid w:val="4D1C7453"/>
    <w:rsid w:val="4E7C1E32"/>
    <w:rsid w:val="4E83377B"/>
    <w:rsid w:val="50056699"/>
    <w:rsid w:val="51530621"/>
    <w:rsid w:val="526F3A1A"/>
    <w:rsid w:val="52ED493F"/>
    <w:rsid w:val="53E43F94"/>
    <w:rsid w:val="54881636"/>
    <w:rsid w:val="55AA4D69"/>
    <w:rsid w:val="56955A19"/>
    <w:rsid w:val="56AE79BC"/>
    <w:rsid w:val="5B9F5A80"/>
    <w:rsid w:val="5C5872CD"/>
    <w:rsid w:val="5CDC0105"/>
    <w:rsid w:val="5D07484F"/>
    <w:rsid w:val="61617F0B"/>
    <w:rsid w:val="61E46C01"/>
    <w:rsid w:val="62895C52"/>
    <w:rsid w:val="632779F9"/>
    <w:rsid w:val="63BA086D"/>
    <w:rsid w:val="651421FF"/>
    <w:rsid w:val="66065FEC"/>
    <w:rsid w:val="6640216C"/>
    <w:rsid w:val="66F61BAB"/>
    <w:rsid w:val="686F7E78"/>
    <w:rsid w:val="68C33A81"/>
    <w:rsid w:val="68C55CEA"/>
    <w:rsid w:val="69E77EE2"/>
    <w:rsid w:val="6AA656A7"/>
    <w:rsid w:val="6B0845B4"/>
    <w:rsid w:val="6BDB3A77"/>
    <w:rsid w:val="6CF21078"/>
    <w:rsid w:val="6E2C3DAF"/>
    <w:rsid w:val="6E623CFD"/>
    <w:rsid w:val="6F67B8E2"/>
    <w:rsid w:val="71911E9A"/>
    <w:rsid w:val="730438B3"/>
    <w:rsid w:val="75175B20"/>
    <w:rsid w:val="790939D1"/>
    <w:rsid w:val="792D0E66"/>
    <w:rsid w:val="7BB67C52"/>
    <w:rsid w:val="7BDC361F"/>
    <w:rsid w:val="7C63789C"/>
    <w:rsid w:val="BD672FB7"/>
    <w:rsid w:val="CF9FCD12"/>
    <w:rsid w:val="D3EFF22D"/>
    <w:rsid w:val="D8DEB597"/>
    <w:rsid w:val="DFFB0CCE"/>
    <w:rsid w:val="FEF7B393"/>
    <w:rsid w:val="FFF7F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uiPriority w:val="99"/>
    <w:rPr>
      <w:rFonts w:ascii="宋体" w:hAnsiTheme="minorHAnsi" w:cstheme="minorBidi"/>
      <w:sz w:val="18"/>
      <w:szCs w:val="18"/>
    </w:rPr>
  </w:style>
  <w:style w:type="paragraph" w:styleId="3">
    <w:name w:val="annotation text"/>
    <w:basedOn w:val="1"/>
    <w:link w:val="21"/>
    <w:semiHidden/>
    <w:unhideWhenUsed/>
    <w:uiPriority w:val="99"/>
    <w:pPr>
      <w:jc w:val="left"/>
    </w:pPr>
    <w:rPr>
      <w:rFonts w:asciiTheme="minorHAnsi" w:hAnsiTheme="minorHAnsi" w:eastAsiaTheme="minorEastAsia" w:cstheme="minorBidi"/>
      <w:szCs w:val="22"/>
    </w:rPr>
  </w:style>
  <w:style w:type="paragraph" w:styleId="4">
    <w:name w:val="Body Text Indent"/>
    <w:basedOn w:val="1"/>
    <w:link w:val="26"/>
    <w:qFormat/>
    <w:uiPriority w:val="0"/>
    <w:pPr>
      <w:spacing w:after="120"/>
      <w:ind w:left="420" w:leftChars="200"/>
    </w:pPr>
    <w:rPr>
      <w:szCs w:val="20"/>
    </w:rPr>
  </w:style>
  <w:style w:type="paragraph" w:styleId="5">
    <w:name w:val="Date"/>
    <w:basedOn w:val="1"/>
    <w:next w:val="1"/>
    <w:link w:val="23"/>
    <w:semiHidden/>
    <w:unhideWhenUsed/>
    <w:qFormat/>
    <w:uiPriority w:val="99"/>
    <w:pPr>
      <w:ind w:left="100" w:leftChars="2500"/>
    </w:pPr>
    <w:rPr>
      <w:rFonts w:asciiTheme="minorHAnsi" w:hAnsiTheme="minorHAnsi" w:eastAsiaTheme="minorEastAsia" w:cstheme="minorBidi"/>
      <w:szCs w:val="22"/>
    </w:r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4"/>
    <w:semiHidden/>
    <w:unhideWhenUsed/>
    <w:qFormat/>
    <w:uiPriority w:val="99"/>
    <w:rPr>
      <w:b/>
      <w:bCs/>
    </w:rPr>
  </w:style>
  <w:style w:type="table" w:styleId="11">
    <w:name w:val="Table Grid"/>
    <w:basedOn w:val="1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semiHidden/>
    <w:unhideWhenUsed/>
    <w:qFormat/>
    <w:uiPriority w:val="0"/>
    <w:rPr>
      <w:sz w:val="21"/>
      <w:szCs w:val="21"/>
    </w:rPr>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paragraph" w:customStyle="1" w:styleId="16">
    <w:name w:val="p0"/>
    <w:basedOn w:val="1"/>
    <w:qFormat/>
    <w:uiPriority w:val="0"/>
    <w:pPr>
      <w:widowControl/>
    </w:pPr>
    <w:rPr>
      <w:rFonts w:ascii="Calibri" w:hAnsi="Calibri" w:cs="宋体"/>
      <w:kern w:val="0"/>
      <w:szCs w:val="21"/>
    </w:rPr>
  </w:style>
  <w:style w:type="paragraph" w:customStyle="1" w:styleId="17">
    <w:name w:val="p15"/>
    <w:basedOn w:val="1"/>
    <w:qFormat/>
    <w:uiPriority w:val="0"/>
    <w:pPr>
      <w:widowControl/>
      <w:ind w:firstLine="420"/>
    </w:pPr>
    <w:rPr>
      <w:rFonts w:ascii="Calibri" w:hAnsi="Calibri" w:cs="宋体"/>
      <w:kern w:val="0"/>
      <w:szCs w:val="21"/>
    </w:rPr>
  </w:style>
  <w:style w:type="paragraph" w:styleId="18">
    <w:name w:val="List Paragraph"/>
    <w:basedOn w:val="1"/>
    <w:qFormat/>
    <w:uiPriority w:val="34"/>
    <w:pPr>
      <w:ind w:firstLine="420" w:firstLineChars="200"/>
    </w:pPr>
  </w:style>
  <w:style w:type="character" w:customStyle="1" w:styleId="19">
    <w:name w:val="批注框文本 Char"/>
    <w:basedOn w:val="12"/>
    <w:link w:val="6"/>
    <w:semiHidden/>
    <w:qFormat/>
    <w:uiPriority w:val="99"/>
    <w:rPr>
      <w:rFonts w:ascii="Times New Roman" w:hAnsi="Times New Roman" w:eastAsia="宋体" w:cs="Times New Roman"/>
      <w:sz w:val="18"/>
      <w:szCs w:val="18"/>
    </w:rPr>
  </w:style>
  <w:style w:type="character" w:customStyle="1" w:styleId="20">
    <w:name w:val="文档结构图 Char"/>
    <w:basedOn w:val="12"/>
    <w:link w:val="2"/>
    <w:semiHidden/>
    <w:qFormat/>
    <w:uiPriority w:val="99"/>
    <w:rPr>
      <w:rFonts w:ascii="宋体" w:hAnsiTheme="minorHAnsi" w:cstheme="minorBidi"/>
      <w:kern w:val="2"/>
      <w:sz w:val="18"/>
      <w:szCs w:val="18"/>
    </w:rPr>
  </w:style>
  <w:style w:type="character" w:customStyle="1" w:styleId="21">
    <w:name w:val="批注文字 Char"/>
    <w:basedOn w:val="12"/>
    <w:link w:val="3"/>
    <w:semiHidden/>
    <w:qFormat/>
    <w:uiPriority w:val="99"/>
    <w:rPr>
      <w:rFonts w:asciiTheme="minorHAnsi" w:hAnsiTheme="minorHAnsi" w:eastAsiaTheme="minorEastAsia" w:cstheme="minorBidi"/>
      <w:kern w:val="2"/>
      <w:sz w:val="21"/>
      <w:szCs w:val="22"/>
    </w:rPr>
  </w:style>
  <w:style w:type="character" w:customStyle="1" w:styleId="22">
    <w:name w:val="正文文本缩进 Char"/>
    <w:basedOn w:val="12"/>
    <w:qFormat/>
    <w:uiPriority w:val="0"/>
    <w:rPr>
      <w:kern w:val="2"/>
      <w:sz w:val="21"/>
      <w:szCs w:val="24"/>
    </w:rPr>
  </w:style>
  <w:style w:type="character" w:customStyle="1" w:styleId="23">
    <w:name w:val="日期 Char"/>
    <w:basedOn w:val="12"/>
    <w:link w:val="5"/>
    <w:semiHidden/>
    <w:qFormat/>
    <w:uiPriority w:val="99"/>
    <w:rPr>
      <w:rFonts w:asciiTheme="minorHAnsi" w:hAnsiTheme="minorHAnsi" w:eastAsiaTheme="minorEastAsia" w:cstheme="minorBidi"/>
      <w:kern w:val="2"/>
      <w:sz w:val="21"/>
      <w:szCs w:val="22"/>
    </w:rPr>
  </w:style>
  <w:style w:type="character" w:customStyle="1" w:styleId="24">
    <w:name w:val="批注主题 Char"/>
    <w:basedOn w:val="21"/>
    <w:link w:val="9"/>
    <w:semiHidden/>
    <w:qFormat/>
    <w:uiPriority w:val="99"/>
    <w:rPr>
      <w:rFonts w:asciiTheme="minorHAnsi" w:hAnsiTheme="minorHAnsi" w:eastAsiaTheme="minorEastAsia" w:cstheme="minorBidi"/>
      <w:b/>
      <w:bCs/>
      <w:kern w:val="2"/>
      <w:sz w:val="21"/>
      <w:szCs w:val="22"/>
    </w:rPr>
  </w:style>
  <w:style w:type="character" w:styleId="25">
    <w:name w:val="Placeholder Text"/>
    <w:basedOn w:val="12"/>
    <w:semiHidden/>
    <w:qFormat/>
    <w:uiPriority w:val="99"/>
    <w:rPr>
      <w:color w:val="808080"/>
    </w:rPr>
  </w:style>
  <w:style w:type="character" w:customStyle="1" w:styleId="26">
    <w:name w:val="正文文本缩进 Char1"/>
    <w:basedOn w:val="12"/>
    <w:link w:val="4"/>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1400</Words>
  <Characters>1607</Characters>
  <Lines>11</Lines>
  <Paragraphs>3</Paragraphs>
  <TotalTime>14</TotalTime>
  <ScaleCrop>false</ScaleCrop>
  <LinksUpToDate>false</LinksUpToDate>
  <CharactersWithSpaces>1619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2022-03-04T07:24:00Z</dcterms:created>
  <dc:creator>hsq</dc:creator>
  <cp:lastModifiedBy>黄舒倩</cp:lastModifiedBy>
  <cp:lastPrinted>2024-10-25T08:10:00Z</cp:lastPrinted>
  <dcterms:modified xsi:type="dcterms:W3CDTF">2026-06-30T09:45:12Z</dcterms:modified>
  <cp:revision>357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5F1FC9D3E0DD4EAD351D1C6866CE9974_42</vt:lpwstr>
  </property>
  <property fmtid="{D5CDD505-2E9C-101B-9397-08002B2CF9AE}" pid="4" name="KSOTemplateDocerSaveRecord">
    <vt:lpwstr>eyJoZGlkIjoiYjc3NTVmODk5OWI4YTU0YmU5MTlhYzJjMjBkNzFlNmEiLCJ1c2VySWQiOiIyNDMwNTgyMjAifQ==</vt:lpwstr>
  </property>
</Properties>
</file>