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BA8" w:rsidRPr="00672DC8" w:rsidRDefault="000C0769">
      <w:pPr>
        <w:spacing w:before="2400" w:line="773" w:lineRule="exact"/>
        <w:jc w:val="center"/>
        <w:rPr>
          <w:rFonts w:ascii="Times New Roman" w:eastAsia="宋体" w:hAnsi="Times New Roman" w:cs="Times New Roman"/>
          <w:b/>
          <w:bCs/>
          <w:sz w:val="36"/>
          <w:szCs w:val="36"/>
        </w:rPr>
      </w:pPr>
      <w:r w:rsidRPr="00672DC8">
        <w:rPr>
          <w:rFonts w:ascii="Times New Roman" w:eastAsia="宋体" w:hAnsi="Times New Roman" w:cs="Times New Roman"/>
          <w:b/>
          <w:bCs/>
          <w:sz w:val="36"/>
          <w:szCs w:val="36"/>
        </w:rPr>
        <w:t>广东天亿马信息产业股份有限公司</w:t>
      </w:r>
    </w:p>
    <w:p w:rsidR="003D2BA8" w:rsidRPr="00672DC8" w:rsidRDefault="000C0769">
      <w:pPr>
        <w:spacing w:before="1000" w:line="320" w:lineRule="exact"/>
        <w:jc w:val="center"/>
        <w:rPr>
          <w:rFonts w:ascii="Times New Roman" w:eastAsia="宋体" w:hAnsi="Times New Roman" w:cs="Times New Roman"/>
          <w:b/>
          <w:bCs/>
          <w:sz w:val="32"/>
          <w:szCs w:val="32"/>
        </w:rPr>
      </w:pPr>
      <w:r w:rsidRPr="00672DC8">
        <w:rPr>
          <w:rFonts w:ascii="Times New Roman" w:eastAsia="宋体" w:hAnsi="Times New Roman" w:cs="Times New Roman"/>
          <w:b/>
          <w:bCs/>
          <w:sz w:val="32"/>
          <w:szCs w:val="32"/>
        </w:rPr>
        <w:t>2026</w:t>
      </w:r>
      <w:r w:rsidRPr="00672DC8">
        <w:rPr>
          <w:rFonts w:ascii="Times New Roman" w:eastAsia="宋体" w:hAnsi="Times New Roman" w:cs="Times New Roman"/>
          <w:b/>
          <w:bCs/>
          <w:sz w:val="32"/>
          <w:szCs w:val="32"/>
        </w:rPr>
        <w:t>年半年度报告</w:t>
      </w:r>
    </w:p>
    <w:p w:rsidR="003D2BA8" w:rsidRPr="00672DC8" w:rsidRDefault="000C0769">
      <w:pPr>
        <w:spacing w:before="1000" w:line="240" w:lineRule="exact"/>
        <w:jc w:val="center"/>
        <w:rPr>
          <w:rFonts w:ascii="Times New Roman" w:eastAsia="宋体" w:hAnsi="Times New Roman" w:cs="Times New Roman"/>
          <w:b/>
          <w:bCs/>
          <w:szCs w:val="21"/>
        </w:rPr>
      </w:pPr>
      <w:r w:rsidRPr="00672DC8">
        <w:rPr>
          <w:rFonts w:ascii="Times New Roman" w:eastAsia="宋体" w:hAnsi="Times New Roman" w:cs="Times New Roman"/>
          <w:b/>
          <w:bCs/>
          <w:szCs w:val="21"/>
        </w:rPr>
        <w:t>2026-050</w:t>
      </w:r>
    </w:p>
    <w:p w:rsidR="003D2BA8" w:rsidRPr="00672DC8" w:rsidRDefault="00D935BF">
      <w:pPr>
        <w:spacing w:before="1000" w:after="1000" w:line="0" w:lineRule="atLeast"/>
        <w:jc w:val="center"/>
        <w:rPr>
          <w:rFonts w:ascii="Times New Roman" w:eastAsia="宋体" w:hAnsi="Times New Roman" w:cs="Times New Roman"/>
        </w:rPr>
      </w:pPr>
      <w:r w:rsidRPr="00672DC8">
        <w:rPr>
          <w:rFonts w:ascii="Times New Roman" w:eastAsia="宋体" w:hAnsi="Times New Roman" w:cs="Times New Roman"/>
          <w:noProof/>
        </w:rPr>
        <w:drawing>
          <wp:inline distT="0" distB="0" distL="0" distR="0" wp14:anchorId="7057EAF0" wp14:editId="77DCF7E3">
            <wp:extent cx="2851150" cy="160401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stretch>
                      <a:fillRect/>
                    </a:stretch>
                  </pic:blipFill>
                  <pic:spPr>
                    <a:xfrm>
                      <a:off x="0" y="0"/>
                      <a:ext cx="2877539" cy="1619190"/>
                    </a:xfrm>
                    <a:prstGeom prst="rect">
                      <a:avLst/>
                    </a:prstGeom>
                  </pic:spPr>
                </pic:pic>
              </a:graphicData>
            </a:graphic>
          </wp:inline>
        </w:drawing>
      </w:r>
    </w:p>
    <w:p w:rsidR="00120F97" w:rsidRPr="00672DC8" w:rsidRDefault="00120F97" w:rsidP="00120F97">
      <w:pPr>
        <w:spacing w:before="400" w:line="320" w:lineRule="exact"/>
        <w:jc w:val="center"/>
        <w:rPr>
          <w:rFonts w:ascii="Times New Roman" w:eastAsia="宋体" w:hAnsi="Times New Roman" w:cs="Times New Roman"/>
          <w:b/>
          <w:bCs/>
          <w:sz w:val="32"/>
          <w:szCs w:val="32"/>
        </w:rPr>
      </w:pPr>
      <w:r w:rsidRPr="00672DC8">
        <w:rPr>
          <w:rFonts w:ascii="Times New Roman" w:eastAsia="宋体" w:hAnsi="Times New Roman" w:cs="Times New Roman"/>
          <w:b/>
          <w:bCs/>
          <w:sz w:val="32"/>
          <w:szCs w:val="32"/>
        </w:rPr>
        <w:t>202</w:t>
      </w:r>
      <w:r w:rsidR="001E48B9" w:rsidRPr="00672DC8">
        <w:rPr>
          <w:rFonts w:ascii="Times New Roman" w:eastAsia="宋体" w:hAnsi="Times New Roman" w:cs="Times New Roman"/>
          <w:b/>
          <w:bCs/>
          <w:sz w:val="32"/>
          <w:szCs w:val="32"/>
        </w:rPr>
        <w:t>6</w:t>
      </w:r>
      <w:r w:rsidRPr="00672DC8">
        <w:rPr>
          <w:rFonts w:ascii="Times New Roman" w:eastAsia="宋体" w:hAnsi="Times New Roman" w:cs="Times New Roman"/>
          <w:b/>
          <w:bCs/>
          <w:sz w:val="32"/>
          <w:szCs w:val="32"/>
        </w:rPr>
        <w:t>年</w:t>
      </w:r>
      <w:r w:rsidRPr="00672DC8">
        <w:rPr>
          <w:rFonts w:ascii="Times New Roman" w:eastAsia="宋体" w:hAnsi="Times New Roman" w:cs="Times New Roman"/>
          <w:b/>
          <w:bCs/>
          <w:sz w:val="32"/>
          <w:szCs w:val="32"/>
        </w:rPr>
        <w:t>8</w:t>
      </w:r>
      <w:r w:rsidRPr="00672DC8">
        <w:rPr>
          <w:rFonts w:ascii="Times New Roman" w:eastAsia="宋体" w:hAnsi="Times New Roman" w:cs="Times New Roman"/>
          <w:b/>
          <w:bCs/>
          <w:sz w:val="32"/>
          <w:szCs w:val="32"/>
        </w:rPr>
        <w:t>月</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0" w:name="_Toc238760455"/>
      <w:r w:rsidRPr="00672DC8">
        <w:rPr>
          <w:rFonts w:ascii="Times New Roman" w:eastAsia="宋体" w:hAnsi="Times New Roman" w:cs="Times New Roman"/>
          <w:b/>
          <w:bCs/>
          <w:sz w:val="32"/>
          <w:szCs w:val="32"/>
        </w:rPr>
        <w:lastRenderedPageBreak/>
        <w:t>第一节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重要提示、目录和释义</w:t>
      </w:r>
      <w:bookmarkEnd w:id="0"/>
    </w:p>
    <w:p w:rsidR="003D2BA8" w:rsidRPr="00672DC8" w:rsidRDefault="000C0769">
      <w:pPr>
        <w:spacing w:before="40" w:after="40" w:line="560" w:lineRule="exact"/>
        <w:ind w:firstLineChars="200" w:firstLine="562"/>
        <w:rPr>
          <w:rFonts w:ascii="Times New Roman" w:eastAsia="宋体" w:hAnsi="Times New Roman" w:cs="Times New Roman"/>
          <w:b/>
          <w:bCs/>
          <w:sz w:val="28"/>
          <w:szCs w:val="28"/>
        </w:rPr>
      </w:pPr>
      <w:r w:rsidRPr="00672DC8">
        <w:rPr>
          <w:rFonts w:ascii="Times New Roman" w:eastAsia="宋体" w:hAnsi="Times New Roman" w:cs="Times New Roman"/>
          <w:b/>
          <w:bCs/>
          <w:sz w:val="28"/>
          <w:szCs w:val="28"/>
        </w:rPr>
        <w:t>公司董事会及董事、高级管理人员保证半年度报告内容的真实、准确、完整，不存在虚假记载、误导性陈述或者重大遗漏，并承担个别和连带的法律责任。</w:t>
      </w:r>
    </w:p>
    <w:p w:rsidR="003D2BA8" w:rsidRPr="00672DC8" w:rsidRDefault="000C0769">
      <w:pPr>
        <w:spacing w:line="560" w:lineRule="exact"/>
        <w:ind w:firstLineChars="200" w:firstLine="562"/>
        <w:rPr>
          <w:rFonts w:ascii="Times New Roman" w:eastAsia="宋体" w:hAnsi="Times New Roman" w:cs="Times New Roman"/>
          <w:b/>
          <w:bCs/>
          <w:sz w:val="28"/>
          <w:szCs w:val="28"/>
        </w:rPr>
      </w:pPr>
      <w:r w:rsidRPr="00672DC8">
        <w:rPr>
          <w:rFonts w:ascii="Times New Roman" w:eastAsia="宋体" w:hAnsi="Times New Roman" w:cs="Times New Roman"/>
          <w:b/>
          <w:bCs/>
          <w:sz w:val="28"/>
          <w:szCs w:val="28"/>
        </w:rPr>
        <w:t>公司负责人林明玲、主管会计工作负责人陈焕盛及会计机构负责人</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会计主管人员</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赖宏伟声明：保证本半年度报告中财务报告的真实、准确、完整。</w:t>
      </w:r>
    </w:p>
    <w:p w:rsidR="003D2BA8" w:rsidRPr="00672DC8" w:rsidRDefault="000C0769">
      <w:pPr>
        <w:spacing w:line="560" w:lineRule="exact"/>
        <w:ind w:firstLineChars="200" w:firstLine="562"/>
        <w:rPr>
          <w:rFonts w:ascii="Times New Roman" w:eastAsia="宋体" w:hAnsi="Times New Roman" w:cs="Times New Roman"/>
          <w:b/>
          <w:bCs/>
          <w:sz w:val="28"/>
          <w:szCs w:val="28"/>
        </w:rPr>
      </w:pPr>
      <w:r w:rsidRPr="00672DC8">
        <w:rPr>
          <w:rFonts w:ascii="Times New Roman" w:eastAsia="宋体" w:hAnsi="Times New Roman" w:cs="Times New Roman"/>
          <w:b/>
          <w:bCs/>
          <w:sz w:val="28"/>
          <w:szCs w:val="28"/>
        </w:rPr>
        <w:t>所有董事均已出席了审议本次半年报的董事会会议。</w:t>
      </w:r>
    </w:p>
    <w:p w:rsidR="000C0769" w:rsidRPr="00672DC8" w:rsidRDefault="000C0769" w:rsidP="00F029AD">
      <w:pPr>
        <w:spacing w:line="560" w:lineRule="exact"/>
        <w:ind w:firstLineChars="200" w:firstLine="562"/>
        <w:divId w:val="215051287"/>
        <w:rPr>
          <w:rFonts w:ascii="Times New Roman" w:eastAsia="宋体" w:hAnsi="Times New Roman" w:cs="Times New Roman"/>
          <w:b/>
          <w:bCs/>
          <w:sz w:val="28"/>
          <w:szCs w:val="28"/>
        </w:rPr>
      </w:pPr>
      <w:r w:rsidRPr="00672DC8">
        <w:rPr>
          <w:rFonts w:ascii="Times New Roman" w:eastAsia="宋体" w:hAnsi="Times New Roman" w:cs="Times New Roman"/>
          <w:b/>
          <w:bCs/>
          <w:sz w:val="28"/>
          <w:szCs w:val="28"/>
        </w:rPr>
        <w:t>本公司在本报告第三节</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管理层讨论与分析</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之</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十、公司面临的风险和应对措施</w:t>
      </w:r>
      <w:r w:rsidRPr="00672DC8">
        <w:rPr>
          <w:rFonts w:ascii="Times New Roman" w:eastAsia="宋体" w:hAnsi="Times New Roman" w:cs="Times New Roman"/>
          <w:b/>
          <w:bCs/>
          <w:sz w:val="28"/>
          <w:szCs w:val="28"/>
        </w:rPr>
        <w:t>”</w:t>
      </w:r>
      <w:r w:rsidRPr="00672DC8">
        <w:rPr>
          <w:rFonts w:ascii="Times New Roman" w:eastAsia="宋体" w:hAnsi="Times New Roman" w:cs="Times New Roman"/>
          <w:b/>
          <w:bCs/>
          <w:sz w:val="28"/>
          <w:szCs w:val="28"/>
        </w:rPr>
        <w:t>描述了公司未来经营中可能存在的风险和应对措施，敬请广大投资者予以关注，注意投资风险。</w:t>
      </w:r>
    </w:p>
    <w:p w:rsidR="003D2BA8" w:rsidRPr="00672DC8" w:rsidRDefault="000C0769">
      <w:pPr>
        <w:spacing w:line="560" w:lineRule="exact"/>
        <w:ind w:firstLineChars="200" w:firstLine="562"/>
        <w:rPr>
          <w:rFonts w:ascii="Times New Roman" w:eastAsia="宋体" w:hAnsi="Times New Roman" w:cs="Times New Roman"/>
          <w:b/>
          <w:bCs/>
          <w:sz w:val="28"/>
          <w:szCs w:val="28"/>
        </w:rPr>
      </w:pPr>
      <w:r w:rsidRPr="00672DC8">
        <w:rPr>
          <w:rFonts w:ascii="Times New Roman" w:eastAsia="宋体" w:hAnsi="Times New Roman" w:cs="Times New Roman"/>
          <w:b/>
          <w:bCs/>
          <w:sz w:val="28"/>
          <w:szCs w:val="28"/>
        </w:rPr>
        <w:t>公司计划不派发现金红利，不送红股，不以公积金转增股本。</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spacing w:line="720" w:lineRule="exact"/>
        <w:jc w:val="center"/>
        <w:rPr>
          <w:rFonts w:ascii="Times New Roman" w:eastAsia="宋体" w:hAnsi="Times New Roman" w:cs="Times New Roman"/>
          <w:b/>
          <w:bCs/>
          <w:sz w:val="36"/>
          <w:szCs w:val="36"/>
        </w:rPr>
      </w:pPr>
      <w:r w:rsidRPr="00672DC8">
        <w:rPr>
          <w:rFonts w:ascii="Times New Roman" w:eastAsia="宋体" w:hAnsi="Times New Roman" w:cs="Times New Roman"/>
          <w:b/>
          <w:bCs/>
          <w:sz w:val="36"/>
          <w:szCs w:val="36"/>
        </w:rPr>
        <w:lastRenderedPageBreak/>
        <w:t>目录</w:t>
      </w:r>
    </w:p>
    <w:p w:rsidR="007E43A6" w:rsidRPr="001B4740" w:rsidRDefault="007E43A6">
      <w:pPr>
        <w:pStyle w:val="1"/>
        <w:tabs>
          <w:tab w:val="right" w:leader="dot" w:pos="9627"/>
        </w:tabs>
        <w:rPr>
          <w:rFonts w:ascii="Times New Roman" w:hAnsi="Times New Roman"/>
          <w:noProof/>
        </w:rPr>
      </w:pPr>
      <w:r>
        <w:rPr>
          <w:rFonts w:ascii="Times New Roman" w:hAnsi="Times New Roman" w:cs="Times New Roman"/>
        </w:rPr>
        <w:fldChar w:fldCharType="begin"/>
      </w:r>
      <w:r>
        <w:rPr>
          <w:rFonts w:ascii="Times New Roman" w:hAnsi="Times New Roman" w:cs="Times New Roman"/>
        </w:rPr>
        <w:instrText xml:space="preserve"> TOC \o "1-1" \h \z \u </w:instrText>
      </w:r>
      <w:r>
        <w:rPr>
          <w:rFonts w:ascii="Times New Roman" w:hAnsi="Times New Roman" w:cs="Times New Roman"/>
        </w:rPr>
        <w:fldChar w:fldCharType="separate"/>
      </w:r>
      <w:hyperlink w:anchor="_Toc238760455" w:history="1">
        <w:r w:rsidRPr="001B4740">
          <w:rPr>
            <w:rStyle w:val="ab"/>
            <w:rFonts w:ascii="Times New Roman" w:eastAsia="宋体" w:hAnsi="Times New Roman" w:cs="Times New Roman"/>
            <w:b/>
            <w:bCs/>
            <w:noProof/>
          </w:rPr>
          <w:t>第一节</w:t>
        </w:r>
        <w:r w:rsidRPr="001B4740">
          <w:rPr>
            <w:rStyle w:val="ab"/>
            <w:rFonts w:ascii="Times New Roman" w:eastAsia="宋体" w:hAnsi="Times New Roman" w:cs="Times New Roman"/>
            <w:b/>
            <w:bCs/>
            <w:noProof/>
          </w:rPr>
          <w:t xml:space="preserve"> </w:t>
        </w:r>
        <w:r w:rsidRPr="001B4740">
          <w:rPr>
            <w:rStyle w:val="ab"/>
            <w:rFonts w:ascii="Times New Roman" w:eastAsia="宋体" w:hAnsi="Times New Roman" w:cs="Times New Roman"/>
            <w:b/>
            <w:bCs/>
            <w:noProof/>
          </w:rPr>
          <w:t>重要提示、目录和释义</w:t>
        </w:r>
        <w:r w:rsidRPr="001B4740">
          <w:rPr>
            <w:rFonts w:ascii="Times New Roman" w:hAnsi="Times New Roman"/>
            <w:noProof/>
            <w:webHidden/>
          </w:rPr>
          <w:tab/>
        </w:r>
        <w:r w:rsidRPr="001B4740">
          <w:rPr>
            <w:rFonts w:ascii="Times New Roman" w:hAnsi="Times New Roman"/>
            <w:noProof/>
            <w:webHidden/>
          </w:rPr>
          <w:fldChar w:fldCharType="begin"/>
        </w:r>
        <w:r w:rsidRPr="001B4740">
          <w:rPr>
            <w:rFonts w:ascii="Times New Roman" w:hAnsi="Times New Roman"/>
            <w:noProof/>
            <w:webHidden/>
          </w:rPr>
          <w:instrText xml:space="preserve"> PAGEREF _Toc238760455 \h </w:instrText>
        </w:r>
        <w:r w:rsidRPr="001B4740">
          <w:rPr>
            <w:rFonts w:ascii="Times New Roman" w:hAnsi="Times New Roman"/>
            <w:noProof/>
            <w:webHidden/>
          </w:rPr>
        </w:r>
        <w:r w:rsidRPr="001B4740">
          <w:rPr>
            <w:rFonts w:ascii="Times New Roman" w:hAnsi="Times New Roman"/>
            <w:noProof/>
            <w:webHidden/>
          </w:rPr>
          <w:fldChar w:fldCharType="separate"/>
        </w:r>
        <w:r w:rsidR="004672E5">
          <w:rPr>
            <w:rFonts w:ascii="Times New Roman" w:hAnsi="Times New Roman"/>
            <w:noProof/>
            <w:webHidden/>
          </w:rPr>
          <w:t>2</w:t>
        </w:r>
        <w:r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56" w:history="1">
        <w:r w:rsidR="007E43A6" w:rsidRPr="001B4740">
          <w:rPr>
            <w:rStyle w:val="ab"/>
            <w:rFonts w:ascii="Times New Roman" w:eastAsia="宋体" w:hAnsi="Times New Roman" w:cs="Times New Roman"/>
            <w:b/>
            <w:bCs/>
            <w:noProof/>
          </w:rPr>
          <w:t>第二节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公司简介和主要财务指标</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_Toc238760456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7</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57" w:history="1">
        <w:r w:rsidR="007E43A6" w:rsidRPr="001B4740">
          <w:rPr>
            <w:rStyle w:val="ab"/>
            <w:rFonts w:ascii="Times New Roman" w:eastAsia="宋体" w:hAnsi="Times New Roman" w:cs="Times New Roman"/>
            <w:b/>
            <w:bCs/>
            <w:noProof/>
          </w:rPr>
          <w:t>第三节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管理层讨论与分析</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_Toc238760457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10</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58" w:history="1">
        <w:r w:rsidR="007E43A6" w:rsidRPr="001B4740">
          <w:rPr>
            <w:rStyle w:val="ab"/>
            <w:rFonts w:ascii="Times New Roman" w:eastAsia="宋体" w:hAnsi="Times New Roman" w:cs="Times New Roman"/>
            <w:b/>
            <w:bCs/>
            <w:noProof/>
          </w:rPr>
          <w:t>第四节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公司治理、环境和社会</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_Toc238760458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34</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59" w:history="1">
        <w:r w:rsidR="007E43A6" w:rsidRPr="001B4740">
          <w:rPr>
            <w:rStyle w:val="ab"/>
            <w:rFonts w:ascii="Times New Roman" w:eastAsia="宋体" w:hAnsi="Times New Roman" w:cs="Times New Roman"/>
            <w:b/>
            <w:bCs/>
            <w:noProof/>
          </w:rPr>
          <w:t>第五节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重要事项</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_Toc238760459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38</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60" w:history="1">
        <w:r w:rsidR="007E43A6" w:rsidRPr="001B4740">
          <w:rPr>
            <w:rStyle w:val="ab"/>
            <w:rFonts w:ascii="Times New Roman" w:eastAsia="宋体" w:hAnsi="Times New Roman" w:cs="Times New Roman"/>
            <w:b/>
            <w:bCs/>
            <w:noProof/>
          </w:rPr>
          <w:t>第六节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股份变动及股东情况</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_Toc238760460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46</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61" w:history="1">
        <w:r w:rsidR="007E43A6" w:rsidRPr="001B4740">
          <w:rPr>
            <w:rStyle w:val="ab"/>
            <w:rFonts w:ascii="Times New Roman" w:eastAsia="宋体" w:hAnsi="Times New Roman" w:cs="Times New Roman"/>
            <w:b/>
            <w:bCs/>
            <w:noProof/>
          </w:rPr>
          <w:t>第七节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债券相关情况</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_Toc238760461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53</w:t>
        </w:r>
        <w:r w:rsidR="007E43A6" w:rsidRPr="001B4740">
          <w:rPr>
            <w:rFonts w:ascii="Times New Roman" w:hAnsi="Times New Roman"/>
            <w:noProof/>
            <w:webHidden/>
          </w:rPr>
          <w:fldChar w:fldCharType="end"/>
        </w:r>
      </w:hyperlink>
    </w:p>
    <w:p w:rsidR="007E43A6" w:rsidRPr="001B4740" w:rsidRDefault="00654633">
      <w:pPr>
        <w:pStyle w:val="1"/>
        <w:tabs>
          <w:tab w:val="right" w:leader="dot" w:pos="9627"/>
        </w:tabs>
        <w:rPr>
          <w:rFonts w:ascii="Times New Roman" w:hAnsi="Times New Roman"/>
          <w:noProof/>
        </w:rPr>
      </w:pPr>
      <w:hyperlink w:anchor="_Toc238760462" w:history="1">
        <w:r w:rsidR="007E43A6" w:rsidRPr="001B4740">
          <w:rPr>
            <w:rStyle w:val="ab"/>
            <w:rFonts w:ascii="Times New Roman" w:eastAsia="宋体" w:hAnsi="Times New Roman" w:cs="Times New Roman"/>
            <w:b/>
            <w:bCs/>
            <w:noProof/>
          </w:rPr>
          <w:t>第八节</w:t>
        </w:r>
        <w:r w:rsidR="007E43A6" w:rsidRPr="001B4740">
          <w:rPr>
            <w:rStyle w:val="ab"/>
            <w:rFonts w:ascii="Times New Roman" w:eastAsia="宋体" w:hAnsi="Times New Roman" w:cs="Times New Roman"/>
            <w:b/>
            <w:bCs/>
            <w:noProof/>
          </w:rPr>
          <w:t xml:space="preserve"> </w:t>
        </w:r>
        <w:r w:rsidR="007E43A6" w:rsidRPr="001B4740">
          <w:rPr>
            <w:rStyle w:val="ab"/>
            <w:rFonts w:ascii="Times New Roman" w:eastAsia="宋体" w:hAnsi="Times New Roman" w:cs="Times New Roman"/>
            <w:b/>
            <w:bCs/>
            <w:noProof/>
          </w:rPr>
          <w:t>财务报告</w:t>
        </w:r>
        <w:r w:rsidR="007E43A6" w:rsidRPr="001B4740">
          <w:rPr>
            <w:rFonts w:ascii="Times New Roman" w:hAnsi="Times New Roman"/>
            <w:noProof/>
            <w:webHidden/>
          </w:rPr>
          <w:tab/>
        </w:r>
        <w:r w:rsidR="007E43A6" w:rsidRPr="001B4740">
          <w:rPr>
            <w:rFonts w:ascii="Times New Roman" w:hAnsi="Times New Roman"/>
            <w:noProof/>
            <w:webHidden/>
          </w:rPr>
          <w:fldChar w:fldCharType="begin"/>
        </w:r>
        <w:r w:rsidR="007E43A6" w:rsidRPr="001B4740">
          <w:rPr>
            <w:rFonts w:ascii="Times New Roman" w:hAnsi="Times New Roman"/>
            <w:noProof/>
            <w:webHidden/>
          </w:rPr>
          <w:instrText xml:space="preserve"> PAGEREF _Toc238760462 \h </w:instrText>
        </w:r>
        <w:r w:rsidR="007E43A6" w:rsidRPr="001B4740">
          <w:rPr>
            <w:rFonts w:ascii="Times New Roman" w:hAnsi="Times New Roman"/>
            <w:noProof/>
            <w:webHidden/>
          </w:rPr>
        </w:r>
        <w:r w:rsidR="007E43A6" w:rsidRPr="001B4740">
          <w:rPr>
            <w:rFonts w:ascii="Times New Roman" w:hAnsi="Times New Roman"/>
            <w:noProof/>
            <w:webHidden/>
          </w:rPr>
          <w:fldChar w:fldCharType="separate"/>
        </w:r>
        <w:r w:rsidR="004672E5">
          <w:rPr>
            <w:rFonts w:ascii="Times New Roman" w:hAnsi="Times New Roman"/>
            <w:noProof/>
            <w:webHidden/>
          </w:rPr>
          <w:t>54</w:t>
        </w:r>
        <w:r w:rsidR="007E43A6" w:rsidRPr="001B4740">
          <w:rPr>
            <w:rFonts w:ascii="Times New Roman" w:hAnsi="Times New Roman"/>
            <w:noProof/>
            <w:webHidden/>
          </w:rPr>
          <w:fldChar w:fldCharType="end"/>
        </w:r>
      </w:hyperlink>
    </w:p>
    <w:p w:rsidR="003D2BA8" w:rsidRPr="00672DC8" w:rsidRDefault="007E43A6">
      <w:pPr>
        <w:pStyle w:val="1"/>
        <w:tabs>
          <w:tab w:val="left" w:leader="dot" w:pos="9469"/>
        </w:tabs>
        <w:rPr>
          <w:rFonts w:ascii="Times New Roman" w:hAnsi="Times New Roman" w:cs="Times New Roman"/>
          <w:noProof/>
        </w:rPr>
      </w:pPr>
      <w:r>
        <w:rPr>
          <w:rFonts w:ascii="Times New Roman" w:hAnsi="Times New Roman" w:cs="Times New Roman"/>
        </w:rPr>
        <w:fldChar w:fldCharType="end"/>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spacing w:line="640" w:lineRule="exact"/>
        <w:jc w:val="center"/>
        <w:rPr>
          <w:rFonts w:ascii="Times New Roman" w:eastAsia="宋体" w:hAnsi="Times New Roman" w:cs="Times New Roman"/>
          <w:b/>
          <w:bCs/>
          <w:sz w:val="32"/>
          <w:szCs w:val="32"/>
        </w:rPr>
      </w:pPr>
      <w:r w:rsidRPr="00672DC8">
        <w:rPr>
          <w:rFonts w:ascii="Times New Roman" w:eastAsia="宋体" w:hAnsi="Times New Roman" w:cs="Times New Roman"/>
          <w:b/>
          <w:bCs/>
          <w:sz w:val="32"/>
          <w:szCs w:val="32"/>
        </w:rPr>
        <w:lastRenderedPageBreak/>
        <w:t>备查文件目录</w:t>
      </w:r>
    </w:p>
    <w:p w:rsidR="000C0769" w:rsidRPr="00672DC8" w:rsidRDefault="000C0769" w:rsidP="00BF0C30">
      <w:pPr>
        <w:pStyle w:val="a3"/>
        <w:spacing w:beforeLines="50" w:before="156" w:beforeAutospacing="0" w:afterLines="50" w:after="156" w:afterAutospacing="0" w:line="360" w:lineRule="auto"/>
        <w:ind w:firstLine="408"/>
        <w:divId w:val="152189616"/>
        <w:rPr>
          <w:rFonts w:ascii="Times New Roman" w:hAnsi="Times New Roman" w:cs="Times New Roman"/>
        </w:rPr>
      </w:pPr>
      <w:r w:rsidRPr="00672DC8">
        <w:rPr>
          <w:rFonts w:ascii="Times New Roman" w:hAnsi="Times New Roman" w:cs="Times New Roman"/>
        </w:rPr>
        <w:t>（一）载有公司负责人、主管会计工作负责人、会计机构负责人（会计主管人员）签名并盖章的财务报表；</w:t>
      </w:r>
    </w:p>
    <w:p w:rsidR="000C0769" w:rsidRPr="00672DC8" w:rsidRDefault="000C0769" w:rsidP="00BF0C30">
      <w:pPr>
        <w:pStyle w:val="a3"/>
        <w:spacing w:beforeLines="50" w:before="156" w:beforeAutospacing="0" w:afterLines="50" w:after="156" w:afterAutospacing="0" w:line="360" w:lineRule="auto"/>
        <w:ind w:firstLine="408"/>
        <w:divId w:val="152189616"/>
        <w:rPr>
          <w:rFonts w:ascii="Times New Roman" w:hAnsi="Times New Roman" w:cs="Times New Roman"/>
        </w:rPr>
      </w:pPr>
      <w:r w:rsidRPr="00672DC8">
        <w:rPr>
          <w:rFonts w:ascii="Times New Roman" w:hAnsi="Times New Roman" w:cs="Times New Roman"/>
        </w:rPr>
        <w:t>（二）报告期内公开披露过的所有公司文件的正本及公告的原稿；</w:t>
      </w:r>
    </w:p>
    <w:p w:rsidR="000C0769" w:rsidRPr="00672DC8" w:rsidRDefault="000C0769" w:rsidP="00BF0C30">
      <w:pPr>
        <w:pStyle w:val="a3"/>
        <w:spacing w:beforeLines="50" w:before="156" w:beforeAutospacing="0" w:afterLines="50" w:after="156" w:afterAutospacing="0" w:line="360" w:lineRule="auto"/>
        <w:ind w:firstLine="408"/>
        <w:divId w:val="152189616"/>
        <w:rPr>
          <w:rFonts w:ascii="Times New Roman" w:hAnsi="Times New Roman" w:cs="Times New Roman"/>
        </w:rPr>
      </w:pPr>
      <w:r w:rsidRPr="00672DC8">
        <w:rPr>
          <w:rFonts w:ascii="Times New Roman" w:hAnsi="Times New Roman" w:cs="Times New Roman"/>
        </w:rPr>
        <w:t>（三）其他备查文件。</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spacing w:before="40" w:after="40" w:line="640" w:lineRule="exact"/>
        <w:jc w:val="center"/>
        <w:rPr>
          <w:rFonts w:ascii="Times New Roman" w:eastAsia="宋体" w:hAnsi="Times New Roman" w:cs="Times New Roman"/>
          <w:b/>
          <w:bCs/>
          <w:sz w:val="32"/>
          <w:szCs w:val="32"/>
        </w:rPr>
      </w:pPr>
      <w:r w:rsidRPr="00672DC8">
        <w:rPr>
          <w:rFonts w:ascii="Times New Roman" w:eastAsia="宋体" w:hAnsi="Times New Roman" w:cs="Times New Roman"/>
          <w:b/>
          <w:bCs/>
          <w:sz w:val="32"/>
          <w:szCs w:val="32"/>
        </w:rPr>
        <w:lastRenderedPageBreak/>
        <w:t>释义</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319"/>
        <w:gridCol w:w="1000"/>
        <w:gridCol w:w="4320"/>
      </w:tblGrid>
      <w:tr w:rsidR="003D2BA8" w:rsidRPr="00672DC8" w:rsidTr="002F55F1">
        <w:trPr>
          <w:trHeight w:val="240"/>
          <w:tblHeader/>
        </w:trPr>
        <w:tc>
          <w:tcPr>
            <w:tcW w:w="43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释义项</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释义内容</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公司、本公司、本集团、天亿马</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广东天亿马信息产业股份有限公司及合并范围内子公司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母公司、股份公司、上市公司</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互联精英</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香港天亿马</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广州天亿马</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广州市天亿马信息技术有限公司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天亿马技术</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天亿马数字能源</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湖南天晨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湖南天晨新能源有限公司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邯郸庚源</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邯郸庚源新能源科技有限公司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桓台爱道</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桓台爱道光伏发电有限公司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广西亿泰</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广西亿泰新能源有限公司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翼启数据</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路创科技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广州路创轨道科技有限公司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天亿马数字产业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广东天亿马数字产业有限公司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天亿马数据产业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亿拓词元科技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广东亿拓词元科技有限公司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上海天亿马智能</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北京天亿马智能</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北京天亿马人工智能科技有限公司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广东天亿马智能</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广东天亿马人工智能科技有限公司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星云开物</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广东星云开物科技股份有限公司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股东会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广东天亿马信息产业股份有限公司股东会</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董事会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广东天亿马信息产业股份有限公司董事会</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高级管理人员</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公司总经理、副总经理、董事会秘书、财务总监（财务负责人）</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五矿证券</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五矿证券有限公司</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报告期、本期</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日至</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上年同期、上期</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日至</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上年期末</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期初、报告期初、本报告期初</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期末、报告期末、本报告期末</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元、万元</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人民币元、人民币万元</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人工智能、</w:t>
            </w:r>
            <w:r w:rsidRPr="00672DC8">
              <w:rPr>
                <w:rFonts w:ascii="Times New Roman" w:eastAsia="宋体" w:hAnsi="Times New Roman" w:cs="Times New Roman"/>
                <w:sz w:val="18"/>
                <w:szCs w:val="18"/>
              </w:rPr>
              <w:t>AI</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研究、开发用于模拟、延伸和扩展人的智能的理论、方法、技术及应用系统的一门新的技术学科</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大模型、人工智能大模型</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具有超大规模参数和复杂计算结构的机器学习模型，通常由人工神经网络构建，参数量可达数十亿甚至数万亿。</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大语言模型</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Large Language Model</w:t>
            </w:r>
            <w:r w:rsidRPr="00672DC8">
              <w:rPr>
                <w:rFonts w:ascii="Times New Roman" w:eastAsia="宋体" w:hAnsi="Times New Roman" w:cs="Times New Roman"/>
                <w:sz w:val="18"/>
                <w:szCs w:val="18"/>
              </w:rPr>
              <w:t>，简称</w:t>
            </w:r>
            <w:r w:rsidRPr="00672DC8">
              <w:rPr>
                <w:rFonts w:ascii="Times New Roman" w:eastAsia="宋体" w:hAnsi="Times New Roman" w:cs="Times New Roman"/>
                <w:sz w:val="18"/>
                <w:szCs w:val="18"/>
              </w:rPr>
              <w:t>LLM</w:t>
            </w:r>
            <w:r w:rsidRPr="00672DC8">
              <w:rPr>
                <w:rFonts w:ascii="Times New Roman" w:eastAsia="宋体" w:hAnsi="Times New Roman" w:cs="Times New Roman"/>
                <w:sz w:val="18"/>
                <w:szCs w:val="18"/>
              </w:rPr>
              <w:t>，是指使用大量文本数据训练的深度学习模型，使得该模型可以生成自然语言文本或理解语言文本的含义</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多模态大模型</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将文本、图像、视频、音频等多模态信息联合起来进行训练的模型</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智能体</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能够感知环境并采取行动以实现特定目标的代理体。它可以是软件、硬件或一个系统，具备自主性、适应性和交互能力。</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Token/</w:t>
            </w:r>
            <w:r w:rsidRPr="00672DC8">
              <w:rPr>
                <w:rFonts w:ascii="Times New Roman" w:eastAsia="宋体" w:hAnsi="Times New Roman" w:cs="Times New Roman"/>
                <w:sz w:val="18"/>
                <w:szCs w:val="18"/>
              </w:rPr>
              <w:t>词元</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指数据、信息或物理对象的符号化表示或最小处理单元，具有可计量、可定价、可交易的特征</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NLP/</w:t>
            </w:r>
            <w:r w:rsidRPr="00672DC8">
              <w:rPr>
                <w:rFonts w:ascii="Times New Roman" w:eastAsia="宋体" w:hAnsi="Times New Roman" w:cs="Times New Roman"/>
                <w:sz w:val="18"/>
                <w:szCs w:val="18"/>
              </w:rPr>
              <w:t>自然语言编程</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Natural Language Processing, </w:t>
            </w:r>
            <w:r w:rsidRPr="00672DC8">
              <w:rPr>
                <w:rFonts w:ascii="Times New Roman" w:eastAsia="宋体" w:hAnsi="Times New Roman" w:cs="Times New Roman"/>
                <w:sz w:val="18"/>
                <w:szCs w:val="18"/>
              </w:rPr>
              <w:t>简称</w:t>
            </w:r>
            <w:r w:rsidRPr="00672DC8">
              <w:rPr>
                <w:rFonts w:ascii="Times New Roman" w:eastAsia="宋体" w:hAnsi="Times New Roman" w:cs="Times New Roman"/>
                <w:sz w:val="18"/>
                <w:szCs w:val="18"/>
              </w:rPr>
              <w:t>NLP</w:t>
            </w:r>
            <w:r w:rsidRPr="00672DC8">
              <w:rPr>
                <w:rFonts w:ascii="Times New Roman" w:eastAsia="宋体" w:hAnsi="Times New Roman" w:cs="Times New Roman"/>
                <w:sz w:val="18"/>
                <w:szCs w:val="18"/>
              </w:rPr>
              <w:t>，是人工智能领域的重要研究方向</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融合了语言学、计算机科学、机器学习、数学、认知心理学等多个学科领域的知识，是一门集计算机科学、人工智能和语言学于一体的交叉学科。</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算力</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某个设备或系统的计算性能；一般指一台计算机具备的理论上最大的每秒浮点运算次数（</w:t>
            </w:r>
            <w:r w:rsidRPr="00672DC8">
              <w:rPr>
                <w:rFonts w:ascii="Times New Roman" w:eastAsia="宋体" w:hAnsi="Times New Roman" w:cs="Times New Roman"/>
                <w:sz w:val="18"/>
                <w:szCs w:val="18"/>
              </w:rPr>
              <w:t>FLOPS</w:t>
            </w:r>
            <w:r w:rsidRPr="00672DC8">
              <w:rPr>
                <w:rFonts w:ascii="Times New Roman" w:eastAsia="宋体" w:hAnsi="Times New Roman" w:cs="Times New Roman"/>
                <w:sz w:val="18"/>
                <w:szCs w:val="18"/>
              </w:rPr>
              <w:t>）</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FLOPS</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Floating Point Operations Per Second</w:t>
            </w:r>
            <w:r w:rsidRPr="00672DC8">
              <w:rPr>
                <w:rFonts w:ascii="Times New Roman" w:eastAsia="宋体" w:hAnsi="Times New Roman" w:cs="Times New Roman"/>
                <w:sz w:val="18"/>
                <w:szCs w:val="18"/>
              </w:rPr>
              <w:t>，每秒浮点运算次数</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数字化</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许多复杂多变的信息转变为可以度量的数字、数据，再以这些数字、数据建立起适当的数字化模型，应用计算机进行统一处理</w:t>
            </w:r>
          </w:p>
        </w:tc>
      </w:tr>
      <w:tr w:rsidR="003D2BA8" w:rsidRPr="00672DC8">
        <w:trPr>
          <w:trHeight w:val="240"/>
        </w:trPr>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数智化</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在数字化与智能化相结合的过程中，利用先进的信息技术和智能算法，对数据进行深度挖掘、分析与应用，以实现决策的优化和业务的提升</w:t>
            </w:r>
          </w:p>
        </w:tc>
      </w:tr>
    </w:tbl>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1" w:name="_Toc238760456"/>
      <w:r w:rsidRPr="00672DC8">
        <w:rPr>
          <w:rFonts w:ascii="Times New Roman" w:eastAsia="宋体" w:hAnsi="Times New Roman" w:cs="Times New Roman"/>
          <w:b/>
          <w:bCs/>
          <w:sz w:val="32"/>
          <w:szCs w:val="32"/>
        </w:rPr>
        <w:lastRenderedPageBreak/>
        <w:t>第二节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公司简介和主要财务指标</w:t>
      </w:r>
      <w:bookmarkEnd w:id="1"/>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2" w:name="_Toc988891"/>
      <w:r w:rsidRPr="00672DC8">
        <w:rPr>
          <w:rFonts w:ascii="Times New Roman" w:eastAsia="宋体" w:hAnsi="Times New Roman" w:cs="Times New Roman"/>
          <w:b/>
          <w:bCs/>
          <w:sz w:val="24"/>
          <w:szCs w:val="24"/>
        </w:rPr>
        <w:t>一、公司简介</w:t>
      </w:r>
      <w:bookmarkEnd w:id="2"/>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股票简称</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股票代码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301178</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变更前的股票简称（如有）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股票上市证券交易所</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深圳证券交易所</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公司的中文名称</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公司的中文简称（如有）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公司的外文名称（如有）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Guangdong TianYiMa Information Industry Co.,Ltd.</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公司的外文名称缩写（如有）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TYM</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公司的法定代表人</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3" w:name="_Toc988892"/>
      <w:r w:rsidRPr="00672DC8">
        <w:rPr>
          <w:rFonts w:ascii="Times New Roman" w:eastAsia="宋体" w:hAnsi="Times New Roman" w:cs="Times New Roman"/>
          <w:b/>
          <w:bCs/>
          <w:sz w:val="24"/>
          <w:szCs w:val="24"/>
        </w:rPr>
        <w:t>二、联系人和联系方式</w:t>
      </w:r>
      <w:bookmarkEnd w:id="3"/>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董事会秘书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证券事务代表</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姓名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曹维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黄舒倩</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联系地址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广东省汕头市海滨路</w:t>
            </w:r>
            <w:r w:rsidRPr="00672DC8">
              <w:rPr>
                <w:rFonts w:ascii="Times New Roman" w:eastAsia="宋体" w:hAnsi="Times New Roman" w:cs="Times New Roman"/>
                <w:sz w:val="18"/>
                <w:szCs w:val="18"/>
              </w:rPr>
              <w:t xml:space="preserve"> 55 </w:t>
            </w:r>
            <w:r w:rsidRPr="00672DC8">
              <w:rPr>
                <w:rFonts w:ascii="Times New Roman" w:eastAsia="宋体" w:hAnsi="Times New Roman" w:cs="Times New Roman"/>
                <w:sz w:val="18"/>
                <w:szCs w:val="18"/>
              </w:rPr>
              <w:t>号海逸投资大厦</w:t>
            </w:r>
            <w:r w:rsidRPr="00672DC8">
              <w:rPr>
                <w:rFonts w:ascii="Times New Roman" w:eastAsia="宋体" w:hAnsi="Times New Roman" w:cs="Times New Roman"/>
                <w:sz w:val="18"/>
                <w:szCs w:val="18"/>
              </w:rPr>
              <w:t xml:space="preserve"> 4-5 </w:t>
            </w:r>
            <w:r w:rsidRPr="00672DC8">
              <w:rPr>
                <w:rFonts w:ascii="Times New Roman" w:eastAsia="宋体" w:hAnsi="Times New Roman" w:cs="Times New Roman"/>
                <w:sz w:val="18"/>
                <w:szCs w:val="18"/>
              </w:rPr>
              <w:t>楼</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广东省汕头市海滨路</w:t>
            </w:r>
            <w:r w:rsidRPr="00672DC8">
              <w:rPr>
                <w:rFonts w:ascii="Times New Roman" w:eastAsia="宋体" w:hAnsi="Times New Roman" w:cs="Times New Roman"/>
                <w:sz w:val="18"/>
                <w:szCs w:val="18"/>
              </w:rPr>
              <w:t xml:space="preserve"> 55 </w:t>
            </w:r>
            <w:r w:rsidRPr="00672DC8">
              <w:rPr>
                <w:rFonts w:ascii="Times New Roman" w:eastAsia="宋体" w:hAnsi="Times New Roman" w:cs="Times New Roman"/>
                <w:sz w:val="18"/>
                <w:szCs w:val="18"/>
              </w:rPr>
              <w:t>号海逸投资大厦</w:t>
            </w:r>
            <w:r w:rsidRPr="00672DC8">
              <w:rPr>
                <w:rFonts w:ascii="Times New Roman" w:eastAsia="宋体" w:hAnsi="Times New Roman" w:cs="Times New Roman"/>
                <w:sz w:val="18"/>
                <w:szCs w:val="18"/>
              </w:rPr>
              <w:t xml:space="preserve"> 4-5 </w:t>
            </w:r>
            <w:r w:rsidRPr="00672DC8">
              <w:rPr>
                <w:rFonts w:ascii="Times New Roman" w:eastAsia="宋体" w:hAnsi="Times New Roman" w:cs="Times New Roman"/>
                <w:sz w:val="18"/>
                <w:szCs w:val="18"/>
              </w:rPr>
              <w:t>楼</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0754-88880666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0754-88880666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传真</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0754-88983999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0754-88983999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电子信箱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Securities@tym.com.cn</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Securities@tym.com.cn</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 w:name="_Toc988893"/>
      <w:r w:rsidRPr="00672DC8">
        <w:rPr>
          <w:rFonts w:ascii="Times New Roman" w:eastAsia="宋体" w:hAnsi="Times New Roman" w:cs="Times New Roman"/>
          <w:b/>
          <w:bCs/>
          <w:sz w:val="24"/>
          <w:szCs w:val="24"/>
        </w:rPr>
        <w:t>三、其他情况</w:t>
      </w:r>
      <w:bookmarkEnd w:id="4"/>
    </w:p>
    <w:p w:rsidR="003D2BA8" w:rsidRPr="00672DC8" w:rsidRDefault="000C0769">
      <w:pPr>
        <w:pStyle w:val="3"/>
        <w:spacing w:line="280" w:lineRule="exact"/>
        <w:jc w:val="left"/>
        <w:rPr>
          <w:rFonts w:ascii="Times New Roman" w:hAnsi="Times New Roman" w:cs="Times New Roman"/>
          <w:b/>
          <w:bCs/>
        </w:rPr>
      </w:pPr>
      <w:bookmarkStart w:id="5" w:name="_Toc988894"/>
      <w:r w:rsidRPr="00672DC8">
        <w:rPr>
          <w:rFonts w:ascii="Times New Roman" w:hAnsi="Times New Roman" w:cs="Times New Roman"/>
          <w:b/>
          <w:bCs/>
        </w:rPr>
        <w:t>1</w:t>
      </w:r>
      <w:r w:rsidRPr="00672DC8">
        <w:rPr>
          <w:rFonts w:ascii="Times New Roman" w:hAnsi="Times New Roman" w:cs="Times New Roman"/>
          <w:b/>
          <w:bCs/>
        </w:rPr>
        <w:t>、公司联系方式</w:t>
      </w:r>
      <w:bookmarkEnd w:id="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公司注册地址、公司办公地址及其邮政编码、公司网址、电子信箱等在报告期是否变化</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公司办公地址及其邮政编码、公司网址、电子信箱等在报告期无变化，具体可参见</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年年报。</w:t>
      </w:r>
    </w:p>
    <w:p w:rsidR="003D2BA8" w:rsidRPr="00672DC8" w:rsidRDefault="000C0769">
      <w:pPr>
        <w:pStyle w:val="3"/>
        <w:spacing w:line="280" w:lineRule="exact"/>
        <w:jc w:val="left"/>
        <w:rPr>
          <w:rFonts w:ascii="Times New Roman" w:hAnsi="Times New Roman" w:cs="Times New Roman"/>
          <w:b/>
          <w:bCs/>
        </w:rPr>
      </w:pPr>
      <w:bookmarkStart w:id="6" w:name="_Toc988895"/>
      <w:r w:rsidRPr="00672DC8">
        <w:rPr>
          <w:rFonts w:ascii="Times New Roman" w:hAnsi="Times New Roman" w:cs="Times New Roman"/>
          <w:b/>
          <w:bCs/>
        </w:rPr>
        <w:t>2</w:t>
      </w:r>
      <w:r w:rsidRPr="00672DC8">
        <w:rPr>
          <w:rFonts w:ascii="Times New Roman" w:hAnsi="Times New Roman" w:cs="Times New Roman"/>
          <w:b/>
          <w:bCs/>
        </w:rPr>
        <w:t>、信息披露及备置地点</w:t>
      </w:r>
      <w:bookmarkEnd w:id="6"/>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信息披露及备置地点在报告期是否变化</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公司披露半年度报告的证券交易所网站和媒体名称及网址，公司半年度报告备置地在报告期无变化，具体可参见</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年年报。</w:t>
      </w:r>
    </w:p>
    <w:p w:rsidR="003D2BA8" w:rsidRPr="00672DC8" w:rsidRDefault="000C0769">
      <w:pPr>
        <w:pStyle w:val="3"/>
        <w:spacing w:line="280" w:lineRule="exact"/>
        <w:jc w:val="left"/>
        <w:rPr>
          <w:rFonts w:ascii="Times New Roman" w:hAnsi="Times New Roman" w:cs="Times New Roman"/>
          <w:b/>
          <w:bCs/>
        </w:rPr>
      </w:pPr>
      <w:bookmarkStart w:id="7" w:name="_Toc988896"/>
      <w:r w:rsidRPr="00672DC8">
        <w:rPr>
          <w:rFonts w:ascii="Times New Roman" w:hAnsi="Times New Roman" w:cs="Times New Roman"/>
          <w:b/>
          <w:bCs/>
        </w:rPr>
        <w:t>3</w:t>
      </w:r>
      <w:r w:rsidRPr="00672DC8">
        <w:rPr>
          <w:rFonts w:ascii="Times New Roman" w:hAnsi="Times New Roman" w:cs="Times New Roman"/>
          <w:b/>
          <w:bCs/>
        </w:rPr>
        <w:t>、注册变更情况</w:t>
      </w:r>
      <w:bookmarkEnd w:id="7"/>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注册情况在报告期是否变更情况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953138">
        <w:trPr>
          <w:trHeight w:val="240"/>
          <w:tblHeader/>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注册登记日期</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注册登记地点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统一社会信用代码号码</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报告期初注册</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日</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汕头市嵩山路南</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号天澜国际大厦西塔</w:t>
            </w:r>
            <w:r w:rsidRPr="00672DC8">
              <w:rPr>
                <w:rFonts w:ascii="Times New Roman" w:eastAsia="宋体" w:hAnsi="Times New Roman" w:cs="Times New Roman"/>
                <w:sz w:val="18"/>
                <w:szCs w:val="18"/>
              </w:rPr>
              <w:t>2111-2112</w:t>
            </w:r>
            <w:r w:rsidRPr="00672DC8">
              <w:rPr>
                <w:rFonts w:ascii="Times New Roman" w:eastAsia="宋体" w:hAnsi="Times New Roman" w:cs="Times New Roman"/>
                <w:sz w:val="18"/>
                <w:szCs w:val="18"/>
              </w:rPr>
              <w:t>房</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914405007080295548</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报告期末注册</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日</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汕头市海滨路</w:t>
            </w:r>
            <w:r w:rsidRPr="00672DC8">
              <w:rPr>
                <w:rFonts w:ascii="Times New Roman" w:eastAsia="宋体" w:hAnsi="Times New Roman" w:cs="Times New Roman"/>
                <w:sz w:val="18"/>
                <w:szCs w:val="18"/>
              </w:rPr>
              <w:t>55</w:t>
            </w:r>
            <w:r w:rsidRPr="00672DC8">
              <w:rPr>
                <w:rFonts w:ascii="Times New Roman" w:eastAsia="宋体" w:hAnsi="Times New Roman" w:cs="Times New Roman"/>
                <w:sz w:val="18"/>
                <w:szCs w:val="18"/>
              </w:rPr>
              <w:t>号海逸投资大厦</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层</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914405007080295548</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临时公告披露的指定网站查询日期（如有）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日</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临时公告披露的指定网站查询索引（如有）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关于完成工商变更登记并换发营业执照的公告具体内容详见公司于</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日披露于巨潮资讯网（</w:t>
            </w:r>
            <w:r w:rsidRPr="00672DC8">
              <w:rPr>
                <w:rFonts w:ascii="Times New Roman" w:eastAsia="宋体" w:hAnsi="Times New Roman" w:cs="Times New Roman"/>
                <w:sz w:val="18"/>
                <w:szCs w:val="18"/>
              </w:rPr>
              <w:t>www.cninfo.com.cn</w:t>
            </w:r>
            <w:r w:rsidRPr="00672DC8">
              <w:rPr>
                <w:rFonts w:ascii="Times New Roman" w:eastAsia="宋体" w:hAnsi="Times New Roman" w:cs="Times New Roman"/>
                <w:sz w:val="18"/>
                <w:szCs w:val="18"/>
              </w:rPr>
              <w:t>）等法定披露媒体的《广东天亿马信息产业股份有限公司关于完成工商变更登记并换发营业执照的公告》（公告编号：</w:t>
            </w:r>
            <w:r w:rsidRPr="00672DC8">
              <w:rPr>
                <w:rFonts w:ascii="Times New Roman" w:eastAsia="宋体" w:hAnsi="Times New Roman" w:cs="Times New Roman"/>
                <w:sz w:val="18"/>
                <w:szCs w:val="18"/>
              </w:rPr>
              <w:t>2026-045</w:t>
            </w:r>
            <w:r w:rsidRPr="00672DC8">
              <w:rPr>
                <w:rFonts w:ascii="Times New Roman" w:eastAsia="宋体" w:hAnsi="Times New Roman" w:cs="Times New Roman"/>
                <w:sz w:val="18"/>
                <w:szCs w:val="18"/>
              </w:rPr>
              <w:t>）。</w:t>
            </w:r>
          </w:p>
        </w:tc>
      </w:tr>
    </w:tbl>
    <w:p w:rsidR="003D2BA8" w:rsidRPr="00672DC8" w:rsidRDefault="000C0769">
      <w:pPr>
        <w:pStyle w:val="3"/>
        <w:spacing w:line="280" w:lineRule="exact"/>
        <w:jc w:val="left"/>
        <w:rPr>
          <w:rFonts w:ascii="Times New Roman" w:hAnsi="Times New Roman" w:cs="Times New Roman"/>
          <w:b/>
          <w:bCs/>
        </w:rPr>
      </w:pPr>
      <w:bookmarkStart w:id="8" w:name="_Toc988897"/>
      <w:r w:rsidRPr="00672DC8">
        <w:rPr>
          <w:rFonts w:ascii="Times New Roman" w:hAnsi="Times New Roman" w:cs="Times New Roman"/>
          <w:b/>
          <w:bCs/>
        </w:rPr>
        <w:t>4</w:t>
      </w:r>
      <w:r w:rsidRPr="00672DC8">
        <w:rPr>
          <w:rFonts w:ascii="Times New Roman" w:hAnsi="Times New Roman" w:cs="Times New Roman"/>
          <w:b/>
          <w:bCs/>
        </w:rPr>
        <w:t>、其他有关资料</w:t>
      </w:r>
      <w:bookmarkEnd w:id="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其他有关资料在报告期是否变更情况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0C0769" w:rsidRPr="00672DC8" w:rsidRDefault="000C0769" w:rsidP="00F8128E">
      <w:pPr>
        <w:widowControl/>
        <w:ind w:firstLineChars="200" w:firstLine="360"/>
        <w:jc w:val="both"/>
        <w:divId w:val="203175883"/>
        <w:rPr>
          <w:rFonts w:ascii="Times New Roman" w:eastAsia="宋体" w:hAnsi="Times New Roman" w:cs="Times New Roman"/>
          <w:kern w:val="0"/>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16</w:t>
      </w:r>
      <w:r w:rsidRPr="00672DC8">
        <w:rPr>
          <w:rFonts w:ascii="Times New Roman" w:eastAsia="宋体" w:hAnsi="Times New Roman" w:cs="Times New Roman"/>
          <w:sz w:val="18"/>
          <w:szCs w:val="18"/>
        </w:rPr>
        <w:t>日，公司实施完成</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年度权益分派。</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年度利润分配方案为以</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日的总股本扣除回购账户所持有股份后的</w:t>
      </w:r>
      <w:r w:rsidRPr="00672DC8">
        <w:rPr>
          <w:rFonts w:ascii="Times New Roman" w:eastAsia="宋体" w:hAnsi="Times New Roman" w:cs="Times New Roman"/>
          <w:sz w:val="18"/>
          <w:szCs w:val="18"/>
        </w:rPr>
        <w:t>65,628,660</w:t>
      </w:r>
      <w:r w:rsidRPr="00672DC8">
        <w:rPr>
          <w:rFonts w:ascii="Times New Roman" w:eastAsia="宋体" w:hAnsi="Times New Roman" w:cs="Times New Roman"/>
          <w:sz w:val="18"/>
          <w:szCs w:val="18"/>
        </w:rPr>
        <w:t>股为基数，向全体股东每</w:t>
      </w:r>
      <w:r w:rsidRPr="00672DC8">
        <w:rPr>
          <w:rFonts w:ascii="Times New Roman" w:eastAsia="宋体" w:hAnsi="Times New Roman" w:cs="Times New Roman"/>
          <w:sz w:val="18"/>
          <w:szCs w:val="18"/>
        </w:rPr>
        <w:t xml:space="preserve">10 </w:t>
      </w:r>
      <w:r w:rsidRPr="00672DC8">
        <w:rPr>
          <w:rFonts w:ascii="Times New Roman" w:eastAsia="宋体" w:hAnsi="Times New Roman" w:cs="Times New Roman"/>
          <w:sz w:val="18"/>
          <w:szCs w:val="18"/>
        </w:rPr>
        <w:t>股派发现金股利人民币</w:t>
      </w:r>
      <w:r w:rsidRPr="00672DC8">
        <w:rPr>
          <w:rFonts w:ascii="Times New Roman" w:eastAsia="宋体" w:hAnsi="Times New Roman" w:cs="Times New Roman"/>
          <w:sz w:val="18"/>
          <w:szCs w:val="18"/>
        </w:rPr>
        <w:t>0.50</w:t>
      </w:r>
      <w:r w:rsidRPr="00672DC8">
        <w:rPr>
          <w:rFonts w:ascii="Times New Roman" w:eastAsia="宋体" w:hAnsi="Times New Roman" w:cs="Times New Roman"/>
          <w:sz w:val="18"/>
          <w:szCs w:val="18"/>
        </w:rPr>
        <w:t>元（含税），以资本公积金每</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股转增</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股，不送红股。本次现金分红总额</w:t>
      </w:r>
      <w:r w:rsidRPr="00672DC8">
        <w:rPr>
          <w:rFonts w:ascii="Times New Roman" w:eastAsia="宋体" w:hAnsi="Times New Roman" w:cs="Times New Roman"/>
          <w:sz w:val="18"/>
          <w:szCs w:val="18"/>
        </w:rPr>
        <w:t>3,281,433.00</w:t>
      </w:r>
      <w:r w:rsidRPr="00672DC8">
        <w:rPr>
          <w:rFonts w:ascii="Times New Roman" w:eastAsia="宋体" w:hAnsi="Times New Roman" w:cs="Times New Roman"/>
          <w:sz w:val="18"/>
          <w:szCs w:val="18"/>
        </w:rPr>
        <w:t>元（含税），本次利润分配实施后，公司总股本将由</w:t>
      </w:r>
      <w:r w:rsidRPr="00672DC8">
        <w:rPr>
          <w:rFonts w:ascii="Times New Roman" w:eastAsia="宋体" w:hAnsi="Times New Roman" w:cs="Times New Roman"/>
          <w:sz w:val="18"/>
          <w:szCs w:val="18"/>
        </w:rPr>
        <w:t>6,852,800</w:t>
      </w:r>
      <w:r w:rsidRPr="00672DC8">
        <w:rPr>
          <w:rFonts w:ascii="Times New Roman" w:eastAsia="宋体" w:hAnsi="Times New Roman" w:cs="Times New Roman"/>
          <w:sz w:val="18"/>
          <w:szCs w:val="18"/>
        </w:rPr>
        <w:t>股增加至</w:t>
      </w:r>
      <w:r w:rsidRPr="00672DC8">
        <w:rPr>
          <w:rFonts w:ascii="Times New Roman" w:eastAsia="宋体" w:hAnsi="Times New Roman" w:cs="Times New Roman"/>
          <w:sz w:val="18"/>
          <w:szCs w:val="18"/>
        </w:rPr>
        <w:t>93,104,264</w:t>
      </w:r>
      <w:r w:rsidRPr="00672DC8">
        <w:rPr>
          <w:rFonts w:ascii="Times New Roman" w:eastAsia="宋体" w:hAnsi="Times New Roman" w:cs="Times New Roman"/>
          <w:sz w:val="18"/>
          <w:szCs w:val="18"/>
        </w:rPr>
        <w:t>股。具体内容详见公司于</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日披露于巨潮资讯网（</w:t>
      </w:r>
      <w:r w:rsidRPr="00672DC8">
        <w:rPr>
          <w:rFonts w:ascii="Times New Roman" w:eastAsia="宋体" w:hAnsi="Times New Roman" w:cs="Times New Roman"/>
          <w:sz w:val="18"/>
          <w:szCs w:val="18"/>
        </w:rPr>
        <w:t>www.cninfo.com.cn</w:t>
      </w:r>
      <w:r w:rsidRPr="00672DC8">
        <w:rPr>
          <w:rFonts w:ascii="Times New Roman" w:eastAsia="宋体" w:hAnsi="Times New Roman" w:cs="Times New Roman"/>
          <w:sz w:val="18"/>
          <w:szCs w:val="18"/>
        </w:rPr>
        <w:t>）等法定披露媒体的《广东天亿马信息产业股份有限公司</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年年度权益分派实施公告》（公告编号：</w:t>
      </w:r>
      <w:r w:rsidRPr="00672DC8">
        <w:rPr>
          <w:rFonts w:ascii="Times New Roman" w:eastAsia="宋体" w:hAnsi="Times New Roman" w:cs="Times New Roman"/>
          <w:sz w:val="18"/>
          <w:szCs w:val="18"/>
        </w:rPr>
        <w:t>2026-032</w:t>
      </w:r>
      <w:r w:rsidRPr="00672DC8">
        <w:rPr>
          <w:rFonts w:ascii="Times New Roman" w:eastAsia="宋体" w:hAnsi="Times New Roman" w:cs="Times New Roman"/>
          <w:sz w:val="18"/>
          <w:szCs w:val="18"/>
        </w:rPr>
        <w:t>）。</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9" w:name="_Toc988898"/>
      <w:r w:rsidRPr="00672DC8">
        <w:rPr>
          <w:rFonts w:ascii="Times New Roman" w:eastAsia="宋体" w:hAnsi="Times New Roman" w:cs="Times New Roman"/>
          <w:b/>
          <w:bCs/>
          <w:sz w:val="24"/>
          <w:szCs w:val="24"/>
        </w:rPr>
        <w:t>四、主要会计数据和财务指标</w:t>
      </w:r>
      <w:bookmarkEnd w:id="9"/>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公司是否需追溯调整或重述以前年度会计数据</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上年同期</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本报告期比上年同期增减</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145,629,526.57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45.94%</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归属于上市公司股东的净利润（元）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2,588,333.74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6,059,068.30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-57.28%</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归属于上市公司股东的扣除非经常性损益的净利润（元）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3,525,039.31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7,179,708.32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-50.90%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经营活动产生的现金流量净额（元）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83,769,985.35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-16,382,921.61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611.33%</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基本每股收益（元</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0.0648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-57.10%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稀释每股收益（元</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0.0648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-57.25%</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加权平均净资产收益率</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-0.46%</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本报告期末</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上年度末</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本报告期末比上年度末增减</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总资产（元）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1,419,338,265.96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1,445,771,685.58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归属于上市公司股东的净资产（元）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781,837,906.12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777,012,591.85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0.62%</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 w:name="_Toc988899"/>
      <w:r w:rsidRPr="00672DC8">
        <w:rPr>
          <w:rFonts w:ascii="Times New Roman" w:eastAsia="宋体" w:hAnsi="Times New Roman" w:cs="Times New Roman"/>
          <w:b/>
          <w:bCs/>
          <w:sz w:val="24"/>
          <w:szCs w:val="24"/>
        </w:rPr>
        <w:t>五、境内外会计准则下会计数据差异</w:t>
      </w:r>
      <w:bookmarkEnd w:id="10"/>
    </w:p>
    <w:p w:rsidR="003D2BA8" w:rsidRPr="00672DC8" w:rsidRDefault="000C0769">
      <w:pPr>
        <w:pStyle w:val="3"/>
        <w:spacing w:line="280" w:lineRule="exact"/>
        <w:jc w:val="left"/>
        <w:rPr>
          <w:rFonts w:ascii="Times New Roman" w:hAnsi="Times New Roman" w:cs="Times New Roman"/>
          <w:b/>
          <w:bCs/>
        </w:rPr>
      </w:pPr>
      <w:bookmarkStart w:id="11" w:name="_Toc988900"/>
      <w:r w:rsidRPr="00672DC8">
        <w:rPr>
          <w:rFonts w:ascii="Times New Roman" w:hAnsi="Times New Roman" w:cs="Times New Roman"/>
          <w:b/>
          <w:bCs/>
        </w:rPr>
        <w:t>1</w:t>
      </w:r>
      <w:r w:rsidRPr="00672DC8">
        <w:rPr>
          <w:rFonts w:ascii="Times New Roman" w:hAnsi="Times New Roman" w:cs="Times New Roman"/>
          <w:b/>
          <w:bCs/>
        </w:rPr>
        <w:t>、同时按照国际会计准则与按照中国会计准则披露的财务报告中净利润和净资产差异情况</w:t>
      </w:r>
      <w:bookmarkEnd w:id="1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公司报告期不存在按照国际会计准则与按照中国会计准则披露的财务报告中净利润和净资产差异情况。</w:t>
      </w:r>
    </w:p>
    <w:p w:rsidR="003D2BA8" w:rsidRPr="00672DC8" w:rsidRDefault="000C0769">
      <w:pPr>
        <w:pStyle w:val="3"/>
        <w:spacing w:line="280" w:lineRule="exact"/>
        <w:jc w:val="left"/>
        <w:rPr>
          <w:rFonts w:ascii="Times New Roman" w:hAnsi="Times New Roman" w:cs="Times New Roman"/>
          <w:b/>
          <w:bCs/>
        </w:rPr>
      </w:pPr>
      <w:bookmarkStart w:id="12" w:name="_Toc988901"/>
      <w:r w:rsidRPr="00672DC8">
        <w:rPr>
          <w:rFonts w:ascii="Times New Roman" w:hAnsi="Times New Roman" w:cs="Times New Roman"/>
          <w:b/>
          <w:bCs/>
        </w:rPr>
        <w:t>2</w:t>
      </w:r>
      <w:r w:rsidRPr="00672DC8">
        <w:rPr>
          <w:rFonts w:ascii="Times New Roman" w:hAnsi="Times New Roman" w:cs="Times New Roman"/>
          <w:b/>
          <w:bCs/>
        </w:rPr>
        <w:t>、同时按照境外会计准则与按照中国会计准则披露的财务报告中净利润和净资产差异情况</w:t>
      </w:r>
      <w:bookmarkEnd w:id="1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公司报告期不存在按照境外会计准则与按照中国会计准则披露的财务报告中净利润和净资产差异情况。</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3" w:name="_Toc988902"/>
      <w:r w:rsidRPr="00672DC8">
        <w:rPr>
          <w:rFonts w:ascii="Times New Roman" w:eastAsia="宋体" w:hAnsi="Times New Roman" w:cs="Times New Roman"/>
          <w:b/>
          <w:bCs/>
          <w:sz w:val="24"/>
          <w:szCs w:val="24"/>
        </w:rPr>
        <w:t>六、非经常性损益项目及金额</w:t>
      </w:r>
      <w:bookmarkEnd w:id="1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说明</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非流动性资产处置损益（包括已计提资产减值准备的冲销部分）</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-197,928.05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除上述各项之外的其他营业外收入和支出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-903,493.12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其他符合非经常性损益定义的损益项目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81,459.14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减：所得税影响额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-52,565.73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少数股东权益影响额（税后）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-30,690.73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-936,705.57</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其他符合非经常性损益定义的损益项目的具体情况：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公司不存在其他符合非经常性损益定义的损益项目的具体情况。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将《公开发行证券的公司信息披露解释性公告第</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非经常性损益》中列举的非经常性损益项目界定为经常性损益项目的情况说明</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公司不存在将《公开发行证券的公司信息披露解释性公告第</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非经常性损益》中列举的非经常性损益项目界定为经常性损益的项目的情形。</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14" w:name="_Toc238760457"/>
      <w:r w:rsidRPr="00672DC8">
        <w:rPr>
          <w:rFonts w:ascii="Times New Roman" w:eastAsia="宋体" w:hAnsi="Times New Roman" w:cs="Times New Roman"/>
          <w:b/>
          <w:bCs/>
          <w:sz w:val="32"/>
          <w:szCs w:val="32"/>
        </w:rPr>
        <w:lastRenderedPageBreak/>
        <w:t>第三节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管理层讨论与分析</w:t>
      </w:r>
      <w:bookmarkEnd w:id="14"/>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5" w:name="_Toc988904"/>
      <w:r w:rsidRPr="00672DC8">
        <w:rPr>
          <w:rFonts w:ascii="Times New Roman" w:eastAsia="宋体" w:hAnsi="Times New Roman" w:cs="Times New Roman"/>
          <w:b/>
          <w:bCs/>
          <w:sz w:val="24"/>
          <w:szCs w:val="24"/>
        </w:rPr>
        <w:t>一、报告期内公司从事的主要业务</w:t>
      </w:r>
      <w:bookmarkEnd w:id="15"/>
    </w:p>
    <w:p w:rsidR="000C0769" w:rsidRPr="00672DC8" w:rsidRDefault="000C0769" w:rsidP="00F8128E">
      <w:pPr>
        <w:pStyle w:val="a3"/>
        <w:snapToGrid w:val="0"/>
        <w:spacing w:beforeLines="50" w:before="156" w:beforeAutospacing="0" w:afterLines="50" w:after="156" w:afterAutospacing="0"/>
        <w:ind w:firstLineChars="200" w:firstLine="422"/>
        <w:jc w:val="both"/>
        <w:divId w:val="509762826"/>
        <w:rPr>
          <w:rFonts w:ascii="Times New Roman" w:hAnsi="Times New Roman" w:cs="Times New Roman"/>
          <w:b/>
        </w:rPr>
      </w:pPr>
      <w:r w:rsidRPr="00672DC8">
        <w:rPr>
          <w:rFonts w:ascii="Times New Roman" w:hAnsi="Times New Roman" w:cs="Times New Roman"/>
          <w:b/>
          <w:sz w:val="21"/>
          <w:szCs w:val="21"/>
        </w:rPr>
        <w:t>（一）公司主要业务情况</w:t>
      </w:r>
    </w:p>
    <w:p w:rsidR="00DD7477"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．人工智能</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1.</w:t>
      </w:r>
      <w:r w:rsidR="00DD7477">
        <w:rPr>
          <w:rFonts w:ascii="Times New Roman" w:hAnsi="Times New Roman" w:cs="Times New Roman"/>
          <w:sz w:val="21"/>
          <w:szCs w:val="21"/>
        </w:rPr>
        <w:t>1</w:t>
      </w:r>
      <w:r w:rsidRPr="00672DC8">
        <w:rPr>
          <w:rFonts w:ascii="Times New Roman" w:hAnsi="Times New Roman" w:cs="Times New Roman"/>
          <w:sz w:val="21"/>
          <w:szCs w:val="21"/>
        </w:rPr>
        <w:t>国际词元（</w:t>
      </w:r>
      <w:r w:rsidRPr="00672DC8">
        <w:rPr>
          <w:rFonts w:ascii="Times New Roman" w:hAnsi="Times New Roman" w:cs="Times New Roman"/>
          <w:sz w:val="21"/>
          <w:szCs w:val="21"/>
        </w:rPr>
        <w:t>Token</w:t>
      </w:r>
      <w:r w:rsidRPr="00672DC8">
        <w:rPr>
          <w:rFonts w:ascii="Times New Roman" w:hAnsi="Times New Roman" w:cs="Times New Roman"/>
          <w:sz w:val="21"/>
          <w:szCs w:val="21"/>
        </w:rPr>
        <w:t>）工厂</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国际词元工厂系公司部署的重点创新业务，主要涵盖标准化国际词元工厂建设和运营。</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标准化国际词元工厂系公司以自建算力集群作为支撑，以自研的算力聚合平台</w:t>
      </w:r>
      <w:r w:rsidRPr="00672DC8">
        <w:rPr>
          <w:rFonts w:ascii="Times New Roman" w:hAnsi="Times New Roman" w:cs="Times New Roman"/>
          <w:sz w:val="21"/>
          <w:szCs w:val="21"/>
        </w:rPr>
        <w:t>T.Y.M. Model Hub</w:t>
      </w:r>
      <w:r w:rsidRPr="00672DC8">
        <w:rPr>
          <w:rFonts w:ascii="Times New Roman" w:hAnsi="Times New Roman" w:cs="Times New Roman"/>
          <w:sz w:val="21"/>
          <w:szCs w:val="21"/>
        </w:rPr>
        <w:t>（天亿马国际词元聚合平台）作为运营载体，集合部署主流开源模型并进行性能优化，面向海外市场提供高性价比、合规可靠的</w:t>
      </w:r>
      <w:r w:rsidRPr="00672DC8">
        <w:rPr>
          <w:rFonts w:ascii="Times New Roman" w:hAnsi="Times New Roman" w:cs="Times New Roman"/>
          <w:sz w:val="21"/>
          <w:szCs w:val="21"/>
        </w:rPr>
        <w:t>Token</w:t>
      </w:r>
      <w:r w:rsidRPr="00672DC8">
        <w:rPr>
          <w:rFonts w:ascii="Times New Roman" w:hAnsi="Times New Roman" w:cs="Times New Roman"/>
          <w:sz w:val="21"/>
          <w:szCs w:val="21"/>
        </w:rPr>
        <w:t>词元服务。</w:t>
      </w:r>
    </w:p>
    <w:p w:rsidR="000C0769" w:rsidRPr="00672DC8"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1.</w:t>
      </w:r>
      <w:r w:rsidR="000C0769" w:rsidRPr="00672DC8">
        <w:rPr>
          <w:rFonts w:ascii="Times New Roman" w:hAnsi="Times New Roman" w:cs="Times New Roman"/>
          <w:sz w:val="21"/>
          <w:szCs w:val="21"/>
        </w:rPr>
        <w:t>2</w:t>
      </w:r>
      <w:r w:rsidR="000C0769" w:rsidRPr="00672DC8">
        <w:rPr>
          <w:rFonts w:ascii="Times New Roman" w:hAnsi="Times New Roman" w:cs="Times New Roman"/>
          <w:sz w:val="21"/>
          <w:szCs w:val="21"/>
        </w:rPr>
        <w:t>算力服务</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算力服务主要系为客户提供智能算力资源和服务。根据客户实际使用需求，可提供涵盖算力规划、设备供应、组网调试、智能调度、设备及线路维护、运行监控、故障处理、系统更新加固、现场驻点及巡检等全生命周期管理服务。</w:t>
      </w:r>
    </w:p>
    <w:p w:rsidR="000C0769" w:rsidRPr="00672DC8"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1.</w:t>
      </w:r>
      <w:r w:rsidR="000C0769" w:rsidRPr="00672DC8">
        <w:rPr>
          <w:rFonts w:ascii="Times New Roman" w:hAnsi="Times New Roman" w:cs="Times New Roman"/>
          <w:sz w:val="21"/>
          <w:szCs w:val="21"/>
        </w:rPr>
        <w:t>3</w:t>
      </w:r>
      <w:r w:rsidR="000C0769" w:rsidRPr="00672DC8">
        <w:rPr>
          <w:rFonts w:ascii="Times New Roman" w:hAnsi="Times New Roman" w:cs="Times New Roman"/>
          <w:sz w:val="21"/>
          <w:szCs w:val="21"/>
        </w:rPr>
        <w:t>算力一体机</w:t>
      </w:r>
    </w:p>
    <w:p w:rsidR="000C0769"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672DC8">
        <w:rPr>
          <w:rFonts w:ascii="Times New Roman" w:hAnsi="Times New Roman" w:cs="Times New Roman"/>
          <w:sz w:val="21"/>
          <w:szCs w:val="21"/>
        </w:rPr>
        <w:t>公司成功推出</w:t>
      </w:r>
      <w:r w:rsidRPr="00672DC8">
        <w:rPr>
          <w:rFonts w:ascii="Times New Roman" w:hAnsi="Times New Roman" w:cs="Times New Roman"/>
          <w:sz w:val="21"/>
          <w:szCs w:val="21"/>
        </w:rPr>
        <w:t>T.Y.M.</w:t>
      </w:r>
      <w:r w:rsidRPr="00672DC8">
        <w:rPr>
          <w:rFonts w:ascii="Times New Roman" w:hAnsi="Times New Roman" w:cs="Times New Roman"/>
          <w:sz w:val="21"/>
          <w:szCs w:val="21"/>
        </w:rPr>
        <w:t>系列算力一体机。该系列产品涵盖金融定制机型与通用标准算力机型，可有效降低各行业智能化转型成本。</w:t>
      </w:r>
    </w:p>
    <w:p w:rsidR="00D22D75" w:rsidRDefault="00D22D75"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 xml:space="preserve">.4 </w:t>
      </w:r>
      <w:r>
        <w:rPr>
          <w:rFonts w:ascii="Times New Roman" w:hAnsi="Times New Roman" w:cs="Times New Roman" w:hint="eastAsia"/>
          <w:sz w:val="21"/>
          <w:szCs w:val="21"/>
        </w:rPr>
        <w:t>人工智能应用</w:t>
      </w:r>
    </w:p>
    <w:p w:rsidR="00B23E72" w:rsidRPr="00B23E72" w:rsidRDefault="00B23E72" w:rsidP="00B23E72">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B23E72">
        <w:rPr>
          <w:rFonts w:ascii="Times New Roman" w:hAnsi="Times New Roman" w:cs="Times New Roman" w:hint="eastAsia"/>
          <w:sz w:val="21"/>
          <w:szCs w:val="21"/>
        </w:rPr>
        <w:t>以自主研发</w:t>
      </w:r>
      <w:r w:rsidRPr="00B23E72">
        <w:rPr>
          <w:rFonts w:ascii="Times New Roman" w:hAnsi="Times New Roman" w:cs="Times New Roman"/>
          <w:sz w:val="21"/>
          <w:szCs w:val="21"/>
        </w:rPr>
        <w:t>T.Y.M. AI Engine</w:t>
      </w:r>
      <w:r w:rsidRPr="00B23E72">
        <w:rPr>
          <w:rFonts w:ascii="Times New Roman" w:hAnsi="Times New Roman" w:cs="Times New Roman"/>
          <w:sz w:val="21"/>
          <w:szCs w:val="21"/>
        </w:rPr>
        <w:t>一体化解决方案</w:t>
      </w:r>
      <w:r w:rsidRPr="00B23E72">
        <w:rPr>
          <w:rFonts w:ascii="Times New Roman" w:hAnsi="Times New Roman" w:cs="Times New Roman" w:hint="eastAsia"/>
          <w:sz w:val="21"/>
          <w:szCs w:val="21"/>
        </w:rPr>
        <w:t>为基础，</w:t>
      </w:r>
      <w:r w:rsidRPr="00B23E72">
        <w:rPr>
          <w:rFonts w:ascii="Times New Roman" w:hAnsi="Times New Roman" w:cs="Times New Roman"/>
          <w:sz w:val="21"/>
          <w:szCs w:val="21"/>
        </w:rPr>
        <w:t>凭借在</w:t>
      </w:r>
      <w:r>
        <w:rPr>
          <w:rFonts w:ascii="Times New Roman" w:hAnsi="Times New Roman" w:cs="Times New Roman" w:hint="eastAsia"/>
          <w:sz w:val="21"/>
          <w:szCs w:val="21"/>
        </w:rPr>
        <w:t>政务、企业、教育、医疗、交通</w:t>
      </w:r>
      <w:r w:rsidRPr="00B23E72">
        <w:rPr>
          <w:rFonts w:ascii="Times New Roman" w:hAnsi="Times New Roman" w:cs="Times New Roman"/>
          <w:sz w:val="21"/>
          <w:szCs w:val="21"/>
        </w:rPr>
        <w:t>等</w:t>
      </w:r>
      <w:r>
        <w:rPr>
          <w:rFonts w:ascii="Times New Roman" w:hAnsi="Times New Roman" w:cs="Times New Roman" w:hint="eastAsia"/>
          <w:sz w:val="21"/>
          <w:szCs w:val="21"/>
        </w:rPr>
        <w:t>细分</w:t>
      </w:r>
      <w:r w:rsidRPr="00B23E72">
        <w:rPr>
          <w:rFonts w:ascii="Times New Roman" w:hAnsi="Times New Roman" w:cs="Times New Roman"/>
          <w:sz w:val="21"/>
          <w:szCs w:val="21"/>
        </w:rPr>
        <w:t>领域</w:t>
      </w:r>
      <w:r>
        <w:rPr>
          <w:rFonts w:ascii="Times New Roman" w:hAnsi="Times New Roman" w:cs="Times New Roman" w:hint="eastAsia"/>
          <w:sz w:val="21"/>
          <w:szCs w:val="21"/>
        </w:rPr>
        <w:t>的</w:t>
      </w:r>
      <w:r w:rsidRPr="00B23E72">
        <w:rPr>
          <w:rFonts w:ascii="Times New Roman" w:hAnsi="Times New Roman" w:cs="Times New Roman"/>
          <w:sz w:val="21"/>
          <w:szCs w:val="21"/>
        </w:rPr>
        <w:t>多年深耕，</w:t>
      </w:r>
      <w:r>
        <w:rPr>
          <w:rFonts w:ascii="Times New Roman" w:hAnsi="Times New Roman" w:cs="Times New Roman" w:hint="eastAsia"/>
          <w:sz w:val="21"/>
          <w:szCs w:val="21"/>
        </w:rPr>
        <w:t>结合对行业深刻理解，</w:t>
      </w:r>
      <w:r w:rsidRPr="00B23E72">
        <w:rPr>
          <w:rFonts w:ascii="Times New Roman" w:hAnsi="Times New Roman" w:cs="Times New Roman"/>
          <w:sz w:val="21"/>
          <w:szCs w:val="21"/>
        </w:rPr>
        <w:t>公司打造了多款垂直行业智能体解决方案，可高效处理复杂业务。目前，相关应用已在政务服务、企业生产辅助等场景落地</w:t>
      </w:r>
    </w:p>
    <w:p w:rsidR="000C0769" w:rsidRPr="00672DC8"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2</w:t>
      </w:r>
      <w:r w:rsidR="000C0769" w:rsidRPr="00672DC8">
        <w:rPr>
          <w:rFonts w:ascii="Times New Roman" w:hAnsi="Times New Roman" w:cs="Times New Roman"/>
          <w:sz w:val="21"/>
          <w:szCs w:val="21"/>
        </w:rPr>
        <w:t>.</w:t>
      </w:r>
      <w:r w:rsidR="000C0769" w:rsidRPr="00672DC8">
        <w:rPr>
          <w:rFonts w:ascii="Times New Roman" w:hAnsi="Times New Roman" w:cs="Times New Roman"/>
          <w:sz w:val="21"/>
          <w:szCs w:val="21"/>
        </w:rPr>
        <w:t>数据要素</w:t>
      </w:r>
    </w:p>
    <w:p w:rsidR="000C0769"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672DC8">
        <w:rPr>
          <w:rFonts w:ascii="Times New Roman" w:hAnsi="Times New Roman" w:cs="Times New Roman"/>
          <w:sz w:val="21"/>
          <w:szCs w:val="21"/>
        </w:rPr>
        <w:t>数据要素系公司紧抓数字经济发展机遇，依托汕头华侨试验区</w:t>
      </w:r>
      <w:r w:rsidRPr="00672DC8">
        <w:rPr>
          <w:rFonts w:ascii="Times New Roman" w:hAnsi="Times New Roman" w:cs="Times New Roman"/>
          <w:sz w:val="21"/>
          <w:szCs w:val="21"/>
        </w:rPr>
        <w:t>“</w:t>
      </w:r>
      <w:r w:rsidRPr="00672DC8">
        <w:rPr>
          <w:rFonts w:ascii="Times New Roman" w:hAnsi="Times New Roman" w:cs="Times New Roman"/>
          <w:sz w:val="21"/>
          <w:szCs w:val="21"/>
        </w:rPr>
        <w:t>来数加工</w:t>
      </w:r>
      <w:r w:rsidRPr="00672DC8">
        <w:rPr>
          <w:rFonts w:ascii="Times New Roman" w:hAnsi="Times New Roman" w:cs="Times New Roman"/>
          <w:sz w:val="21"/>
          <w:szCs w:val="21"/>
        </w:rPr>
        <w:t>”</w:t>
      </w:r>
      <w:r w:rsidRPr="00672DC8">
        <w:rPr>
          <w:rFonts w:ascii="Times New Roman" w:hAnsi="Times New Roman" w:cs="Times New Roman"/>
          <w:sz w:val="21"/>
          <w:szCs w:val="21"/>
        </w:rPr>
        <w:t>政策，所开展的数据采集、数据标注、数据治理、数据应用到数据资产化的全链条数据服务，与公司</w:t>
      </w:r>
      <w:r w:rsidRPr="00672DC8">
        <w:rPr>
          <w:rFonts w:ascii="Times New Roman" w:hAnsi="Times New Roman" w:cs="Times New Roman"/>
          <w:sz w:val="21"/>
          <w:szCs w:val="21"/>
        </w:rPr>
        <w:t>Token</w:t>
      </w:r>
      <w:r w:rsidR="009D24AE">
        <w:rPr>
          <w:rFonts w:ascii="Times New Roman" w:hAnsi="Times New Roman" w:cs="Times New Roman"/>
          <w:sz w:val="21"/>
          <w:szCs w:val="21"/>
        </w:rPr>
        <w:t>词元服务、</w:t>
      </w:r>
      <w:r w:rsidRPr="00672DC8">
        <w:rPr>
          <w:rFonts w:ascii="Times New Roman" w:hAnsi="Times New Roman" w:cs="Times New Roman"/>
          <w:sz w:val="21"/>
          <w:szCs w:val="21"/>
        </w:rPr>
        <w:t>数智化</w:t>
      </w:r>
      <w:r w:rsidR="009D24AE">
        <w:rPr>
          <w:rFonts w:ascii="Times New Roman" w:hAnsi="Times New Roman" w:cs="Times New Roman" w:hint="eastAsia"/>
          <w:sz w:val="21"/>
          <w:szCs w:val="21"/>
        </w:rPr>
        <w:t>解决方案、人工智能</w:t>
      </w:r>
      <w:r w:rsidRPr="00672DC8">
        <w:rPr>
          <w:rFonts w:ascii="Times New Roman" w:hAnsi="Times New Roman" w:cs="Times New Roman"/>
          <w:sz w:val="21"/>
          <w:szCs w:val="21"/>
        </w:rPr>
        <w:t>应用创新高度协同。</w:t>
      </w:r>
    </w:p>
    <w:p w:rsidR="00DD7477"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 xml:space="preserve">.1 </w:t>
      </w:r>
      <w:r>
        <w:rPr>
          <w:rFonts w:ascii="Times New Roman" w:hAnsi="Times New Roman" w:cs="Times New Roman" w:hint="eastAsia"/>
          <w:sz w:val="21"/>
          <w:szCs w:val="21"/>
        </w:rPr>
        <w:t>数据采集</w:t>
      </w:r>
    </w:p>
    <w:p w:rsidR="00DD7477" w:rsidRDefault="00DD7477" w:rsidP="00DD747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DD7477">
        <w:rPr>
          <w:rFonts w:ascii="Times New Roman" w:hAnsi="Times New Roman" w:cs="Times New Roman" w:hint="eastAsia"/>
          <w:sz w:val="21"/>
          <w:szCs w:val="21"/>
        </w:rPr>
        <w:t>聚焦人形机器人真机场景下的数据采集、加工与合规交付全链条业务，积极推进规模化人形机器人专业训练场建设</w:t>
      </w:r>
      <w:r w:rsidRPr="00DD7477">
        <w:rPr>
          <w:rFonts w:ascii="Times New Roman" w:hAnsi="Times New Roman" w:cs="Times New Roman"/>
          <w:sz w:val="21"/>
          <w:szCs w:val="21"/>
        </w:rPr>
        <w:t>,</w:t>
      </w:r>
      <w:r w:rsidRPr="00DD7477">
        <w:rPr>
          <w:rFonts w:ascii="Times New Roman" w:hAnsi="Times New Roman" w:cs="Times New Roman"/>
          <w:sz w:val="21"/>
          <w:szCs w:val="21"/>
        </w:rPr>
        <w:t>致力于构建完整的数据采集、存储与训练基础设施体系。</w:t>
      </w:r>
    </w:p>
    <w:p w:rsidR="00DD7477" w:rsidRDefault="00DD7477" w:rsidP="00DD747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 xml:space="preserve">.2 </w:t>
      </w:r>
      <w:r>
        <w:rPr>
          <w:rFonts w:ascii="Times New Roman" w:hAnsi="Times New Roman" w:cs="Times New Roman" w:hint="eastAsia"/>
          <w:sz w:val="21"/>
          <w:szCs w:val="21"/>
        </w:rPr>
        <w:t>数据标注</w:t>
      </w:r>
    </w:p>
    <w:p w:rsidR="00DD7477"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DD7477">
        <w:rPr>
          <w:rFonts w:ascii="Times New Roman" w:hAnsi="Times New Roman" w:cs="Times New Roman" w:hint="eastAsia"/>
          <w:sz w:val="21"/>
          <w:szCs w:val="21"/>
        </w:rPr>
        <w:t>面向海内外客户，专业提供图像、文本、语音、视频多类型数据标注、清洗整编及数据合规咨询服务。</w:t>
      </w:r>
    </w:p>
    <w:p w:rsidR="00DD7477"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sz w:val="21"/>
          <w:szCs w:val="21"/>
        </w:rPr>
        <w:t xml:space="preserve">2.3 </w:t>
      </w:r>
      <w:r>
        <w:rPr>
          <w:rFonts w:ascii="Times New Roman" w:hAnsi="Times New Roman" w:cs="Times New Roman" w:hint="eastAsia"/>
          <w:sz w:val="21"/>
          <w:szCs w:val="21"/>
        </w:rPr>
        <w:t>数据治理</w:t>
      </w:r>
    </w:p>
    <w:p w:rsidR="00DD7477"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DD7477">
        <w:rPr>
          <w:rFonts w:ascii="Times New Roman" w:hAnsi="Times New Roman" w:cs="Times New Roman" w:hint="eastAsia"/>
          <w:sz w:val="21"/>
          <w:szCs w:val="21"/>
        </w:rPr>
        <w:lastRenderedPageBreak/>
        <w:t>基于数据底层技术研发能力，自主打造</w:t>
      </w:r>
      <w:r w:rsidRPr="00DD7477">
        <w:rPr>
          <w:rFonts w:ascii="Times New Roman" w:hAnsi="Times New Roman" w:cs="Times New Roman" w:hint="eastAsia"/>
          <w:sz w:val="21"/>
          <w:szCs w:val="21"/>
        </w:rPr>
        <w:t>T.Y.M. Data Engine</w:t>
      </w:r>
      <w:r w:rsidRPr="00DD7477">
        <w:rPr>
          <w:rFonts w:ascii="Times New Roman" w:hAnsi="Times New Roman" w:cs="Times New Roman" w:hint="eastAsia"/>
          <w:sz w:val="21"/>
          <w:szCs w:val="21"/>
        </w:rPr>
        <w:t>一体化数据治理核心解决方案，构筑自主可控、高性能的全链路数据技术基础平台</w:t>
      </w:r>
      <w:r>
        <w:rPr>
          <w:rFonts w:ascii="Times New Roman" w:hAnsi="Times New Roman" w:cs="Times New Roman" w:hint="eastAsia"/>
          <w:sz w:val="21"/>
          <w:szCs w:val="21"/>
        </w:rPr>
        <w:t>。</w:t>
      </w:r>
      <w:r w:rsidRPr="00DD7477">
        <w:rPr>
          <w:rFonts w:ascii="Times New Roman" w:hAnsi="Times New Roman" w:cs="Times New Roman" w:hint="eastAsia"/>
          <w:sz w:val="21"/>
          <w:szCs w:val="21"/>
        </w:rPr>
        <w:t>平台具备强大的多源数据兼容能力，能够一站式完成全域数据的统一汇聚、清洗脱敏、标准建模与资产管控全流程作业。</w:t>
      </w:r>
    </w:p>
    <w:p w:rsidR="00301A0D" w:rsidRDefault="00301A0D"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 xml:space="preserve">.4 </w:t>
      </w:r>
      <w:r>
        <w:rPr>
          <w:rFonts w:ascii="Times New Roman" w:hAnsi="Times New Roman" w:cs="Times New Roman" w:hint="eastAsia"/>
          <w:sz w:val="21"/>
          <w:szCs w:val="21"/>
        </w:rPr>
        <w:t>数据应用</w:t>
      </w:r>
    </w:p>
    <w:p w:rsidR="00301A0D" w:rsidRDefault="00301A0D"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301A0D">
        <w:rPr>
          <w:rFonts w:ascii="Times New Roman" w:hAnsi="Times New Roman" w:cs="Times New Roman" w:hint="eastAsia"/>
          <w:sz w:val="21"/>
          <w:szCs w:val="21"/>
        </w:rPr>
        <w:t>作为广东省首批数据经纪人，天亿马具备成熟完善的数据产品全流程开发能力。公司聚焦</w:t>
      </w:r>
      <w:r w:rsidR="003C72EB">
        <w:rPr>
          <w:rFonts w:ascii="Times New Roman" w:hAnsi="Times New Roman" w:cs="Times New Roman" w:hint="eastAsia"/>
          <w:sz w:val="21"/>
          <w:szCs w:val="21"/>
        </w:rPr>
        <w:t>农村农业</w:t>
      </w:r>
      <w:r w:rsidRPr="00301A0D">
        <w:rPr>
          <w:rFonts w:ascii="Times New Roman" w:hAnsi="Times New Roman" w:cs="Times New Roman" w:hint="eastAsia"/>
          <w:sz w:val="21"/>
          <w:szCs w:val="21"/>
        </w:rPr>
        <w:t>、政务服务等关键领域短板，深入挖掘细分场景需求，自主研发多款标准化特色数据产品，形成了以养殖户经营健康指数、政策智能计算器等为代表的实用型数字化工具系列。多款自研数据产品已在广州数据交易所、深圳数据交易所成功挂牌上架</w:t>
      </w:r>
      <w:r>
        <w:rPr>
          <w:rFonts w:ascii="Times New Roman" w:hAnsi="Times New Roman" w:cs="Times New Roman" w:hint="eastAsia"/>
          <w:sz w:val="21"/>
          <w:szCs w:val="21"/>
        </w:rPr>
        <w:t>。</w:t>
      </w:r>
    </w:p>
    <w:p w:rsidR="00272F84" w:rsidRDefault="00272F84"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 xml:space="preserve">.5 </w:t>
      </w:r>
      <w:r>
        <w:rPr>
          <w:rFonts w:ascii="Times New Roman" w:hAnsi="Times New Roman" w:cs="Times New Roman" w:hint="eastAsia"/>
          <w:sz w:val="21"/>
          <w:szCs w:val="21"/>
        </w:rPr>
        <w:t>数据资产</w:t>
      </w:r>
    </w:p>
    <w:p w:rsidR="00272F84" w:rsidRDefault="00272F84"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sidRPr="00272F84">
        <w:rPr>
          <w:rFonts w:ascii="Times New Roman" w:hAnsi="Times New Roman" w:cs="Times New Roman" w:hint="eastAsia"/>
          <w:sz w:val="21"/>
          <w:szCs w:val="21"/>
        </w:rPr>
        <w:t>围绕数据资产入表及数据资本化全链条服务，天亿马搭建专业的数据资产技术服务团队，构建包括数据资产确权、估值、入表、资本化的全流程方法论与知识体系，形成覆盖资产盘点、合规确权、会计核算、价值变现的一站式服务能力</w:t>
      </w:r>
      <w:r>
        <w:rPr>
          <w:rFonts w:ascii="Times New Roman" w:hAnsi="Times New Roman" w:cs="Times New Roman" w:hint="eastAsia"/>
          <w:sz w:val="21"/>
          <w:szCs w:val="21"/>
        </w:rPr>
        <w:t>。</w:t>
      </w:r>
    </w:p>
    <w:p w:rsidR="0085408F" w:rsidRDefault="0085408F"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sz w:val="21"/>
          <w:szCs w:val="21"/>
        </w:rPr>
        <w:t xml:space="preserve">. </w:t>
      </w:r>
      <w:r>
        <w:rPr>
          <w:rFonts w:ascii="Times New Roman" w:hAnsi="Times New Roman" w:cs="Times New Roman" w:hint="eastAsia"/>
          <w:sz w:val="21"/>
          <w:szCs w:val="21"/>
        </w:rPr>
        <w:t>行业数智化</w:t>
      </w:r>
    </w:p>
    <w:p w:rsidR="000C0769" w:rsidRPr="00672DC8" w:rsidRDefault="00DD7477"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3</w:t>
      </w:r>
      <w:r w:rsidR="000C0769" w:rsidRPr="00672DC8">
        <w:rPr>
          <w:rFonts w:ascii="Times New Roman" w:hAnsi="Times New Roman" w:cs="Times New Roman"/>
          <w:sz w:val="21"/>
          <w:szCs w:val="21"/>
        </w:rPr>
        <w:t>.</w:t>
      </w:r>
      <w:r w:rsidR="0085408F">
        <w:rPr>
          <w:rFonts w:ascii="Times New Roman" w:hAnsi="Times New Roman" w:cs="Times New Roman"/>
          <w:sz w:val="21"/>
          <w:szCs w:val="21"/>
        </w:rPr>
        <w:t>1</w:t>
      </w:r>
      <w:r w:rsidR="000C0769" w:rsidRPr="00672DC8">
        <w:rPr>
          <w:rFonts w:ascii="Times New Roman" w:hAnsi="Times New Roman" w:cs="Times New Roman"/>
          <w:sz w:val="21"/>
          <w:szCs w:val="21"/>
        </w:rPr>
        <w:t>数智化</w:t>
      </w:r>
      <w:r w:rsidR="009D24AE">
        <w:rPr>
          <w:rFonts w:ascii="Times New Roman" w:hAnsi="Times New Roman" w:cs="Times New Roman" w:hint="eastAsia"/>
          <w:sz w:val="21"/>
          <w:szCs w:val="21"/>
        </w:rPr>
        <w:t>解决方案</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数智化</w:t>
      </w:r>
      <w:r w:rsidR="009D24AE">
        <w:rPr>
          <w:rFonts w:ascii="Times New Roman" w:hAnsi="Times New Roman" w:cs="Times New Roman" w:hint="eastAsia"/>
          <w:sz w:val="21"/>
          <w:szCs w:val="21"/>
        </w:rPr>
        <w:t>解决方案</w:t>
      </w:r>
      <w:r w:rsidRPr="00672DC8">
        <w:rPr>
          <w:rFonts w:ascii="Times New Roman" w:hAnsi="Times New Roman" w:cs="Times New Roman"/>
          <w:sz w:val="21"/>
          <w:szCs w:val="21"/>
        </w:rPr>
        <w:t>系公司基础业务，主要面向政府、企业、教育、医疗、交通等行业客户，融合应用人工智能、大数据、云计算、物联网等新一代信息技术，提供项目规划设计、应用研发、设备交付、实施维保、优化管理全流程服务一体化的综合解决方案和服务。从业务模式上看，可划分为信息系统集成服务、应用创新及技术服务、运维服务。</w:t>
      </w:r>
    </w:p>
    <w:p w:rsidR="000C0769" w:rsidRPr="00672DC8" w:rsidRDefault="003D3A46"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3</w:t>
      </w:r>
      <w:r w:rsidR="0085408F">
        <w:rPr>
          <w:rFonts w:ascii="Times New Roman" w:hAnsi="Times New Roman" w:cs="Times New Roman"/>
          <w:sz w:val="21"/>
          <w:szCs w:val="21"/>
        </w:rPr>
        <w:t>.2</w:t>
      </w:r>
      <w:r w:rsidR="0085408F">
        <w:rPr>
          <w:rFonts w:ascii="Times New Roman" w:hAnsi="Times New Roman" w:cs="Times New Roman" w:hint="eastAsia"/>
          <w:sz w:val="21"/>
          <w:szCs w:val="21"/>
        </w:rPr>
        <w:t>信息</w:t>
      </w:r>
      <w:r w:rsidR="000C0769" w:rsidRPr="00672DC8">
        <w:rPr>
          <w:rFonts w:ascii="Times New Roman" w:hAnsi="Times New Roman" w:cs="Times New Roman"/>
          <w:sz w:val="21"/>
          <w:szCs w:val="21"/>
        </w:rPr>
        <w:t>设备销售</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在提供信息技术服务的过程中，充分利用资源为客户提供的信息设备销售和配套服务。</w:t>
      </w:r>
    </w:p>
    <w:p w:rsidR="000C0769" w:rsidRPr="00672DC8" w:rsidRDefault="003D3A46"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Pr>
          <w:rFonts w:ascii="Times New Roman" w:hAnsi="Times New Roman" w:cs="Times New Roman"/>
          <w:sz w:val="21"/>
          <w:szCs w:val="21"/>
        </w:rPr>
        <w:t>4</w:t>
      </w:r>
      <w:r w:rsidR="000C0769" w:rsidRPr="00672DC8">
        <w:rPr>
          <w:rFonts w:ascii="Times New Roman" w:hAnsi="Times New Roman" w:cs="Times New Roman"/>
          <w:sz w:val="21"/>
          <w:szCs w:val="21"/>
        </w:rPr>
        <w:t>.</w:t>
      </w:r>
      <w:r w:rsidR="000C0769" w:rsidRPr="00672DC8">
        <w:rPr>
          <w:rFonts w:ascii="Times New Roman" w:hAnsi="Times New Roman" w:cs="Times New Roman"/>
          <w:sz w:val="21"/>
          <w:szCs w:val="21"/>
        </w:rPr>
        <w:t>新能源电力</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新能源电力系重要业务，依据公司战略布局开展，具有可持续性。</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509762826"/>
        <w:rPr>
          <w:rFonts w:ascii="Times New Roman" w:hAnsi="Times New Roman" w:cs="Times New Roman"/>
        </w:rPr>
      </w:pPr>
      <w:r w:rsidRPr="00672DC8">
        <w:rPr>
          <w:rFonts w:ascii="Times New Roman" w:hAnsi="Times New Roman" w:cs="Times New Roman"/>
          <w:sz w:val="21"/>
          <w:szCs w:val="21"/>
        </w:rPr>
        <w:t>新能源电力主要从事分布式光伏电站的投资、建设、运营和出售。公司通过自建或联营方式开发运营光伏电站，项目并网后通过持有运营取得光伏电站发电收入，或择机转让。</w:t>
      </w:r>
    </w:p>
    <w:p w:rsidR="003D2BA8" w:rsidRPr="00672DC8" w:rsidRDefault="000C0769" w:rsidP="008D4987">
      <w:pPr>
        <w:snapToGrid w:val="0"/>
        <w:spacing w:beforeLines="50" w:before="156" w:afterLines="50" w:after="156" w:line="288" w:lineRule="auto"/>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公司需遵守《深圳证券交易所上市公司自律监管指引第</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行业信息披露》中的</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软件与信息技术服务业</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的披露要求</w:t>
      </w:r>
    </w:p>
    <w:p w:rsidR="000C0769" w:rsidRPr="00672DC8" w:rsidRDefault="000C0769" w:rsidP="008D4987">
      <w:pPr>
        <w:pStyle w:val="a3"/>
        <w:snapToGrid w:val="0"/>
        <w:spacing w:beforeLines="50" w:before="156" w:beforeAutospacing="0" w:afterLines="50" w:after="156" w:afterAutospacing="0" w:line="288" w:lineRule="auto"/>
        <w:ind w:firstLineChars="200" w:firstLine="422"/>
        <w:jc w:val="both"/>
        <w:divId w:val="1791585859"/>
        <w:rPr>
          <w:rFonts w:ascii="Times New Roman" w:hAnsi="Times New Roman" w:cs="Times New Roman"/>
          <w:b/>
        </w:rPr>
      </w:pPr>
      <w:bookmarkStart w:id="16" w:name="OLE_LINK31"/>
      <w:bookmarkStart w:id="17" w:name="OLE_LINK32"/>
      <w:r w:rsidRPr="00672DC8">
        <w:rPr>
          <w:rFonts w:ascii="Times New Roman" w:hAnsi="Times New Roman" w:cs="Times New Roman"/>
          <w:b/>
          <w:sz w:val="21"/>
          <w:szCs w:val="21"/>
        </w:rPr>
        <w:t>（二）公司所处行业情况</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根据中国证券监督管理委员会《上市公司行业分类指引》及深圳证券交易所发布的《深圳证券交易所上市公司自律指引第</w:t>
      </w:r>
      <w:r w:rsidRPr="00672DC8">
        <w:rPr>
          <w:rFonts w:ascii="Times New Roman" w:hAnsi="Times New Roman" w:cs="Times New Roman"/>
          <w:sz w:val="21"/>
          <w:szCs w:val="21"/>
        </w:rPr>
        <w:t>3</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行业信息披露》，公司所属行业为软件和信息技术服务业。公司主要提供算力服务、词元服</w:t>
      </w:r>
      <w:r w:rsidR="001A79FD">
        <w:rPr>
          <w:rFonts w:ascii="Times New Roman" w:hAnsi="Times New Roman" w:cs="Times New Roman"/>
          <w:sz w:val="21"/>
          <w:szCs w:val="21"/>
        </w:rPr>
        <w:t>务、数据服务、</w:t>
      </w:r>
      <w:r w:rsidRPr="00672DC8">
        <w:rPr>
          <w:rFonts w:ascii="Times New Roman" w:hAnsi="Times New Roman" w:cs="Times New Roman"/>
          <w:sz w:val="21"/>
          <w:szCs w:val="21"/>
        </w:rPr>
        <w:t>数智化</w:t>
      </w:r>
      <w:r w:rsidR="001A79FD">
        <w:rPr>
          <w:rFonts w:ascii="Times New Roman" w:hAnsi="Times New Roman" w:cs="Times New Roman" w:hint="eastAsia"/>
          <w:sz w:val="21"/>
          <w:szCs w:val="21"/>
        </w:rPr>
        <w:t>解决方案</w:t>
      </w:r>
      <w:r w:rsidRPr="00672DC8">
        <w:rPr>
          <w:rFonts w:ascii="Times New Roman" w:hAnsi="Times New Roman" w:cs="Times New Roman"/>
          <w:sz w:val="21"/>
          <w:szCs w:val="21"/>
        </w:rPr>
        <w:t>和新能源电力等服务。</w:t>
      </w:r>
    </w:p>
    <w:p w:rsidR="000C0769" w:rsidRPr="00672DC8" w:rsidRDefault="000C0769" w:rsidP="008D4987">
      <w:pPr>
        <w:pStyle w:val="a3"/>
        <w:snapToGrid w:val="0"/>
        <w:spacing w:beforeLines="50" w:before="156" w:beforeAutospacing="0" w:afterLines="50" w:after="156" w:afterAutospacing="0" w:line="288" w:lineRule="auto"/>
        <w:ind w:firstLineChars="200" w:firstLine="420"/>
        <w:divId w:val="1791585859"/>
        <w:rPr>
          <w:rFonts w:ascii="Times New Roman" w:hAnsi="Times New Roman" w:cs="Times New Roman"/>
        </w:rPr>
      </w:pPr>
      <w:r w:rsidRPr="00672DC8">
        <w:rPr>
          <w:rFonts w:ascii="Times New Roman" w:hAnsi="Times New Roman" w:cs="Times New Roman"/>
          <w:sz w:val="21"/>
          <w:szCs w:val="21"/>
        </w:rPr>
        <w:t>1.</w:t>
      </w:r>
      <w:r w:rsidRPr="00672DC8">
        <w:rPr>
          <w:rFonts w:ascii="Times New Roman" w:hAnsi="Times New Roman" w:cs="Times New Roman"/>
          <w:sz w:val="21"/>
          <w:szCs w:val="21"/>
        </w:rPr>
        <w:t>软件和信息技术服务</w:t>
      </w:r>
    </w:p>
    <w:p w:rsidR="000C0769" w:rsidRPr="00672DC8" w:rsidRDefault="000C0769" w:rsidP="008D4987">
      <w:pPr>
        <w:pStyle w:val="a3"/>
        <w:snapToGrid w:val="0"/>
        <w:spacing w:beforeLines="50" w:before="156" w:beforeAutospacing="0" w:afterLines="50" w:after="156" w:afterAutospacing="0" w:line="288" w:lineRule="auto"/>
        <w:ind w:firstLineChars="200" w:firstLine="420"/>
        <w:divId w:val="1791585859"/>
        <w:rPr>
          <w:rFonts w:ascii="Times New Roman" w:hAnsi="Times New Roman" w:cs="Times New Roman"/>
        </w:rPr>
      </w:pPr>
      <w:r w:rsidRPr="00672DC8">
        <w:rPr>
          <w:rFonts w:ascii="Times New Roman" w:hAnsi="Times New Roman" w:cs="Times New Roman"/>
          <w:sz w:val="21"/>
          <w:szCs w:val="21"/>
        </w:rPr>
        <w:t>2026</w:t>
      </w:r>
      <w:r w:rsidRPr="00672DC8">
        <w:rPr>
          <w:rFonts w:ascii="Times New Roman" w:hAnsi="Times New Roman" w:cs="Times New Roman"/>
          <w:sz w:val="21"/>
          <w:szCs w:val="21"/>
        </w:rPr>
        <w:t>年，软件和信息技术服务行业呈现</w:t>
      </w:r>
      <w:r w:rsidRPr="00672DC8">
        <w:rPr>
          <w:rFonts w:ascii="Times New Roman" w:hAnsi="Times New Roman" w:cs="Times New Roman"/>
          <w:sz w:val="21"/>
          <w:szCs w:val="21"/>
        </w:rPr>
        <w:t>AI</w:t>
      </w:r>
      <w:r w:rsidRPr="00672DC8">
        <w:rPr>
          <w:rFonts w:ascii="Times New Roman" w:hAnsi="Times New Roman" w:cs="Times New Roman"/>
          <w:sz w:val="21"/>
          <w:szCs w:val="21"/>
        </w:rPr>
        <w:t>原生、自主可控等发展态势，整体保持稳健增长、质效双升。据工信部发布的《</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1-6</w:t>
      </w:r>
      <w:r w:rsidRPr="00672DC8">
        <w:rPr>
          <w:rFonts w:ascii="Times New Roman" w:hAnsi="Times New Roman" w:cs="Times New Roman"/>
          <w:sz w:val="21"/>
          <w:szCs w:val="21"/>
        </w:rPr>
        <w:t>月份软件业运行情况》，上半年我国软件业务收入</w:t>
      </w:r>
      <w:r w:rsidRPr="00672DC8">
        <w:rPr>
          <w:rFonts w:ascii="Times New Roman" w:hAnsi="Times New Roman" w:cs="Times New Roman"/>
          <w:sz w:val="21"/>
          <w:szCs w:val="21"/>
        </w:rPr>
        <w:t>77,182</w:t>
      </w:r>
      <w:r w:rsidRPr="00672DC8">
        <w:rPr>
          <w:rFonts w:ascii="Times New Roman" w:hAnsi="Times New Roman" w:cs="Times New Roman"/>
          <w:sz w:val="21"/>
          <w:szCs w:val="21"/>
        </w:rPr>
        <w:t>亿元，同比增长</w:t>
      </w:r>
      <w:r w:rsidRPr="00672DC8">
        <w:rPr>
          <w:rFonts w:ascii="Times New Roman" w:hAnsi="Times New Roman" w:cs="Times New Roman"/>
          <w:sz w:val="21"/>
          <w:szCs w:val="21"/>
        </w:rPr>
        <w:t>9.5%</w:t>
      </w:r>
      <w:r w:rsidRPr="00672DC8">
        <w:rPr>
          <w:rFonts w:ascii="Times New Roman" w:hAnsi="Times New Roman" w:cs="Times New Roman"/>
          <w:sz w:val="21"/>
          <w:szCs w:val="21"/>
        </w:rPr>
        <w:t>；利润总额</w:t>
      </w:r>
      <w:r w:rsidRPr="00672DC8">
        <w:rPr>
          <w:rFonts w:ascii="Times New Roman" w:hAnsi="Times New Roman" w:cs="Times New Roman"/>
          <w:sz w:val="21"/>
          <w:szCs w:val="21"/>
        </w:rPr>
        <w:t>8,999</w:t>
      </w:r>
      <w:r w:rsidRPr="00672DC8">
        <w:rPr>
          <w:rFonts w:ascii="Times New Roman" w:hAnsi="Times New Roman" w:cs="Times New Roman"/>
          <w:sz w:val="21"/>
          <w:szCs w:val="21"/>
        </w:rPr>
        <w:t>亿元，同比增长</w:t>
      </w:r>
      <w:r w:rsidRPr="00672DC8">
        <w:rPr>
          <w:rFonts w:ascii="Times New Roman" w:hAnsi="Times New Roman" w:cs="Times New Roman"/>
          <w:sz w:val="21"/>
          <w:szCs w:val="21"/>
        </w:rPr>
        <w:t>1.0%</w:t>
      </w:r>
      <w:r w:rsidRPr="00672DC8">
        <w:rPr>
          <w:rFonts w:ascii="Times New Roman" w:hAnsi="Times New Roman" w:cs="Times New Roman"/>
          <w:sz w:val="21"/>
          <w:szCs w:val="21"/>
        </w:rPr>
        <w:t>；信息技术服务收入保持两位数增长，达</w:t>
      </w:r>
      <w:r w:rsidRPr="00672DC8">
        <w:rPr>
          <w:rFonts w:ascii="Times New Roman" w:hAnsi="Times New Roman" w:cs="Times New Roman"/>
          <w:sz w:val="21"/>
          <w:szCs w:val="21"/>
        </w:rPr>
        <w:t>52,907</w:t>
      </w:r>
      <w:r w:rsidRPr="00672DC8">
        <w:rPr>
          <w:rFonts w:ascii="Times New Roman" w:hAnsi="Times New Roman" w:cs="Times New Roman"/>
          <w:sz w:val="21"/>
          <w:szCs w:val="21"/>
        </w:rPr>
        <w:t>亿元，</w:t>
      </w:r>
      <w:r w:rsidRPr="00672DC8">
        <w:rPr>
          <w:rFonts w:ascii="Times New Roman" w:hAnsi="Times New Roman" w:cs="Times New Roman"/>
          <w:sz w:val="21"/>
          <w:szCs w:val="21"/>
        </w:rPr>
        <w:lastRenderedPageBreak/>
        <w:t>同比增长</w:t>
      </w:r>
      <w:r w:rsidRPr="00672DC8">
        <w:rPr>
          <w:rFonts w:ascii="Times New Roman" w:hAnsi="Times New Roman" w:cs="Times New Roman"/>
          <w:sz w:val="21"/>
          <w:szCs w:val="21"/>
        </w:rPr>
        <w:t>10.4%</w:t>
      </w:r>
      <w:r w:rsidRPr="00672DC8">
        <w:rPr>
          <w:rFonts w:ascii="Times New Roman" w:hAnsi="Times New Roman" w:cs="Times New Roman"/>
          <w:sz w:val="21"/>
          <w:szCs w:val="21"/>
        </w:rPr>
        <w:t>，占全行业收入的</w:t>
      </w:r>
      <w:r w:rsidRPr="00672DC8">
        <w:rPr>
          <w:rFonts w:ascii="Times New Roman" w:hAnsi="Times New Roman" w:cs="Times New Roman"/>
          <w:sz w:val="21"/>
          <w:szCs w:val="21"/>
        </w:rPr>
        <w:t>68.5%</w:t>
      </w:r>
      <w:r w:rsidRPr="00672DC8">
        <w:rPr>
          <w:rFonts w:ascii="Times New Roman" w:hAnsi="Times New Roman" w:cs="Times New Roman"/>
          <w:sz w:val="21"/>
          <w:szCs w:val="21"/>
        </w:rPr>
        <w:t>；其中，云计算、大数据服务共实现收入</w:t>
      </w:r>
      <w:r w:rsidRPr="00672DC8">
        <w:rPr>
          <w:rFonts w:ascii="Times New Roman" w:hAnsi="Times New Roman" w:cs="Times New Roman"/>
          <w:sz w:val="21"/>
          <w:szCs w:val="21"/>
        </w:rPr>
        <w:t>8,877</w:t>
      </w:r>
      <w:r w:rsidRPr="00672DC8">
        <w:rPr>
          <w:rFonts w:ascii="Times New Roman" w:hAnsi="Times New Roman" w:cs="Times New Roman"/>
          <w:sz w:val="21"/>
          <w:szCs w:val="21"/>
        </w:rPr>
        <w:t>亿元，同比增长</w:t>
      </w:r>
      <w:r w:rsidRPr="00672DC8">
        <w:rPr>
          <w:rFonts w:ascii="Times New Roman" w:hAnsi="Times New Roman" w:cs="Times New Roman"/>
          <w:sz w:val="21"/>
          <w:szCs w:val="21"/>
        </w:rPr>
        <w:t>12.1%</w:t>
      </w:r>
      <w:r w:rsidRPr="00672DC8">
        <w:rPr>
          <w:rFonts w:ascii="Times New Roman" w:hAnsi="Times New Roman" w:cs="Times New Roman"/>
          <w:sz w:val="21"/>
          <w:szCs w:val="21"/>
        </w:rPr>
        <w:t>。</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展望</w:t>
      </w:r>
      <w:r w:rsidRPr="00672DC8">
        <w:rPr>
          <w:rFonts w:ascii="Times New Roman" w:hAnsi="Times New Roman" w:cs="Times New Roman"/>
          <w:sz w:val="21"/>
          <w:szCs w:val="21"/>
        </w:rPr>
        <w:t>2026</w:t>
      </w:r>
      <w:r w:rsidRPr="00672DC8">
        <w:rPr>
          <w:rFonts w:ascii="Times New Roman" w:hAnsi="Times New Roman" w:cs="Times New Roman"/>
          <w:sz w:val="21"/>
          <w:szCs w:val="21"/>
        </w:rPr>
        <w:t>年下半年及</w:t>
      </w:r>
      <w:r w:rsidRPr="00672DC8">
        <w:rPr>
          <w:rFonts w:ascii="Times New Roman" w:hAnsi="Times New Roman" w:cs="Times New Roman"/>
          <w:sz w:val="21"/>
          <w:szCs w:val="21"/>
        </w:rPr>
        <w:t>“</w:t>
      </w:r>
      <w:r w:rsidRPr="00672DC8">
        <w:rPr>
          <w:rFonts w:ascii="Times New Roman" w:hAnsi="Times New Roman" w:cs="Times New Roman"/>
          <w:sz w:val="21"/>
          <w:szCs w:val="21"/>
        </w:rPr>
        <w:t>十五五</w:t>
      </w:r>
      <w:r w:rsidRPr="00672DC8">
        <w:rPr>
          <w:rFonts w:ascii="Times New Roman" w:hAnsi="Times New Roman" w:cs="Times New Roman"/>
          <w:sz w:val="21"/>
          <w:szCs w:val="21"/>
        </w:rPr>
        <w:t>”</w:t>
      </w:r>
      <w:r w:rsidRPr="00672DC8">
        <w:rPr>
          <w:rFonts w:ascii="Times New Roman" w:hAnsi="Times New Roman" w:cs="Times New Roman"/>
          <w:sz w:val="21"/>
          <w:szCs w:val="21"/>
        </w:rPr>
        <w:t>期间，在政策牵引与技术创新突破双重驱动下，软件和信息技术服务行业将迎来</w:t>
      </w:r>
      <w:r w:rsidRPr="00672DC8">
        <w:rPr>
          <w:rFonts w:ascii="Times New Roman" w:hAnsi="Times New Roman" w:cs="Times New Roman"/>
          <w:sz w:val="21"/>
          <w:szCs w:val="21"/>
        </w:rPr>
        <w:t>AI</w:t>
      </w:r>
      <w:r w:rsidRPr="00672DC8">
        <w:rPr>
          <w:rFonts w:ascii="Times New Roman" w:hAnsi="Times New Roman" w:cs="Times New Roman"/>
          <w:sz w:val="21"/>
          <w:szCs w:val="21"/>
        </w:rPr>
        <w:t>原生驱动的全域智能化变革。</w:t>
      </w:r>
      <w:r w:rsidRPr="00672DC8">
        <w:rPr>
          <w:rFonts w:ascii="Times New Roman" w:hAnsi="Times New Roman" w:cs="Times New Roman"/>
          <w:sz w:val="21"/>
          <w:szCs w:val="21"/>
        </w:rPr>
        <w:t>“</w:t>
      </w:r>
      <w:r w:rsidRPr="00672DC8">
        <w:rPr>
          <w:rFonts w:ascii="Times New Roman" w:hAnsi="Times New Roman" w:cs="Times New Roman"/>
          <w:sz w:val="21"/>
          <w:szCs w:val="21"/>
        </w:rPr>
        <w:t>十五五</w:t>
      </w:r>
      <w:r w:rsidRPr="00672DC8">
        <w:rPr>
          <w:rFonts w:ascii="Times New Roman" w:hAnsi="Times New Roman" w:cs="Times New Roman"/>
          <w:sz w:val="21"/>
          <w:szCs w:val="21"/>
        </w:rPr>
        <w:t>”</w:t>
      </w:r>
      <w:r w:rsidRPr="00672DC8">
        <w:rPr>
          <w:rFonts w:ascii="Times New Roman" w:hAnsi="Times New Roman" w:cs="Times New Roman"/>
          <w:sz w:val="21"/>
          <w:szCs w:val="21"/>
        </w:rPr>
        <w:t>规划纲要明确提出统筹推进算力设施建设、模型算法发展和高质量数据资源供给，筑牢数智化发展底座。</w:t>
      </w:r>
      <w:r w:rsidRPr="00672DC8">
        <w:rPr>
          <w:rFonts w:ascii="Times New Roman" w:hAnsi="Times New Roman" w:cs="Times New Roman"/>
          <w:sz w:val="21"/>
          <w:szCs w:val="21"/>
        </w:rPr>
        <w:t>AI</w:t>
      </w:r>
      <w:r w:rsidRPr="00672DC8">
        <w:rPr>
          <w:rFonts w:ascii="Times New Roman" w:hAnsi="Times New Roman" w:cs="Times New Roman"/>
          <w:sz w:val="21"/>
          <w:szCs w:val="21"/>
        </w:rPr>
        <w:t>原生应用将成为行业增长的新引擎，企业级</w:t>
      </w:r>
      <w:r w:rsidRPr="00672DC8">
        <w:rPr>
          <w:rFonts w:ascii="Times New Roman" w:hAnsi="Times New Roman" w:cs="Times New Roman"/>
          <w:sz w:val="21"/>
          <w:szCs w:val="21"/>
        </w:rPr>
        <w:t>AI</w:t>
      </w:r>
      <w:r w:rsidRPr="00672DC8">
        <w:rPr>
          <w:rFonts w:ascii="Times New Roman" w:hAnsi="Times New Roman" w:cs="Times New Roman"/>
          <w:sz w:val="21"/>
          <w:szCs w:val="21"/>
        </w:rPr>
        <w:t>开发平台、垂直领域智能体解决方案等创新产品形态快速涌现，为行业发展注入新的活力。</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2.</w:t>
      </w:r>
      <w:r w:rsidRPr="00672DC8">
        <w:rPr>
          <w:rFonts w:ascii="Times New Roman" w:hAnsi="Times New Roman" w:cs="Times New Roman"/>
          <w:sz w:val="21"/>
          <w:szCs w:val="21"/>
        </w:rPr>
        <w:t>人工智能</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公司的人工智能业务主要围绕国际词元（</w:t>
      </w:r>
      <w:r w:rsidRPr="00672DC8">
        <w:rPr>
          <w:rFonts w:ascii="Times New Roman" w:hAnsi="Times New Roman" w:cs="Times New Roman"/>
          <w:sz w:val="21"/>
          <w:szCs w:val="21"/>
        </w:rPr>
        <w:t>Token</w:t>
      </w:r>
      <w:r w:rsidRPr="00672DC8">
        <w:rPr>
          <w:rFonts w:ascii="Times New Roman" w:hAnsi="Times New Roman" w:cs="Times New Roman"/>
          <w:sz w:val="21"/>
          <w:szCs w:val="21"/>
        </w:rPr>
        <w:t>）工厂、算力服务、算力一体化设备供应开展。</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2.1</w:t>
      </w:r>
      <w:r w:rsidRPr="00672DC8">
        <w:rPr>
          <w:rFonts w:ascii="Times New Roman" w:hAnsi="Times New Roman" w:cs="Times New Roman"/>
          <w:sz w:val="21"/>
          <w:szCs w:val="21"/>
        </w:rPr>
        <w:t>国际词元（</w:t>
      </w:r>
      <w:r w:rsidRPr="00672DC8">
        <w:rPr>
          <w:rFonts w:ascii="Times New Roman" w:hAnsi="Times New Roman" w:cs="Times New Roman"/>
          <w:sz w:val="21"/>
          <w:szCs w:val="21"/>
        </w:rPr>
        <w:t>Token</w:t>
      </w:r>
      <w:r w:rsidRPr="00672DC8">
        <w:rPr>
          <w:rFonts w:ascii="Times New Roman" w:hAnsi="Times New Roman" w:cs="Times New Roman"/>
          <w:sz w:val="21"/>
          <w:szCs w:val="21"/>
        </w:rPr>
        <w:t>）工厂</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Token</w:t>
      </w:r>
      <w:r w:rsidRPr="00672DC8">
        <w:rPr>
          <w:rFonts w:ascii="Times New Roman" w:hAnsi="Times New Roman" w:cs="Times New Roman"/>
          <w:sz w:val="21"/>
          <w:szCs w:val="21"/>
        </w:rPr>
        <w:t>词元是大模型处理信息的最小信息单元，具有智能时代可计量、可定价、可交易的特征，是人工智能服务的计量单位、结算单位和统计单位。</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随着人工智能向纵深发展，词元消耗量呈指数级跃升，中国市场凸显规模优势。</w:t>
      </w:r>
      <w:r w:rsidRPr="00672DC8">
        <w:rPr>
          <w:rFonts w:ascii="Times New Roman" w:hAnsi="Times New Roman" w:cs="Times New Roman"/>
          <w:sz w:val="21"/>
          <w:szCs w:val="21"/>
        </w:rPr>
        <w:t>2024</w:t>
      </w:r>
      <w:r w:rsidRPr="00672DC8">
        <w:rPr>
          <w:rFonts w:ascii="Times New Roman" w:hAnsi="Times New Roman" w:cs="Times New Roman"/>
          <w:sz w:val="21"/>
          <w:szCs w:val="21"/>
        </w:rPr>
        <w:t>年初，中国日均调用量为</w:t>
      </w:r>
      <w:r w:rsidRPr="00672DC8">
        <w:rPr>
          <w:rFonts w:ascii="Times New Roman" w:hAnsi="Times New Roman" w:cs="Times New Roman"/>
          <w:sz w:val="21"/>
          <w:szCs w:val="21"/>
        </w:rPr>
        <w:t>1,000</w:t>
      </w:r>
      <w:r w:rsidRPr="00672DC8">
        <w:rPr>
          <w:rFonts w:ascii="Times New Roman" w:hAnsi="Times New Roman" w:cs="Times New Roman"/>
          <w:sz w:val="21"/>
          <w:szCs w:val="21"/>
        </w:rPr>
        <w:t>亿；至</w:t>
      </w:r>
      <w:r w:rsidRPr="00672DC8">
        <w:rPr>
          <w:rFonts w:ascii="Times New Roman" w:hAnsi="Times New Roman" w:cs="Times New Roman"/>
          <w:sz w:val="21"/>
          <w:szCs w:val="21"/>
        </w:rPr>
        <w:t>2025</w:t>
      </w:r>
      <w:r w:rsidRPr="00672DC8">
        <w:rPr>
          <w:rFonts w:ascii="Times New Roman" w:hAnsi="Times New Roman" w:cs="Times New Roman"/>
          <w:sz w:val="21"/>
          <w:szCs w:val="21"/>
        </w:rPr>
        <w:t>年底，跃升至</w:t>
      </w:r>
      <w:r w:rsidRPr="00672DC8">
        <w:rPr>
          <w:rFonts w:ascii="Times New Roman" w:hAnsi="Times New Roman" w:cs="Times New Roman"/>
          <w:sz w:val="21"/>
          <w:szCs w:val="21"/>
        </w:rPr>
        <w:t>100</w:t>
      </w:r>
      <w:r w:rsidRPr="00672DC8">
        <w:rPr>
          <w:rFonts w:ascii="Times New Roman" w:hAnsi="Times New Roman" w:cs="Times New Roman"/>
          <w:sz w:val="21"/>
          <w:szCs w:val="21"/>
        </w:rPr>
        <w:t>万亿；今年</w:t>
      </w:r>
      <w:r w:rsidRPr="00672DC8">
        <w:rPr>
          <w:rFonts w:ascii="Times New Roman" w:hAnsi="Times New Roman" w:cs="Times New Roman"/>
          <w:sz w:val="21"/>
          <w:szCs w:val="21"/>
        </w:rPr>
        <w:t>3</w:t>
      </w:r>
      <w:r w:rsidRPr="00672DC8">
        <w:rPr>
          <w:rFonts w:ascii="Times New Roman" w:hAnsi="Times New Roman" w:cs="Times New Roman"/>
          <w:sz w:val="21"/>
          <w:szCs w:val="21"/>
        </w:rPr>
        <w:t>月，已突破</w:t>
      </w:r>
      <w:r w:rsidRPr="00672DC8">
        <w:rPr>
          <w:rFonts w:ascii="Times New Roman" w:hAnsi="Times New Roman" w:cs="Times New Roman"/>
          <w:sz w:val="21"/>
          <w:szCs w:val="21"/>
        </w:rPr>
        <w:t>140</w:t>
      </w:r>
      <w:r w:rsidRPr="00672DC8">
        <w:rPr>
          <w:rFonts w:ascii="Times New Roman" w:hAnsi="Times New Roman" w:cs="Times New Roman"/>
          <w:sz w:val="21"/>
          <w:szCs w:val="21"/>
        </w:rPr>
        <w:t>万亿，两年增长超千倍。</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上半年，开源国产大模型在全球范围综合竞争力不断取得新突破，调用量持续领跑。在性能上，主流的国产大模型持续迭代，百万级上下文理解、智能体任务规划、数学推理、编程、文生视频等专项能力连续突破，与全球头部大模型性能差距逐渐缩小。开源生态体系下，国产大模型具备本地部署便捷、应用创新快速落地、极致性价比等优势，产业逐步形成</w:t>
      </w:r>
      <w:r w:rsidRPr="00672DC8">
        <w:rPr>
          <w:rFonts w:ascii="Times New Roman" w:hAnsi="Times New Roman" w:cs="Times New Roman"/>
          <w:sz w:val="21"/>
          <w:szCs w:val="21"/>
        </w:rPr>
        <w:t>“</w:t>
      </w:r>
      <w:r w:rsidRPr="00672DC8">
        <w:rPr>
          <w:rFonts w:ascii="Times New Roman" w:hAnsi="Times New Roman" w:cs="Times New Roman"/>
          <w:sz w:val="21"/>
          <w:szCs w:val="21"/>
        </w:rPr>
        <w:t>基础模型开放共享、行业应用深度创新</w:t>
      </w:r>
      <w:r w:rsidRPr="00672DC8">
        <w:rPr>
          <w:rFonts w:ascii="Times New Roman" w:hAnsi="Times New Roman" w:cs="Times New Roman"/>
          <w:sz w:val="21"/>
          <w:szCs w:val="21"/>
        </w:rPr>
        <w:t>”</w:t>
      </w:r>
      <w:r w:rsidRPr="00672DC8">
        <w:rPr>
          <w:rFonts w:ascii="Times New Roman" w:hAnsi="Times New Roman" w:cs="Times New Roman"/>
          <w:sz w:val="21"/>
          <w:szCs w:val="21"/>
        </w:rPr>
        <w:t>的良性格局。根据</w:t>
      </w:r>
      <w:r w:rsidRPr="00672DC8">
        <w:rPr>
          <w:rFonts w:ascii="Times New Roman" w:hAnsi="Times New Roman" w:cs="Times New Roman"/>
          <w:sz w:val="21"/>
          <w:szCs w:val="21"/>
        </w:rPr>
        <w:t>OpenRouter</w:t>
      </w:r>
      <w:r w:rsidRPr="00672DC8">
        <w:rPr>
          <w:rFonts w:ascii="Times New Roman" w:hAnsi="Times New Roman" w:cs="Times New Roman"/>
          <w:sz w:val="21"/>
          <w:szCs w:val="21"/>
        </w:rPr>
        <w:t>平台最新数据显示，</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4</w:t>
      </w:r>
      <w:r w:rsidRPr="00672DC8">
        <w:rPr>
          <w:rFonts w:ascii="Times New Roman" w:hAnsi="Times New Roman" w:cs="Times New Roman"/>
          <w:sz w:val="21"/>
          <w:szCs w:val="21"/>
        </w:rPr>
        <w:t>月下旬以来，中国大模型周词元调用量已连续三个月稳居全球首位。</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4</w:t>
      </w:r>
      <w:r w:rsidRPr="00672DC8">
        <w:rPr>
          <w:rFonts w:ascii="Times New Roman" w:hAnsi="Times New Roman" w:cs="Times New Roman"/>
          <w:sz w:val="21"/>
          <w:szCs w:val="21"/>
        </w:rPr>
        <w:t>月，汕头华侨试验区率先跑通全国首个</w:t>
      </w:r>
      <w:r w:rsidRPr="00672DC8">
        <w:rPr>
          <w:rFonts w:ascii="Times New Roman" w:hAnsi="Times New Roman" w:cs="Times New Roman"/>
          <w:sz w:val="21"/>
          <w:szCs w:val="21"/>
        </w:rPr>
        <w:t>“Token</w:t>
      </w:r>
      <w:r w:rsidRPr="00672DC8">
        <w:rPr>
          <w:rFonts w:ascii="Times New Roman" w:hAnsi="Times New Roman" w:cs="Times New Roman"/>
          <w:sz w:val="21"/>
          <w:szCs w:val="21"/>
        </w:rPr>
        <w:t>出海</w:t>
      </w:r>
      <w:r w:rsidRPr="00672DC8">
        <w:rPr>
          <w:rFonts w:ascii="Times New Roman" w:hAnsi="Times New Roman" w:cs="Times New Roman"/>
          <w:sz w:val="21"/>
          <w:szCs w:val="21"/>
        </w:rPr>
        <w:t>”</w:t>
      </w:r>
      <w:r w:rsidRPr="00672DC8">
        <w:rPr>
          <w:rFonts w:ascii="Times New Roman" w:hAnsi="Times New Roman" w:cs="Times New Roman"/>
          <w:sz w:val="21"/>
          <w:szCs w:val="21"/>
        </w:rPr>
        <w:t>全链路合规商业闭环。</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 xml:space="preserve">2.2 </w:t>
      </w:r>
      <w:r w:rsidRPr="00672DC8">
        <w:rPr>
          <w:rFonts w:ascii="Times New Roman" w:hAnsi="Times New Roman" w:cs="Times New Roman"/>
          <w:sz w:val="21"/>
          <w:szCs w:val="21"/>
        </w:rPr>
        <w:t>算力服务：</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算力为数据处理与算法训练提供计算支撑，是支撑人工智能技术规模化应用的基座。</w:t>
      </w:r>
      <w:r w:rsidRPr="00672DC8">
        <w:rPr>
          <w:rFonts w:ascii="Times New Roman" w:hAnsi="Times New Roman" w:cs="Times New Roman"/>
          <w:sz w:val="21"/>
          <w:szCs w:val="21"/>
        </w:rPr>
        <w:t>2026</w:t>
      </w:r>
      <w:r w:rsidRPr="00672DC8">
        <w:rPr>
          <w:rFonts w:ascii="Times New Roman" w:hAnsi="Times New Roman" w:cs="Times New Roman"/>
          <w:sz w:val="21"/>
          <w:szCs w:val="21"/>
        </w:rPr>
        <w:t>年，算力产业步入量质协同发展的关键阶段，需求爆发式增长，基础设施加速完善。</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AI</w:t>
      </w:r>
      <w:r w:rsidRPr="00672DC8">
        <w:rPr>
          <w:rFonts w:ascii="Times New Roman" w:hAnsi="Times New Roman" w:cs="Times New Roman"/>
          <w:sz w:val="21"/>
          <w:szCs w:val="21"/>
        </w:rPr>
        <w:t>大模型的迭代升级与场景落地，推动算力需求飙升。</w:t>
      </w:r>
      <w:r w:rsidRPr="00672DC8">
        <w:rPr>
          <w:rFonts w:ascii="Times New Roman" w:hAnsi="Times New Roman" w:cs="Times New Roman"/>
          <w:sz w:val="21"/>
          <w:szCs w:val="21"/>
        </w:rPr>
        <w:t>2026</w:t>
      </w:r>
      <w:r w:rsidRPr="00672DC8">
        <w:rPr>
          <w:rFonts w:ascii="Times New Roman" w:hAnsi="Times New Roman" w:cs="Times New Roman"/>
          <w:sz w:val="21"/>
          <w:szCs w:val="21"/>
        </w:rPr>
        <w:t>年政府工作报告明确将</w:t>
      </w:r>
      <w:r w:rsidRPr="00672DC8">
        <w:rPr>
          <w:rFonts w:ascii="Times New Roman" w:hAnsi="Times New Roman" w:cs="Times New Roman"/>
          <w:sz w:val="21"/>
          <w:szCs w:val="21"/>
        </w:rPr>
        <w:t>“</w:t>
      </w:r>
      <w:r w:rsidRPr="00672DC8">
        <w:rPr>
          <w:rFonts w:ascii="Times New Roman" w:hAnsi="Times New Roman" w:cs="Times New Roman"/>
          <w:sz w:val="21"/>
          <w:szCs w:val="21"/>
        </w:rPr>
        <w:t>算电协同</w:t>
      </w:r>
      <w:r w:rsidRPr="00672DC8">
        <w:rPr>
          <w:rFonts w:ascii="Times New Roman" w:hAnsi="Times New Roman" w:cs="Times New Roman"/>
          <w:sz w:val="21"/>
          <w:szCs w:val="21"/>
        </w:rPr>
        <w:t>”</w:t>
      </w:r>
      <w:r w:rsidRPr="00672DC8">
        <w:rPr>
          <w:rFonts w:ascii="Times New Roman" w:hAnsi="Times New Roman" w:cs="Times New Roman"/>
          <w:sz w:val="21"/>
          <w:szCs w:val="21"/>
        </w:rPr>
        <w:t>列为新基建工程，标志着算力基础设施建设上升为国家战略部署。《算力基础设施高质量发展行动计划》等系列政策出台，为行业发展提供全方位制度支撑。</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据工业和信息化部数据，截至</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月底，全国智能算力规模达</w:t>
      </w:r>
      <w:r w:rsidRPr="00672DC8">
        <w:rPr>
          <w:rFonts w:ascii="Times New Roman" w:hAnsi="Times New Roman" w:cs="Times New Roman"/>
          <w:sz w:val="21"/>
          <w:szCs w:val="21"/>
        </w:rPr>
        <w:t>2,185EFLOPS</w:t>
      </w:r>
      <w:r w:rsidRPr="00672DC8">
        <w:rPr>
          <w:rFonts w:ascii="Times New Roman" w:hAnsi="Times New Roman" w:cs="Times New Roman"/>
          <w:sz w:val="21"/>
          <w:szCs w:val="21"/>
        </w:rPr>
        <w:t>（</w:t>
      </w:r>
      <w:r w:rsidRPr="00672DC8">
        <w:rPr>
          <w:rFonts w:ascii="Times New Roman" w:hAnsi="Times New Roman" w:cs="Times New Roman"/>
          <w:sz w:val="21"/>
          <w:szCs w:val="21"/>
        </w:rPr>
        <w:t>FP16</w:t>
      </w:r>
      <w:r w:rsidRPr="00672DC8">
        <w:rPr>
          <w:rFonts w:ascii="Times New Roman" w:hAnsi="Times New Roman" w:cs="Times New Roman"/>
          <w:sz w:val="21"/>
          <w:szCs w:val="21"/>
        </w:rPr>
        <w:t>），全国算力设施整体上架率达</w:t>
      </w:r>
      <w:r w:rsidRPr="00672DC8">
        <w:rPr>
          <w:rFonts w:ascii="Times New Roman" w:hAnsi="Times New Roman" w:cs="Times New Roman"/>
          <w:sz w:val="21"/>
          <w:szCs w:val="21"/>
        </w:rPr>
        <w:t>71.4%</w:t>
      </w:r>
      <w:r w:rsidRPr="00672DC8">
        <w:rPr>
          <w:rFonts w:ascii="Times New Roman" w:hAnsi="Times New Roman" w:cs="Times New Roman"/>
          <w:sz w:val="21"/>
          <w:szCs w:val="21"/>
        </w:rPr>
        <w:t>，已建成万卡以上智算中心</w:t>
      </w:r>
      <w:r w:rsidRPr="00672DC8">
        <w:rPr>
          <w:rFonts w:ascii="Times New Roman" w:hAnsi="Times New Roman" w:cs="Times New Roman"/>
          <w:sz w:val="21"/>
          <w:szCs w:val="21"/>
        </w:rPr>
        <w:t>52</w:t>
      </w:r>
      <w:r w:rsidRPr="00672DC8">
        <w:rPr>
          <w:rFonts w:ascii="Times New Roman" w:hAnsi="Times New Roman" w:cs="Times New Roman"/>
          <w:sz w:val="21"/>
          <w:szCs w:val="21"/>
        </w:rPr>
        <w:t>个，近两年建成超</w:t>
      </w:r>
      <w:r w:rsidRPr="00672DC8">
        <w:rPr>
          <w:rFonts w:ascii="Times New Roman" w:hAnsi="Times New Roman" w:cs="Times New Roman"/>
          <w:sz w:val="21"/>
          <w:szCs w:val="21"/>
        </w:rPr>
        <w:t>70</w:t>
      </w:r>
      <w:r w:rsidRPr="00672DC8">
        <w:rPr>
          <w:rFonts w:ascii="Times New Roman" w:hAnsi="Times New Roman" w:cs="Times New Roman"/>
          <w:sz w:val="21"/>
          <w:szCs w:val="21"/>
        </w:rPr>
        <w:t>条算力大通道，枢纽节点间网络性能提升</w:t>
      </w:r>
      <w:r w:rsidRPr="00672DC8">
        <w:rPr>
          <w:rFonts w:ascii="Times New Roman" w:hAnsi="Times New Roman" w:cs="Times New Roman"/>
          <w:sz w:val="21"/>
          <w:szCs w:val="21"/>
        </w:rPr>
        <w:t>10%</w:t>
      </w:r>
      <w:r w:rsidRPr="00672DC8">
        <w:rPr>
          <w:rFonts w:ascii="Times New Roman" w:hAnsi="Times New Roman" w:cs="Times New Roman"/>
          <w:sz w:val="21"/>
          <w:szCs w:val="21"/>
        </w:rPr>
        <w:t>。</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3.</w:t>
      </w:r>
      <w:r w:rsidRPr="00672DC8">
        <w:rPr>
          <w:rFonts w:ascii="Times New Roman" w:hAnsi="Times New Roman" w:cs="Times New Roman"/>
          <w:sz w:val="21"/>
          <w:szCs w:val="21"/>
        </w:rPr>
        <w:t>数据要素：</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数据要素是智能经济发展的重要基础资源，是驱动新质生产力发展的核心生产要素。</w:t>
      </w:r>
      <w:r w:rsidRPr="00672DC8">
        <w:rPr>
          <w:rFonts w:ascii="Times New Roman" w:hAnsi="Times New Roman" w:cs="Times New Roman"/>
          <w:sz w:val="21"/>
          <w:szCs w:val="21"/>
        </w:rPr>
        <w:t>2026</w:t>
      </w:r>
      <w:r w:rsidRPr="00672DC8">
        <w:rPr>
          <w:rFonts w:ascii="Times New Roman" w:hAnsi="Times New Roman" w:cs="Times New Roman"/>
          <w:sz w:val="21"/>
          <w:szCs w:val="21"/>
        </w:rPr>
        <w:t>年，国家大力培育数据要素市场，做实做强数字经济，数据要素市场化配置改革持续深化。</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国家数据局印发《</w:t>
      </w:r>
      <w:r w:rsidRPr="00672DC8">
        <w:rPr>
          <w:rFonts w:ascii="Times New Roman" w:hAnsi="Times New Roman" w:cs="Times New Roman"/>
          <w:sz w:val="21"/>
          <w:szCs w:val="21"/>
        </w:rPr>
        <w:t>2026</w:t>
      </w:r>
      <w:r w:rsidRPr="00672DC8">
        <w:rPr>
          <w:rFonts w:ascii="Times New Roman" w:hAnsi="Times New Roman" w:cs="Times New Roman"/>
          <w:sz w:val="21"/>
          <w:szCs w:val="21"/>
        </w:rPr>
        <w:t>年数字经济发展工作要点》，部署深化数据要素市场化配置改革、筑牢数字基础设施底座、强化数据赋能人工智能发展等</w:t>
      </w:r>
      <w:r w:rsidRPr="00672DC8">
        <w:rPr>
          <w:rFonts w:ascii="Times New Roman" w:hAnsi="Times New Roman" w:cs="Times New Roman"/>
          <w:sz w:val="21"/>
          <w:szCs w:val="21"/>
        </w:rPr>
        <w:t>8</w:t>
      </w:r>
      <w:r w:rsidRPr="00672DC8">
        <w:rPr>
          <w:rFonts w:ascii="Times New Roman" w:hAnsi="Times New Roman" w:cs="Times New Roman"/>
          <w:sz w:val="21"/>
          <w:szCs w:val="21"/>
        </w:rPr>
        <w:t>个方面重点任务，提出实施强基扩容、应用赋能、提质增效、管理服务、价值释放、标注攻坚</w:t>
      </w:r>
      <w:r w:rsidRPr="00672DC8">
        <w:rPr>
          <w:rFonts w:ascii="Times New Roman" w:hAnsi="Times New Roman" w:cs="Times New Roman"/>
          <w:sz w:val="21"/>
          <w:szCs w:val="21"/>
        </w:rPr>
        <w:t>6</w:t>
      </w:r>
      <w:r w:rsidRPr="00672DC8">
        <w:rPr>
          <w:rFonts w:ascii="Times New Roman" w:hAnsi="Times New Roman" w:cs="Times New Roman"/>
          <w:sz w:val="21"/>
          <w:szCs w:val="21"/>
        </w:rPr>
        <w:t>大专项行动。</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lastRenderedPageBreak/>
        <w:t>截至</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w:t>
      </w:r>
      <w:r w:rsidRPr="00672DC8">
        <w:rPr>
          <w:rFonts w:ascii="Times New Roman" w:hAnsi="Times New Roman" w:cs="Times New Roman"/>
          <w:sz w:val="21"/>
          <w:szCs w:val="21"/>
        </w:rPr>
        <w:t>140</w:t>
      </w:r>
      <w:r w:rsidRPr="00672DC8">
        <w:rPr>
          <w:rFonts w:ascii="Times New Roman" w:hAnsi="Times New Roman" w:cs="Times New Roman"/>
          <w:sz w:val="21"/>
          <w:szCs w:val="21"/>
        </w:rPr>
        <w:t>家先行先试单位建成高质量数据集超</w:t>
      </w:r>
      <w:r w:rsidRPr="00672DC8">
        <w:rPr>
          <w:rFonts w:ascii="Times New Roman" w:hAnsi="Times New Roman" w:cs="Times New Roman"/>
          <w:sz w:val="21"/>
          <w:szCs w:val="21"/>
        </w:rPr>
        <w:t>106PB</w:t>
      </w:r>
      <w:r w:rsidRPr="00672DC8">
        <w:rPr>
          <w:rFonts w:ascii="Times New Roman" w:hAnsi="Times New Roman" w:cs="Times New Roman"/>
          <w:sz w:val="21"/>
          <w:szCs w:val="21"/>
        </w:rPr>
        <w:t>，</w:t>
      </w:r>
      <w:r w:rsidRPr="00672DC8">
        <w:rPr>
          <w:rFonts w:ascii="Times New Roman" w:hAnsi="Times New Roman" w:cs="Times New Roman"/>
          <w:sz w:val="21"/>
          <w:szCs w:val="21"/>
        </w:rPr>
        <w:t>72</w:t>
      </w:r>
      <w:r w:rsidRPr="00672DC8">
        <w:rPr>
          <w:rFonts w:ascii="Times New Roman" w:hAnsi="Times New Roman" w:cs="Times New Roman"/>
          <w:sz w:val="21"/>
          <w:szCs w:val="21"/>
        </w:rPr>
        <w:t>家行业链主单位建成高质量数据集超</w:t>
      </w:r>
      <w:r w:rsidRPr="00672DC8">
        <w:rPr>
          <w:rFonts w:ascii="Times New Roman" w:hAnsi="Times New Roman" w:cs="Times New Roman"/>
          <w:sz w:val="21"/>
          <w:szCs w:val="21"/>
        </w:rPr>
        <w:t>45PB</w:t>
      </w:r>
      <w:r w:rsidRPr="00672DC8">
        <w:rPr>
          <w:rFonts w:ascii="Times New Roman" w:hAnsi="Times New Roman" w:cs="Times New Roman"/>
          <w:sz w:val="21"/>
          <w:szCs w:val="21"/>
        </w:rPr>
        <w:t>，覆盖高价值场景超</w:t>
      </w:r>
      <w:r w:rsidRPr="00672DC8">
        <w:rPr>
          <w:rFonts w:ascii="Times New Roman" w:hAnsi="Times New Roman" w:cs="Times New Roman"/>
          <w:sz w:val="21"/>
          <w:szCs w:val="21"/>
        </w:rPr>
        <w:t>759</w:t>
      </w:r>
      <w:r w:rsidRPr="00672DC8">
        <w:rPr>
          <w:rFonts w:ascii="Times New Roman" w:hAnsi="Times New Roman" w:cs="Times New Roman"/>
          <w:sz w:val="21"/>
          <w:szCs w:val="21"/>
        </w:rPr>
        <w:t>个；国家公共数据资源登记平台登记资源近</w:t>
      </w:r>
      <w:r w:rsidRPr="00672DC8">
        <w:rPr>
          <w:rFonts w:ascii="Times New Roman" w:hAnsi="Times New Roman" w:cs="Times New Roman"/>
          <w:sz w:val="21"/>
          <w:szCs w:val="21"/>
        </w:rPr>
        <w:t>30</w:t>
      </w:r>
      <w:r w:rsidRPr="00672DC8">
        <w:rPr>
          <w:rFonts w:ascii="Times New Roman" w:hAnsi="Times New Roman" w:cs="Times New Roman"/>
          <w:sz w:val="21"/>
          <w:szCs w:val="21"/>
        </w:rPr>
        <w:t>万项，累计发布</w:t>
      </w:r>
      <w:r w:rsidRPr="00672DC8">
        <w:rPr>
          <w:rFonts w:ascii="Times New Roman" w:hAnsi="Times New Roman" w:cs="Times New Roman"/>
          <w:sz w:val="21"/>
          <w:szCs w:val="21"/>
        </w:rPr>
        <w:t>417</w:t>
      </w:r>
      <w:r w:rsidRPr="00672DC8">
        <w:rPr>
          <w:rFonts w:ascii="Times New Roman" w:hAnsi="Times New Roman" w:cs="Times New Roman"/>
          <w:sz w:val="21"/>
          <w:szCs w:val="21"/>
        </w:rPr>
        <w:t>个典型案例和</w:t>
      </w:r>
      <w:r w:rsidRPr="00672DC8">
        <w:rPr>
          <w:rFonts w:ascii="Times New Roman" w:hAnsi="Times New Roman" w:cs="Times New Roman"/>
          <w:sz w:val="21"/>
          <w:szCs w:val="21"/>
        </w:rPr>
        <w:t>760</w:t>
      </w:r>
      <w:r w:rsidRPr="00672DC8">
        <w:rPr>
          <w:rFonts w:ascii="Times New Roman" w:hAnsi="Times New Roman" w:cs="Times New Roman"/>
          <w:sz w:val="21"/>
          <w:szCs w:val="21"/>
        </w:rPr>
        <w:t>个场景指引。</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4.</w:t>
      </w:r>
      <w:r w:rsidRPr="00672DC8">
        <w:rPr>
          <w:rFonts w:ascii="Times New Roman" w:hAnsi="Times New Roman" w:cs="Times New Roman"/>
          <w:sz w:val="21"/>
          <w:szCs w:val="21"/>
        </w:rPr>
        <w:t>行业数智化：</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2026</w:t>
      </w:r>
      <w:r w:rsidRPr="00672DC8">
        <w:rPr>
          <w:rFonts w:ascii="Times New Roman" w:hAnsi="Times New Roman" w:cs="Times New Roman"/>
          <w:sz w:val="21"/>
          <w:szCs w:val="21"/>
        </w:rPr>
        <w:t>年，智慧城市建设步入全域数字化转型的关键阶段。作为数字中国建设的核心载体、新型城镇化与数字经济协同发展的重要抓手，行业发展实现从单点建设向全域协同、从硬件驱动向数据与运营价值挖掘的深刻转变。</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据</w:t>
      </w:r>
      <w:r w:rsidRPr="00672DC8">
        <w:rPr>
          <w:rFonts w:ascii="Times New Roman" w:hAnsi="Times New Roman" w:cs="Times New Roman"/>
          <w:sz w:val="21"/>
          <w:szCs w:val="21"/>
        </w:rPr>
        <w:t>IDC</w:t>
      </w:r>
      <w:r w:rsidRPr="00672DC8">
        <w:rPr>
          <w:rFonts w:ascii="Times New Roman" w:hAnsi="Times New Roman" w:cs="Times New Roman"/>
          <w:sz w:val="21"/>
          <w:szCs w:val="21"/>
        </w:rPr>
        <w:t>发布的《中国智慧城市</w:t>
      </w:r>
      <w:r w:rsidRPr="00672DC8">
        <w:rPr>
          <w:rFonts w:ascii="Times New Roman" w:hAnsi="Times New Roman" w:cs="Times New Roman"/>
          <w:sz w:val="21"/>
          <w:szCs w:val="21"/>
        </w:rPr>
        <w:t>ICT</w:t>
      </w:r>
      <w:r w:rsidRPr="00672DC8">
        <w:rPr>
          <w:rFonts w:ascii="Times New Roman" w:hAnsi="Times New Roman" w:cs="Times New Roman"/>
          <w:sz w:val="21"/>
          <w:szCs w:val="21"/>
        </w:rPr>
        <w:t>市场预测，</w:t>
      </w:r>
      <w:r w:rsidRPr="00672DC8">
        <w:rPr>
          <w:rFonts w:ascii="Times New Roman" w:hAnsi="Times New Roman" w:cs="Times New Roman"/>
          <w:sz w:val="21"/>
          <w:szCs w:val="21"/>
        </w:rPr>
        <w:t>2024–2028</w:t>
      </w:r>
      <w:r w:rsidRPr="00672DC8">
        <w:rPr>
          <w:rFonts w:ascii="Times New Roman" w:hAnsi="Times New Roman" w:cs="Times New Roman"/>
          <w:sz w:val="21"/>
          <w:szCs w:val="21"/>
        </w:rPr>
        <w:t>》，中国智慧城市预计</w:t>
      </w:r>
      <w:r w:rsidRPr="00672DC8">
        <w:rPr>
          <w:rFonts w:ascii="Times New Roman" w:hAnsi="Times New Roman" w:cs="Times New Roman"/>
          <w:sz w:val="21"/>
          <w:szCs w:val="21"/>
        </w:rPr>
        <w:t>2026</w:t>
      </w:r>
      <w:r w:rsidRPr="00672DC8">
        <w:rPr>
          <w:rFonts w:ascii="Times New Roman" w:hAnsi="Times New Roman" w:cs="Times New Roman"/>
          <w:sz w:val="21"/>
          <w:szCs w:val="21"/>
        </w:rPr>
        <w:t>年将达到</w:t>
      </w:r>
      <w:r w:rsidRPr="00672DC8">
        <w:rPr>
          <w:rFonts w:ascii="Times New Roman" w:hAnsi="Times New Roman" w:cs="Times New Roman"/>
          <w:sz w:val="21"/>
          <w:szCs w:val="21"/>
        </w:rPr>
        <w:t>10,587</w:t>
      </w:r>
      <w:r w:rsidRPr="00672DC8">
        <w:rPr>
          <w:rFonts w:ascii="Times New Roman" w:hAnsi="Times New Roman" w:cs="Times New Roman"/>
          <w:sz w:val="21"/>
          <w:szCs w:val="21"/>
        </w:rPr>
        <w:t>亿元，</w:t>
      </w:r>
      <w:r w:rsidRPr="00672DC8">
        <w:rPr>
          <w:rFonts w:ascii="Times New Roman" w:hAnsi="Times New Roman" w:cs="Times New Roman"/>
          <w:sz w:val="21"/>
          <w:szCs w:val="21"/>
        </w:rPr>
        <w:t>2029</w:t>
      </w:r>
      <w:r w:rsidRPr="00672DC8">
        <w:rPr>
          <w:rFonts w:ascii="Times New Roman" w:hAnsi="Times New Roman" w:cs="Times New Roman"/>
          <w:sz w:val="21"/>
          <w:szCs w:val="21"/>
        </w:rPr>
        <w:t>年有望超过</w:t>
      </w:r>
      <w:r w:rsidRPr="00672DC8">
        <w:rPr>
          <w:rFonts w:ascii="Times New Roman" w:hAnsi="Times New Roman" w:cs="Times New Roman"/>
          <w:sz w:val="21"/>
          <w:szCs w:val="21"/>
        </w:rPr>
        <w:t>1.3</w:t>
      </w:r>
      <w:r w:rsidRPr="00672DC8">
        <w:rPr>
          <w:rFonts w:ascii="Times New Roman" w:hAnsi="Times New Roman" w:cs="Times New Roman"/>
          <w:sz w:val="21"/>
          <w:szCs w:val="21"/>
        </w:rPr>
        <w:t>万亿元，</w:t>
      </w:r>
      <w:r w:rsidRPr="00672DC8">
        <w:rPr>
          <w:rFonts w:ascii="Times New Roman" w:hAnsi="Times New Roman" w:cs="Times New Roman"/>
          <w:sz w:val="21"/>
          <w:szCs w:val="21"/>
        </w:rPr>
        <w:t>2023–2028</w:t>
      </w:r>
      <w:r w:rsidRPr="00672DC8">
        <w:rPr>
          <w:rFonts w:ascii="Times New Roman" w:hAnsi="Times New Roman" w:cs="Times New Roman"/>
          <w:sz w:val="21"/>
          <w:szCs w:val="21"/>
        </w:rPr>
        <w:t>年年均复合增长率为</w:t>
      </w:r>
      <w:r w:rsidRPr="00672DC8">
        <w:rPr>
          <w:rFonts w:ascii="Times New Roman" w:hAnsi="Times New Roman" w:cs="Times New Roman"/>
          <w:sz w:val="21"/>
          <w:szCs w:val="21"/>
        </w:rPr>
        <w:t>7.1%</w:t>
      </w:r>
      <w:r w:rsidRPr="00672DC8">
        <w:rPr>
          <w:rFonts w:ascii="Times New Roman" w:hAnsi="Times New Roman" w:cs="Times New Roman"/>
          <w:sz w:val="21"/>
          <w:szCs w:val="21"/>
        </w:rPr>
        <w:t>。</w:t>
      </w:r>
      <w:r w:rsidRPr="00672DC8">
        <w:rPr>
          <w:rFonts w:ascii="Times New Roman" w:hAnsi="Times New Roman" w:cs="Times New Roman"/>
          <w:sz w:val="21"/>
          <w:szCs w:val="21"/>
        </w:rPr>
        <w:t>“</w:t>
      </w:r>
      <w:r w:rsidRPr="00672DC8">
        <w:rPr>
          <w:rFonts w:ascii="Times New Roman" w:hAnsi="Times New Roman" w:cs="Times New Roman"/>
          <w:sz w:val="21"/>
          <w:szCs w:val="21"/>
        </w:rPr>
        <w:t>人工智能</w:t>
      </w:r>
      <w:r w:rsidRPr="00672DC8">
        <w:rPr>
          <w:rFonts w:ascii="Times New Roman" w:hAnsi="Times New Roman" w:cs="Times New Roman"/>
          <w:sz w:val="21"/>
          <w:szCs w:val="21"/>
        </w:rPr>
        <w:t>+”</w:t>
      </w:r>
      <w:r w:rsidRPr="00672DC8">
        <w:rPr>
          <w:rFonts w:ascii="Times New Roman" w:hAnsi="Times New Roman" w:cs="Times New Roman"/>
          <w:sz w:val="21"/>
          <w:szCs w:val="21"/>
        </w:rPr>
        <w:t>行动推进下，人工智能技术与应用创新赋能政务服务、制造生产、医疗教育、交通运输等核心场景，推动构建人机协同、数据驱动的城市治理新模式。</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5</w:t>
      </w:r>
      <w:r w:rsidRPr="00672DC8">
        <w:rPr>
          <w:rFonts w:ascii="Times New Roman" w:hAnsi="Times New Roman" w:cs="Times New Roman"/>
          <w:sz w:val="21"/>
          <w:szCs w:val="21"/>
        </w:rPr>
        <w:t>．新能源电力：</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2026</w:t>
      </w:r>
      <w:r w:rsidRPr="00672DC8">
        <w:rPr>
          <w:rFonts w:ascii="Times New Roman" w:hAnsi="Times New Roman" w:cs="Times New Roman"/>
          <w:sz w:val="21"/>
          <w:szCs w:val="21"/>
        </w:rPr>
        <w:t>年，智慧能源作为智慧城市能源保障核心，围绕算力需求爆发带来的电力需求增长展开，与算力、行业数智化深度协同，步入</w:t>
      </w:r>
      <w:r w:rsidRPr="00672DC8">
        <w:rPr>
          <w:rFonts w:ascii="Times New Roman" w:hAnsi="Times New Roman" w:cs="Times New Roman"/>
          <w:sz w:val="21"/>
          <w:szCs w:val="21"/>
        </w:rPr>
        <w:t>“</w:t>
      </w:r>
      <w:r w:rsidRPr="00672DC8">
        <w:rPr>
          <w:rFonts w:ascii="Times New Roman" w:hAnsi="Times New Roman" w:cs="Times New Roman"/>
          <w:sz w:val="21"/>
          <w:szCs w:val="21"/>
        </w:rPr>
        <w:t>算电协同、双向赋能</w:t>
      </w:r>
      <w:r w:rsidRPr="00672DC8">
        <w:rPr>
          <w:rFonts w:ascii="Times New Roman" w:hAnsi="Times New Roman" w:cs="Times New Roman"/>
          <w:sz w:val="21"/>
          <w:szCs w:val="21"/>
        </w:rPr>
        <w:t>”</w:t>
      </w:r>
      <w:r w:rsidRPr="00672DC8">
        <w:rPr>
          <w:rFonts w:ascii="Times New Roman" w:hAnsi="Times New Roman" w:cs="Times New Roman"/>
          <w:sz w:val="21"/>
          <w:szCs w:val="21"/>
        </w:rPr>
        <w:t>高质量发展阶段。</w:t>
      </w:r>
    </w:p>
    <w:p w:rsidR="000C0769" w:rsidRPr="00672DC8" w:rsidRDefault="000C0769" w:rsidP="008D4987">
      <w:pPr>
        <w:pStyle w:val="a3"/>
        <w:snapToGrid w:val="0"/>
        <w:spacing w:beforeLines="50" w:before="156" w:beforeAutospacing="0" w:afterLines="50" w:after="156" w:afterAutospacing="0" w:line="288" w:lineRule="auto"/>
        <w:ind w:firstLineChars="200" w:firstLine="420"/>
        <w:jc w:val="both"/>
        <w:divId w:val="1791585859"/>
        <w:rPr>
          <w:rFonts w:ascii="Times New Roman" w:hAnsi="Times New Roman" w:cs="Times New Roman"/>
        </w:rPr>
      </w:pPr>
      <w:r w:rsidRPr="00672DC8">
        <w:rPr>
          <w:rFonts w:ascii="Times New Roman" w:hAnsi="Times New Roman" w:cs="Times New Roman"/>
          <w:sz w:val="21"/>
          <w:szCs w:val="21"/>
        </w:rPr>
        <w:t>根据国家能源局发布信息，</w:t>
      </w:r>
      <w:r w:rsidRPr="00672DC8">
        <w:rPr>
          <w:rFonts w:ascii="Times New Roman" w:hAnsi="Times New Roman" w:cs="Times New Roman"/>
          <w:sz w:val="21"/>
          <w:szCs w:val="21"/>
        </w:rPr>
        <w:t>2026</w:t>
      </w:r>
      <w:r w:rsidRPr="00672DC8">
        <w:rPr>
          <w:rFonts w:ascii="Times New Roman" w:hAnsi="Times New Roman" w:cs="Times New Roman"/>
          <w:sz w:val="21"/>
          <w:szCs w:val="21"/>
        </w:rPr>
        <w:t>年上半年，我国新能源和可再生能源发展总体保持平稳态势，可再生能源发电装机达到</w:t>
      </w:r>
      <w:r w:rsidRPr="00672DC8">
        <w:rPr>
          <w:rFonts w:ascii="Times New Roman" w:hAnsi="Times New Roman" w:cs="Times New Roman"/>
          <w:sz w:val="21"/>
          <w:szCs w:val="21"/>
        </w:rPr>
        <w:t>24.55</w:t>
      </w:r>
      <w:r w:rsidRPr="00672DC8">
        <w:rPr>
          <w:rFonts w:ascii="Times New Roman" w:hAnsi="Times New Roman" w:cs="Times New Roman"/>
          <w:sz w:val="21"/>
          <w:szCs w:val="21"/>
        </w:rPr>
        <w:t>亿千瓦，占全国电力总装机的</w:t>
      </w:r>
      <w:r w:rsidRPr="00672DC8">
        <w:rPr>
          <w:rFonts w:ascii="Times New Roman" w:hAnsi="Times New Roman" w:cs="Times New Roman"/>
          <w:sz w:val="21"/>
          <w:szCs w:val="21"/>
        </w:rPr>
        <w:t>60.7%</w:t>
      </w:r>
      <w:r w:rsidRPr="00672DC8">
        <w:rPr>
          <w:rFonts w:ascii="Times New Roman" w:hAnsi="Times New Roman" w:cs="Times New Roman"/>
          <w:sz w:val="21"/>
          <w:szCs w:val="21"/>
        </w:rPr>
        <w:t>，其中风电光伏发电装机（约</w:t>
      </w:r>
      <w:r w:rsidRPr="00672DC8">
        <w:rPr>
          <w:rFonts w:ascii="Times New Roman" w:hAnsi="Times New Roman" w:cs="Times New Roman"/>
          <w:sz w:val="21"/>
          <w:szCs w:val="21"/>
        </w:rPr>
        <w:t>19.5</w:t>
      </w:r>
      <w:r w:rsidRPr="00672DC8">
        <w:rPr>
          <w:rFonts w:ascii="Times New Roman" w:hAnsi="Times New Roman" w:cs="Times New Roman"/>
          <w:sz w:val="21"/>
          <w:szCs w:val="21"/>
        </w:rPr>
        <w:t>亿千瓦）占比接近一半。中国电力企业联合会发布的《中国电力行业年度发展报告</w:t>
      </w:r>
      <w:r w:rsidRPr="00672DC8">
        <w:rPr>
          <w:rFonts w:ascii="Times New Roman" w:hAnsi="Times New Roman" w:cs="Times New Roman"/>
          <w:sz w:val="21"/>
          <w:szCs w:val="21"/>
        </w:rPr>
        <w:t>2026</w:t>
      </w:r>
      <w:r w:rsidRPr="00672DC8">
        <w:rPr>
          <w:rFonts w:ascii="Times New Roman" w:hAnsi="Times New Roman" w:cs="Times New Roman"/>
          <w:sz w:val="21"/>
          <w:szCs w:val="21"/>
        </w:rPr>
        <w:t>》预计，</w:t>
      </w:r>
      <w:r w:rsidRPr="00672DC8">
        <w:rPr>
          <w:rFonts w:ascii="Times New Roman" w:hAnsi="Times New Roman" w:cs="Times New Roman"/>
          <w:sz w:val="21"/>
          <w:szCs w:val="21"/>
        </w:rPr>
        <w:t>2026</w:t>
      </w:r>
      <w:r w:rsidRPr="00672DC8">
        <w:rPr>
          <w:rFonts w:ascii="Times New Roman" w:hAnsi="Times New Roman" w:cs="Times New Roman"/>
          <w:sz w:val="21"/>
          <w:szCs w:val="21"/>
        </w:rPr>
        <w:t>年我国新增发电装机约</w:t>
      </w:r>
      <w:r w:rsidRPr="00672DC8">
        <w:rPr>
          <w:rFonts w:ascii="Times New Roman" w:hAnsi="Times New Roman" w:cs="Times New Roman"/>
          <w:sz w:val="21"/>
          <w:szCs w:val="21"/>
        </w:rPr>
        <w:t>4</w:t>
      </w:r>
      <w:r w:rsidRPr="00672DC8">
        <w:rPr>
          <w:rFonts w:ascii="Times New Roman" w:hAnsi="Times New Roman" w:cs="Times New Roman"/>
          <w:sz w:val="21"/>
          <w:szCs w:val="21"/>
        </w:rPr>
        <w:t>亿千瓦，新能源仍是新增电源装机主体。电力工业将继续保持快速发展势头。</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8" w:name="_Toc988905"/>
      <w:bookmarkEnd w:id="16"/>
      <w:bookmarkEnd w:id="17"/>
      <w:r w:rsidRPr="00672DC8">
        <w:rPr>
          <w:rFonts w:ascii="Times New Roman" w:eastAsia="宋体" w:hAnsi="Times New Roman" w:cs="Times New Roman"/>
          <w:b/>
          <w:bCs/>
          <w:sz w:val="24"/>
          <w:szCs w:val="24"/>
        </w:rPr>
        <w:t>二、核心竞争力分析</w:t>
      </w:r>
      <w:bookmarkEnd w:id="18"/>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t>（一）研发创新优势</w:t>
      </w:r>
    </w:p>
    <w:p w:rsidR="000C0769" w:rsidRPr="00672DC8" w:rsidRDefault="000C0769">
      <w:pPr>
        <w:pStyle w:val="a3"/>
        <w:spacing w:before="120" w:beforeAutospacing="0" w:after="0" w:afterAutospacing="0" w:line="288" w:lineRule="auto"/>
        <w:ind w:firstLine="420"/>
        <w:jc w:val="both"/>
        <w:divId w:val="858659108"/>
        <w:rPr>
          <w:rFonts w:ascii="Times New Roman" w:hAnsi="Times New Roman" w:cs="Times New Roman"/>
        </w:rPr>
      </w:pPr>
      <w:r w:rsidRPr="00672DC8">
        <w:rPr>
          <w:rFonts w:ascii="Times New Roman" w:hAnsi="Times New Roman" w:cs="Times New Roman"/>
          <w:sz w:val="21"/>
          <w:szCs w:val="21"/>
        </w:rPr>
        <w:t>公司始终秉承</w:t>
      </w:r>
      <w:r w:rsidRPr="00672DC8">
        <w:rPr>
          <w:rFonts w:ascii="Times New Roman" w:hAnsi="Times New Roman" w:cs="Times New Roman"/>
          <w:sz w:val="21"/>
          <w:szCs w:val="21"/>
        </w:rPr>
        <w:t>“</w:t>
      </w:r>
      <w:r w:rsidRPr="00672DC8">
        <w:rPr>
          <w:rFonts w:ascii="Times New Roman" w:hAnsi="Times New Roman" w:cs="Times New Roman"/>
          <w:sz w:val="21"/>
          <w:szCs w:val="21"/>
        </w:rPr>
        <w:t>技术缔造价值</w:t>
      </w:r>
      <w:r w:rsidRPr="00672DC8">
        <w:rPr>
          <w:rFonts w:ascii="Times New Roman" w:hAnsi="Times New Roman" w:cs="Times New Roman"/>
          <w:sz w:val="21"/>
          <w:szCs w:val="21"/>
        </w:rPr>
        <w:t>”</w:t>
      </w:r>
      <w:r w:rsidRPr="00672DC8">
        <w:rPr>
          <w:rFonts w:ascii="Times New Roman" w:hAnsi="Times New Roman" w:cs="Times New Roman"/>
          <w:sz w:val="21"/>
          <w:szCs w:val="21"/>
        </w:rPr>
        <w:t>的核心理念，坚持以研发创新作为驱动公司业务持续发展的核心动力。公司及子公司互联精英、天亿马信息技术、广东翼启被认定为国家高新技术企业，已建立由汕头研发中心、深圳研发中心和子公司互联精英、广东翼启、广图粤科组成的研发体系，充分利用广州、深圳、汕头、上海四地的研发创新人才和资源，培养形成了一支创新能力强的研发和技术服务团队。公司建设有广东省科学技术厅、广东省发展和改革委员会、广东省经济和信息化委员会评定的</w:t>
      </w:r>
      <w:r w:rsidRPr="00672DC8">
        <w:rPr>
          <w:rFonts w:ascii="Times New Roman" w:hAnsi="Times New Roman" w:cs="Times New Roman"/>
          <w:sz w:val="21"/>
          <w:szCs w:val="21"/>
        </w:rPr>
        <w:t>“</w:t>
      </w:r>
      <w:r w:rsidRPr="00672DC8">
        <w:rPr>
          <w:rFonts w:ascii="Times New Roman" w:hAnsi="Times New Roman" w:cs="Times New Roman"/>
          <w:sz w:val="21"/>
          <w:szCs w:val="21"/>
        </w:rPr>
        <w:t>广东省工程技术研究开发中心</w:t>
      </w:r>
      <w:r w:rsidRPr="00672DC8">
        <w:rPr>
          <w:rFonts w:ascii="Times New Roman" w:hAnsi="Times New Roman" w:cs="Times New Roman"/>
          <w:sz w:val="21"/>
          <w:szCs w:val="21"/>
        </w:rPr>
        <w:t>”</w:t>
      </w:r>
      <w:r w:rsidRPr="00672DC8">
        <w:rPr>
          <w:rFonts w:ascii="Times New Roman" w:hAnsi="Times New Roman" w:cs="Times New Roman"/>
          <w:sz w:val="21"/>
          <w:szCs w:val="21"/>
        </w:rPr>
        <w:t>，获评广东省专精特新中小企业、汕头市中小企业数字化、转型城市试点数字化牵引单位等荣誉资质。截至</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w:t>
      </w:r>
      <w:r w:rsidRPr="00672DC8">
        <w:rPr>
          <w:rFonts w:ascii="Times New Roman" w:hAnsi="Times New Roman" w:cs="Times New Roman"/>
          <w:sz w:val="21"/>
          <w:szCs w:val="21"/>
        </w:rPr>
        <w:t>30</w:t>
      </w:r>
      <w:r w:rsidRPr="00672DC8">
        <w:rPr>
          <w:rFonts w:ascii="Times New Roman" w:hAnsi="Times New Roman" w:cs="Times New Roman"/>
          <w:sz w:val="21"/>
          <w:szCs w:val="21"/>
        </w:rPr>
        <w:t>日，公司拥有</w:t>
      </w:r>
      <w:r w:rsidRPr="00672DC8">
        <w:rPr>
          <w:rFonts w:ascii="Times New Roman" w:hAnsi="Times New Roman" w:cs="Times New Roman"/>
          <w:sz w:val="21"/>
          <w:szCs w:val="21"/>
        </w:rPr>
        <w:t>418</w:t>
      </w:r>
      <w:r w:rsidRPr="00672DC8">
        <w:rPr>
          <w:rFonts w:ascii="Times New Roman" w:hAnsi="Times New Roman" w:cs="Times New Roman"/>
          <w:sz w:val="21"/>
          <w:szCs w:val="21"/>
        </w:rPr>
        <w:t>项计算机软件著作权，取得</w:t>
      </w:r>
      <w:r w:rsidRPr="00672DC8">
        <w:rPr>
          <w:rFonts w:ascii="Times New Roman" w:hAnsi="Times New Roman" w:cs="Times New Roman"/>
          <w:sz w:val="21"/>
          <w:szCs w:val="21"/>
        </w:rPr>
        <w:t>13</w:t>
      </w:r>
      <w:r w:rsidRPr="00672DC8">
        <w:rPr>
          <w:rFonts w:ascii="Times New Roman" w:hAnsi="Times New Roman" w:cs="Times New Roman"/>
          <w:sz w:val="21"/>
          <w:szCs w:val="21"/>
        </w:rPr>
        <w:t>项专利。</w:t>
      </w:r>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t>（二）核心技术能力</w:t>
      </w:r>
    </w:p>
    <w:p w:rsidR="000C0769" w:rsidRPr="00672DC8" w:rsidRDefault="000C0769" w:rsidP="00E00768">
      <w:pPr>
        <w:pStyle w:val="a3"/>
        <w:spacing w:before="120" w:beforeAutospacing="0" w:after="0" w:afterAutospacing="0" w:line="288" w:lineRule="auto"/>
        <w:ind w:firstLine="420"/>
        <w:jc w:val="both"/>
        <w:divId w:val="858659108"/>
        <w:rPr>
          <w:rFonts w:ascii="Times New Roman" w:hAnsi="Times New Roman" w:cs="Times New Roman"/>
          <w:sz w:val="21"/>
          <w:szCs w:val="21"/>
        </w:rPr>
      </w:pPr>
      <w:r w:rsidRPr="00672DC8">
        <w:rPr>
          <w:rFonts w:ascii="Times New Roman" w:hAnsi="Times New Roman" w:cs="Times New Roman"/>
          <w:sz w:val="21"/>
          <w:szCs w:val="21"/>
        </w:rPr>
        <w:t>公司及时跟进并应用人工智能领域前沿技术等最新关键技术，掌握了算力设备及组网、大模型部署及推理调优、标准化</w:t>
      </w:r>
      <w:r w:rsidRPr="00672DC8">
        <w:rPr>
          <w:rFonts w:ascii="Times New Roman" w:hAnsi="Times New Roman" w:cs="Times New Roman"/>
          <w:sz w:val="21"/>
          <w:szCs w:val="21"/>
        </w:rPr>
        <w:t>API</w:t>
      </w:r>
      <w:r w:rsidRPr="00672DC8">
        <w:rPr>
          <w:rFonts w:ascii="Times New Roman" w:hAnsi="Times New Roman" w:cs="Times New Roman"/>
          <w:sz w:val="21"/>
          <w:szCs w:val="21"/>
        </w:rPr>
        <w:t>接口部署等核心技术能力，打造了优质</w:t>
      </w:r>
      <w:r w:rsidRPr="00672DC8">
        <w:rPr>
          <w:rFonts w:ascii="Times New Roman" w:hAnsi="Times New Roman" w:cs="Times New Roman"/>
          <w:sz w:val="21"/>
          <w:szCs w:val="21"/>
        </w:rPr>
        <w:t>AI</w:t>
      </w:r>
      <w:r w:rsidRPr="00672DC8">
        <w:rPr>
          <w:rFonts w:ascii="Times New Roman" w:hAnsi="Times New Roman" w:cs="Times New Roman"/>
          <w:sz w:val="21"/>
          <w:szCs w:val="21"/>
        </w:rPr>
        <w:t>模型出海服务平台</w:t>
      </w:r>
      <w:r w:rsidRPr="00672DC8">
        <w:rPr>
          <w:rFonts w:ascii="Times New Roman" w:hAnsi="Times New Roman" w:cs="Times New Roman"/>
          <w:sz w:val="21"/>
          <w:szCs w:val="21"/>
        </w:rPr>
        <w:t>T.Y.M.</w:t>
      </w:r>
      <w:r w:rsidRPr="00672DC8">
        <w:rPr>
          <w:rFonts w:ascii="Times New Roman" w:hAnsi="Times New Roman" w:cs="Times New Roman"/>
          <w:sz w:val="21"/>
          <w:szCs w:val="21"/>
        </w:rPr>
        <w:t>聚合平台、天亿马国际词元（</w:t>
      </w:r>
      <w:r w:rsidRPr="00672DC8">
        <w:rPr>
          <w:rFonts w:ascii="Times New Roman" w:hAnsi="Times New Roman" w:cs="Times New Roman"/>
          <w:sz w:val="21"/>
          <w:szCs w:val="21"/>
        </w:rPr>
        <w:t>Token</w:t>
      </w:r>
      <w:r w:rsidRPr="00672DC8">
        <w:rPr>
          <w:rFonts w:ascii="Times New Roman" w:hAnsi="Times New Roman" w:cs="Times New Roman"/>
          <w:sz w:val="21"/>
          <w:szCs w:val="21"/>
        </w:rPr>
        <w:t>）工厂数链中枢，整合多元开源模型能力，提供统一</w:t>
      </w:r>
      <w:r w:rsidRPr="00672DC8">
        <w:rPr>
          <w:rFonts w:ascii="Times New Roman" w:hAnsi="Times New Roman" w:cs="Times New Roman"/>
          <w:sz w:val="21"/>
          <w:szCs w:val="21"/>
        </w:rPr>
        <w:t>API</w:t>
      </w:r>
      <w:r w:rsidRPr="00672DC8">
        <w:rPr>
          <w:rFonts w:ascii="Times New Roman" w:hAnsi="Times New Roman" w:cs="Times New Roman"/>
          <w:sz w:val="21"/>
          <w:szCs w:val="21"/>
        </w:rPr>
        <w:t>接入、按量计费、实时监控等一站式</w:t>
      </w:r>
      <w:r w:rsidRPr="00672DC8">
        <w:rPr>
          <w:rFonts w:ascii="Times New Roman" w:hAnsi="Times New Roman" w:cs="Times New Roman"/>
          <w:sz w:val="21"/>
          <w:szCs w:val="21"/>
        </w:rPr>
        <w:t>Token</w:t>
      </w:r>
      <w:r w:rsidRPr="00672DC8">
        <w:rPr>
          <w:rFonts w:ascii="Times New Roman" w:hAnsi="Times New Roman" w:cs="Times New Roman"/>
          <w:sz w:val="21"/>
          <w:szCs w:val="21"/>
        </w:rPr>
        <w:t>服务，可全面适配文本创作、多模态生成等差异化</w:t>
      </w:r>
      <w:r w:rsidRPr="00672DC8">
        <w:rPr>
          <w:rFonts w:ascii="Times New Roman" w:hAnsi="Times New Roman" w:cs="Times New Roman"/>
          <w:sz w:val="21"/>
          <w:szCs w:val="21"/>
        </w:rPr>
        <w:t>AI</w:t>
      </w:r>
      <w:r w:rsidRPr="00672DC8">
        <w:rPr>
          <w:rFonts w:ascii="Times New Roman" w:hAnsi="Times New Roman" w:cs="Times New Roman"/>
          <w:sz w:val="21"/>
          <w:szCs w:val="21"/>
        </w:rPr>
        <w:t>业务场景，助力客户高效落地</w:t>
      </w:r>
      <w:r w:rsidRPr="00672DC8">
        <w:rPr>
          <w:rFonts w:ascii="Times New Roman" w:hAnsi="Times New Roman" w:cs="Times New Roman"/>
          <w:sz w:val="21"/>
          <w:szCs w:val="21"/>
        </w:rPr>
        <w:t>AI</w:t>
      </w:r>
      <w:r w:rsidRPr="00672DC8">
        <w:rPr>
          <w:rFonts w:ascii="Times New Roman" w:hAnsi="Times New Roman" w:cs="Times New Roman"/>
          <w:sz w:val="21"/>
          <w:szCs w:val="21"/>
        </w:rPr>
        <w:t>应用，释放产业数字化价值。</w:t>
      </w:r>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lastRenderedPageBreak/>
        <w:t>（三）项目经验优势</w:t>
      </w:r>
    </w:p>
    <w:p w:rsidR="000C0769" w:rsidRPr="00672DC8" w:rsidRDefault="000C0769" w:rsidP="006B4EA6">
      <w:pPr>
        <w:pStyle w:val="a3"/>
        <w:spacing w:before="120" w:beforeAutospacing="0" w:after="0" w:afterAutospacing="0" w:line="288" w:lineRule="auto"/>
        <w:ind w:firstLine="420"/>
        <w:jc w:val="both"/>
        <w:divId w:val="858659108"/>
        <w:rPr>
          <w:rFonts w:ascii="Times New Roman" w:hAnsi="Times New Roman" w:cs="Times New Roman"/>
          <w:sz w:val="21"/>
          <w:szCs w:val="21"/>
        </w:rPr>
      </w:pPr>
      <w:r w:rsidRPr="00672DC8">
        <w:rPr>
          <w:rFonts w:ascii="Times New Roman" w:hAnsi="Times New Roman" w:cs="Times New Roman"/>
          <w:sz w:val="21"/>
          <w:szCs w:val="21"/>
        </w:rPr>
        <w:t>公司在信息技术服务领域深耕二十多年，在政务、企业、教育、医疗、交通等行业实施了大量项目，沉淀了对业务场景深刻的理解，培养了成熟的技术、研发和项目实施团队，有利于公司对市场和客户需求的理解和响应，确保技术和应用方案的落地，进而提升公司服务及产品的市场竞争力。</w:t>
      </w:r>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t>（四）服务优势</w:t>
      </w:r>
    </w:p>
    <w:p w:rsidR="000C0769" w:rsidRPr="00672DC8" w:rsidRDefault="000C0769" w:rsidP="006B4EA6">
      <w:pPr>
        <w:pStyle w:val="a3"/>
        <w:spacing w:before="120" w:beforeAutospacing="0" w:after="0" w:afterAutospacing="0" w:line="288" w:lineRule="auto"/>
        <w:ind w:firstLine="420"/>
        <w:jc w:val="both"/>
        <w:divId w:val="858659108"/>
        <w:rPr>
          <w:rFonts w:ascii="Times New Roman" w:hAnsi="Times New Roman" w:cs="Times New Roman"/>
          <w:sz w:val="21"/>
          <w:szCs w:val="21"/>
        </w:rPr>
      </w:pPr>
      <w:r w:rsidRPr="00672DC8">
        <w:rPr>
          <w:rFonts w:ascii="Times New Roman" w:hAnsi="Times New Roman" w:cs="Times New Roman"/>
          <w:sz w:val="21"/>
          <w:szCs w:val="21"/>
        </w:rPr>
        <w:t>公司坚持</w:t>
      </w:r>
      <w:r w:rsidRPr="00672DC8">
        <w:rPr>
          <w:rFonts w:ascii="Times New Roman" w:hAnsi="Times New Roman" w:cs="Times New Roman"/>
          <w:sz w:val="21"/>
          <w:szCs w:val="21"/>
        </w:rPr>
        <w:t>“</w:t>
      </w:r>
      <w:r w:rsidRPr="00672DC8">
        <w:rPr>
          <w:rFonts w:ascii="Times New Roman" w:hAnsi="Times New Roman" w:cs="Times New Roman"/>
          <w:sz w:val="21"/>
          <w:szCs w:val="21"/>
        </w:rPr>
        <w:t>技术</w:t>
      </w:r>
      <w:r w:rsidRPr="00672DC8">
        <w:rPr>
          <w:rFonts w:ascii="Times New Roman" w:hAnsi="Times New Roman" w:cs="Times New Roman"/>
          <w:sz w:val="21"/>
          <w:szCs w:val="21"/>
        </w:rPr>
        <w:t>+</w:t>
      </w:r>
      <w:r w:rsidRPr="00672DC8">
        <w:rPr>
          <w:rFonts w:ascii="Times New Roman" w:hAnsi="Times New Roman" w:cs="Times New Roman"/>
          <w:sz w:val="21"/>
          <w:szCs w:val="21"/>
        </w:rPr>
        <w:t>服务</w:t>
      </w:r>
      <w:r w:rsidRPr="00672DC8">
        <w:rPr>
          <w:rFonts w:ascii="Times New Roman" w:hAnsi="Times New Roman" w:cs="Times New Roman"/>
          <w:sz w:val="21"/>
          <w:szCs w:val="21"/>
        </w:rPr>
        <w:t>”</w:t>
      </w:r>
      <w:r w:rsidRPr="00672DC8">
        <w:rPr>
          <w:rFonts w:ascii="Times New Roman" w:hAnsi="Times New Roman" w:cs="Times New Roman"/>
          <w:sz w:val="21"/>
          <w:szCs w:val="21"/>
        </w:rPr>
        <w:t>的经营理念，为客户提供全面高效的服务，持续提升客户服务质量，赢得客户的认可和口碑。公司着力打造全面专业的服务和技术支持，在广州、深圳、上海和香港等地设立分、子公司，为区域客户提供本地化的技术服务，加深并扩展与客户多个层面的联系。公司建立了标准化的服务体系，紧跟客户需求变化创新服务模式，提升服务交付能力，及时高效地响应客户需求，持续完善服务质量。</w:t>
      </w:r>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t>（五）人才优势</w:t>
      </w:r>
    </w:p>
    <w:p w:rsidR="000C0769" w:rsidRPr="00672DC8" w:rsidRDefault="000C0769" w:rsidP="006B4EA6">
      <w:pPr>
        <w:pStyle w:val="a3"/>
        <w:spacing w:before="120" w:beforeAutospacing="0" w:after="0" w:afterAutospacing="0" w:line="288" w:lineRule="auto"/>
        <w:ind w:firstLine="420"/>
        <w:jc w:val="both"/>
        <w:divId w:val="858659108"/>
        <w:rPr>
          <w:rFonts w:ascii="Times New Roman" w:hAnsi="Times New Roman" w:cs="Times New Roman"/>
          <w:sz w:val="21"/>
          <w:szCs w:val="21"/>
        </w:rPr>
      </w:pPr>
      <w:r w:rsidRPr="00672DC8">
        <w:rPr>
          <w:rFonts w:ascii="Times New Roman" w:hAnsi="Times New Roman" w:cs="Times New Roman"/>
          <w:sz w:val="21"/>
          <w:szCs w:val="21"/>
        </w:rPr>
        <w:t>作为轻资产企业，人力资源是公司核心资源。公司自成立以来一直注重人才队伍的建设，把尊重人才、重视人才和激励人才放在最突出的地位。通过健全人力资源开发和管理制度，完善培训、薪酬、绩效和激励机制，加大人才引进和培养力度，公司建立了一支专业的研发和项目实施团队。截至报告期末，公司共有研发人员</w:t>
      </w:r>
      <w:r w:rsidRPr="00672DC8">
        <w:rPr>
          <w:rFonts w:ascii="Times New Roman" w:hAnsi="Times New Roman" w:cs="Times New Roman"/>
          <w:sz w:val="21"/>
          <w:szCs w:val="21"/>
        </w:rPr>
        <w:t>115</w:t>
      </w:r>
      <w:r w:rsidRPr="00672DC8">
        <w:rPr>
          <w:rFonts w:ascii="Times New Roman" w:hAnsi="Times New Roman" w:cs="Times New Roman"/>
          <w:sz w:val="21"/>
          <w:szCs w:val="21"/>
        </w:rPr>
        <w:t>人、项目实施人员</w:t>
      </w:r>
      <w:r w:rsidRPr="00672DC8">
        <w:rPr>
          <w:rFonts w:ascii="Times New Roman" w:hAnsi="Times New Roman" w:cs="Times New Roman"/>
          <w:sz w:val="21"/>
          <w:szCs w:val="21"/>
        </w:rPr>
        <w:t>111</w:t>
      </w:r>
      <w:r w:rsidRPr="00672DC8">
        <w:rPr>
          <w:rFonts w:ascii="Times New Roman" w:hAnsi="Times New Roman" w:cs="Times New Roman"/>
          <w:sz w:val="21"/>
          <w:szCs w:val="21"/>
        </w:rPr>
        <w:t>人，分别占员工总人数比例的</w:t>
      </w:r>
      <w:r w:rsidRPr="00672DC8">
        <w:rPr>
          <w:rFonts w:ascii="Times New Roman" w:hAnsi="Times New Roman" w:cs="Times New Roman"/>
          <w:sz w:val="21"/>
          <w:szCs w:val="21"/>
        </w:rPr>
        <w:t>31.4%</w:t>
      </w:r>
      <w:r w:rsidRPr="00672DC8">
        <w:rPr>
          <w:rFonts w:ascii="Times New Roman" w:hAnsi="Times New Roman" w:cs="Times New Roman"/>
          <w:sz w:val="21"/>
          <w:szCs w:val="21"/>
        </w:rPr>
        <w:t>、</w:t>
      </w:r>
      <w:r w:rsidRPr="00672DC8">
        <w:rPr>
          <w:rFonts w:ascii="Times New Roman" w:hAnsi="Times New Roman" w:cs="Times New Roman"/>
          <w:sz w:val="21"/>
          <w:szCs w:val="21"/>
        </w:rPr>
        <w:t>30.3%</w:t>
      </w:r>
      <w:r w:rsidRPr="00672DC8">
        <w:rPr>
          <w:rFonts w:ascii="Times New Roman" w:hAnsi="Times New Roman" w:cs="Times New Roman"/>
          <w:sz w:val="21"/>
          <w:szCs w:val="21"/>
        </w:rPr>
        <w:t>，是公司产品和技术创新、业务持续发展的骨干力量。</w:t>
      </w:r>
    </w:p>
    <w:p w:rsidR="000C0769" w:rsidRPr="00672DC8" w:rsidRDefault="000C0769">
      <w:pPr>
        <w:pStyle w:val="a3"/>
        <w:jc w:val="both"/>
        <w:divId w:val="858659108"/>
        <w:rPr>
          <w:rFonts w:ascii="Times New Roman" w:hAnsi="Times New Roman" w:cs="Times New Roman"/>
          <w:b/>
        </w:rPr>
      </w:pPr>
      <w:r w:rsidRPr="00672DC8">
        <w:rPr>
          <w:rFonts w:ascii="Times New Roman" w:hAnsi="Times New Roman" w:cs="Times New Roman"/>
          <w:b/>
          <w:sz w:val="21"/>
          <w:szCs w:val="21"/>
        </w:rPr>
        <w:t>（六）资质优势</w:t>
      </w:r>
    </w:p>
    <w:p w:rsidR="000C0769" w:rsidRPr="00672DC8" w:rsidRDefault="000C0769" w:rsidP="006B4EA6">
      <w:pPr>
        <w:pStyle w:val="a3"/>
        <w:spacing w:before="120" w:beforeAutospacing="0" w:after="0" w:afterAutospacing="0" w:line="288" w:lineRule="auto"/>
        <w:ind w:firstLine="420"/>
        <w:jc w:val="both"/>
        <w:divId w:val="858659108"/>
        <w:rPr>
          <w:rFonts w:ascii="Times New Roman" w:hAnsi="Times New Roman" w:cs="Times New Roman"/>
          <w:sz w:val="21"/>
          <w:szCs w:val="21"/>
        </w:rPr>
      </w:pPr>
      <w:r w:rsidRPr="00672DC8">
        <w:rPr>
          <w:rFonts w:ascii="Times New Roman" w:hAnsi="Times New Roman" w:cs="Times New Roman"/>
          <w:sz w:val="21"/>
          <w:szCs w:val="21"/>
        </w:rPr>
        <w:t>公司所处行业实行资质认证，拥有完整、高级别资质的企业在满足客户多样化需求和项目承接上具备较强的竞争优势。经过多年业务发展和技术积累，公司已成为行业内资质体系较齐全且级别较高的企业之一，目前已拥有了广东省安全技术防范系统设计、电子与智能化工程专业承包一级资质、建筑机电安装工程专业二级、增值电信业务经营许可证、广东省数据经纪人等业务开展必要的资质证书。公司及子公司天亿马信息技术、广东翼启通过了质量管理体系、环境管理体系、职业健康安全管理体系、信息安全管理体系等多项管理体系认证。报告期内</w:t>
      </w:r>
      <w:r w:rsidRPr="00672DC8">
        <w:rPr>
          <w:rFonts w:ascii="Times New Roman" w:hAnsi="Times New Roman" w:cs="Times New Roman"/>
          <w:sz w:val="21"/>
          <w:szCs w:val="21"/>
        </w:rPr>
        <w:t>,</w:t>
      </w:r>
      <w:r w:rsidRPr="00672DC8">
        <w:rPr>
          <w:rFonts w:ascii="Times New Roman" w:hAnsi="Times New Roman" w:cs="Times New Roman"/>
          <w:sz w:val="21"/>
          <w:szCs w:val="21"/>
        </w:rPr>
        <w:t>公司与控股子公司翼启数据入选《广东省数据产业图谱》。上述资质的取得系公司整体业务实力的体现，使公司在竞标和承接各类相关业务时具备较强的竞争优势。</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9" w:name="_Toc988906"/>
      <w:r w:rsidRPr="00672DC8">
        <w:rPr>
          <w:rFonts w:ascii="Times New Roman" w:eastAsia="宋体" w:hAnsi="Times New Roman" w:cs="Times New Roman"/>
          <w:b/>
          <w:bCs/>
          <w:sz w:val="24"/>
          <w:szCs w:val="24"/>
        </w:rPr>
        <w:t>三、主营业务分析</w:t>
      </w:r>
      <w:bookmarkEnd w:id="19"/>
    </w:p>
    <w:p w:rsidR="003D2BA8" w:rsidRPr="00672DC8" w:rsidRDefault="000C0769">
      <w:pPr>
        <w:spacing w:before="100" w:after="100" w:line="240" w:lineRule="exact"/>
        <w:rPr>
          <w:rFonts w:ascii="Times New Roman" w:eastAsia="宋体" w:hAnsi="Times New Roman" w:cs="Times New Roman"/>
          <w:sz w:val="18"/>
          <w:szCs w:val="18"/>
        </w:rPr>
      </w:pPr>
      <w:bookmarkStart w:id="20" w:name="OLE_LINK39"/>
      <w:bookmarkStart w:id="21" w:name="OLE_LINK40"/>
      <w:r w:rsidRPr="00672DC8">
        <w:rPr>
          <w:rFonts w:ascii="Times New Roman" w:eastAsia="宋体" w:hAnsi="Times New Roman" w:cs="Times New Roman"/>
          <w:sz w:val="18"/>
          <w:szCs w:val="18"/>
        </w:rPr>
        <w:t>概述</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bookmarkStart w:id="22" w:name="OLE_LINK16"/>
      <w:bookmarkStart w:id="23" w:name="OLE_LINK17"/>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年是国家</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十五五</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规划开局之年，也是中国数字经济从</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数字化</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向</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数智化</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跨越的关键之年。公司紧跟国家加快发展新质生产力、深化</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人工智能</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行动的宏观政策导向，聚焦人工智能前沿产业，以技术创新及应用落地为核心驱动力，大力引进高层次人才，优化完善业务结构、资产结构及人才结构。报告期内，公司加速布局国际词元（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）工厂、算力服务等人工智能新兴业务，推动数据要素业务快速落地，着力构建</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算力</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数据</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模型</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应用</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一体化服务生态，稳步向</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中国全域数智服务提供商</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战略转型升</w:t>
      </w:r>
      <w:r w:rsidRPr="00672DC8">
        <w:rPr>
          <w:rFonts w:ascii="Times New Roman" w:eastAsia="宋体" w:hAnsi="Times New Roman" w:cs="Times New Roman"/>
          <w:kern w:val="0"/>
          <w:szCs w:val="21"/>
        </w:rPr>
        <w:lastRenderedPageBreak/>
        <w:t>级。</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上半年，公司营业收入快速增长，现金流稳健，整体资产状况良好。报告期内，公司实现营业收入</w:t>
      </w:r>
      <w:r w:rsidRPr="00672DC8">
        <w:rPr>
          <w:rFonts w:ascii="Times New Roman" w:eastAsia="宋体" w:hAnsi="Times New Roman" w:cs="Times New Roman"/>
          <w:kern w:val="0"/>
          <w:szCs w:val="21"/>
        </w:rPr>
        <w:t>21,253.85</w:t>
      </w:r>
      <w:r w:rsidRPr="00672DC8">
        <w:rPr>
          <w:rFonts w:ascii="Times New Roman" w:eastAsia="宋体" w:hAnsi="Times New Roman" w:cs="Times New Roman"/>
          <w:kern w:val="0"/>
          <w:szCs w:val="21"/>
        </w:rPr>
        <w:t>万元，同比增长</w:t>
      </w:r>
      <w:r w:rsidRPr="00672DC8">
        <w:rPr>
          <w:rFonts w:ascii="Times New Roman" w:eastAsia="宋体" w:hAnsi="Times New Roman" w:cs="Times New Roman"/>
          <w:kern w:val="0"/>
          <w:szCs w:val="21"/>
        </w:rPr>
        <w:t>45.94%</w:t>
      </w:r>
      <w:r w:rsidRPr="00672DC8">
        <w:rPr>
          <w:rFonts w:ascii="Times New Roman" w:eastAsia="宋体" w:hAnsi="Times New Roman" w:cs="Times New Roman"/>
          <w:kern w:val="0"/>
          <w:szCs w:val="21"/>
        </w:rPr>
        <w:t>；经营活动产生净现金流</w:t>
      </w:r>
      <w:r w:rsidRPr="00672DC8">
        <w:rPr>
          <w:rFonts w:ascii="Times New Roman" w:eastAsia="宋体" w:hAnsi="Times New Roman" w:cs="Times New Roman"/>
          <w:kern w:val="0"/>
          <w:szCs w:val="21"/>
        </w:rPr>
        <w:t>8,377.00</w:t>
      </w:r>
      <w:r w:rsidRPr="00672DC8">
        <w:rPr>
          <w:rFonts w:ascii="Times New Roman" w:eastAsia="宋体" w:hAnsi="Times New Roman" w:cs="Times New Roman"/>
          <w:kern w:val="0"/>
          <w:szCs w:val="21"/>
        </w:rPr>
        <w:t>万元，现金流大幅改善；报告期末，公司货币资金</w:t>
      </w:r>
      <w:r w:rsidRPr="00672DC8">
        <w:rPr>
          <w:rFonts w:ascii="Times New Roman" w:eastAsia="宋体" w:hAnsi="Times New Roman" w:cs="Times New Roman"/>
          <w:kern w:val="0"/>
          <w:szCs w:val="21"/>
        </w:rPr>
        <w:t>3.67</w:t>
      </w:r>
      <w:r w:rsidRPr="00672DC8">
        <w:rPr>
          <w:rFonts w:ascii="Times New Roman" w:eastAsia="宋体" w:hAnsi="Times New Roman" w:cs="Times New Roman"/>
          <w:kern w:val="0"/>
          <w:szCs w:val="21"/>
        </w:rPr>
        <w:t>亿元，同比增长</w:t>
      </w:r>
      <w:r w:rsidRPr="00672DC8">
        <w:rPr>
          <w:rFonts w:ascii="Times New Roman" w:eastAsia="宋体" w:hAnsi="Times New Roman" w:cs="Times New Roman"/>
          <w:kern w:val="0"/>
          <w:szCs w:val="21"/>
        </w:rPr>
        <w:t>19.55%</w:t>
      </w:r>
      <w:r w:rsidRPr="00672DC8">
        <w:rPr>
          <w:rFonts w:ascii="Times New Roman" w:eastAsia="宋体" w:hAnsi="Times New Roman" w:cs="Times New Roman"/>
          <w:kern w:val="0"/>
          <w:szCs w:val="21"/>
        </w:rPr>
        <w:t>，现金充足。报告期末，公司总资产为</w:t>
      </w:r>
      <w:r w:rsidRPr="00672DC8">
        <w:rPr>
          <w:rFonts w:ascii="Times New Roman" w:eastAsia="宋体" w:hAnsi="Times New Roman" w:cs="Times New Roman"/>
          <w:kern w:val="0"/>
          <w:szCs w:val="21"/>
        </w:rPr>
        <w:t>14.19</w:t>
      </w:r>
      <w:r w:rsidRPr="00672DC8">
        <w:rPr>
          <w:rFonts w:ascii="Times New Roman" w:eastAsia="宋体" w:hAnsi="Times New Roman" w:cs="Times New Roman"/>
          <w:kern w:val="0"/>
          <w:szCs w:val="21"/>
        </w:rPr>
        <w:t>亿元，比期初下降</w:t>
      </w:r>
      <w:r w:rsidRPr="00672DC8">
        <w:rPr>
          <w:rFonts w:ascii="Times New Roman" w:eastAsia="宋体" w:hAnsi="Times New Roman" w:cs="Times New Roman"/>
          <w:kern w:val="0"/>
          <w:szCs w:val="21"/>
        </w:rPr>
        <w:t>1.83%</w:t>
      </w:r>
      <w:r w:rsidRPr="00672DC8">
        <w:rPr>
          <w:rFonts w:ascii="Times New Roman" w:eastAsia="宋体" w:hAnsi="Times New Roman" w:cs="Times New Roman"/>
          <w:kern w:val="0"/>
          <w:szCs w:val="21"/>
        </w:rPr>
        <w:t>；负债率</w:t>
      </w:r>
      <w:r w:rsidRPr="00672DC8">
        <w:rPr>
          <w:rFonts w:ascii="Times New Roman" w:eastAsia="宋体" w:hAnsi="Times New Roman" w:cs="Times New Roman"/>
          <w:kern w:val="0"/>
          <w:szCs w:val="21"/>
        </w:rPr>
        <w:t>44.21%</w:t>
      </w:r>
      <w:r w:rsidRPr="00672DC8">
        <w:rPr>
          <w:rFonts w:ascii="Times New Roman" w:eastAsia="宋体" w:hAnsi="Times New Roman" w:cs="Times New Roman"/>
          <w:kern w:val="0"/>
          <w:szCs w:val="21"/>
        </w:rPr>
        <w:t>，比期初下降</w:t>
      </w:r>
      <w:r w:rsidRPr="00672DC8">
        <w:rPr>
          <w:rFonts w:ascii="Times New Roman" w:eastAsia="宋体" w:hAnsi="Times New Roman" w:cs="Times New Roman"/>
          <w:kern w:val="0"/>
          <w:szCs w:val="21"/>
        </w:rPr>
        <w:t>1.18%</w:t>
      </w:r>
      <w:r w:rsidRPr="00672DC8">
        <w:rPr>
          <w:rFonts w:ascii="Times New Roman" w:eastAsia="宋体" w:hAnsi="Times New Roman" w:cs="Times New Roman"/>
          <w:kern w:val="0"/>
          <w:szCs w:val="21"/>
        </w:rPr>
        <w:t>；整体负债率维持在稳定水平，资产结构健康。</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为保障公司战略规划高效落地，公司聚焦人工智能、数据要素、行业数智化三大业务板块，通过新设、增资多家子公司，持续完善产业布局。</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聚焦人工智能板块，公司已布局国际词元（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）工厂、算力服务、算力一体机、人工智能应用多项业务。</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）工厂业务方面，公司具备算力设备部署组网、大模型部署及推理调优、标准化国际词元（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）工厂接入的全链条支撑能力。</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4</w:t>
      </w:r>
      <w:r w:rsidRPr="00672DC8">
        <w:rPr>
          <w:rFonts w:ascii="Times New Roman" w:eastAsia="宋体" w:hAnsi="Times New Roman" w:cs="Times New Roman"/>
          <w:kern w:val="0"/>
          <w:szCs w:val="21"/>
        </w:rPr>
        <w:t>月，汕头华侨试验区率先完成全国首个</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出海</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全链路合规商业闭环；公司自</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5</w:t>
      </w:r>
      <w:r w:rsidRPr="00672DC8">
        <w:rPr>
          <w:rFonts w:ascii="Times New Roman" w:eastAsia="宋体" w:hAnsi="Times New Roman" w:cs="Times New Roman"/>
          <w:kern w:val="0"/>
          <w:szCs w:val="21"/>
        </w:rPr>
        <w:t>月启动首期算力规模约</w:t>
      </w:r>
      <w:r w:rsidRPr="00672DC8">
        <w:rPr>
          <w:rFonts w:ascii="Times New Roman" w:eastAsia="宋体" w:hAnsi="Times New Roman" w:cs="Times New Roman"/>
          <w:kern w:val="0"/>
          <w:szCs w:val="21"/>
        </w:rPr>
        <w:t>2000P</w:t>
      </w:r>
      <w:r w:rsidRPr="00672DC8">
        <w:rPr>
          <w:rFonts w:ascii="Times New Roman" w:eastAsia="宋体" w:hAnsi="Times New Roman" w:cs="Times New Roman"/>
          <w:kern w:val="0"/>
          <w:szCs w:val="21"/>
        </w:rPr>
        <w:t>的标准化国际词元（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）工厂建设</w:t>
      </w:r>
      <w:r w:rsidR="00AA5637">
        <w:rPr>
          <w:rFonts w:ascii="Times New Roman" w:eastAsia="宋体" w:hAnsi="Times New Roman" w:cs="Times New Roman" w:hint="eastAsia"/>
          <w:kern w:val="0"/>
          <w:szCs w:val="21"/>
        </w:rPr>
        <w:t>，</w:t>
      </w:r>
      <w:r w:rsidR="00AA5637" w:rsidRPr="00672DC8">
        <w:rPr>
          <w:rFonts w:ascii="Times New Roman" w:eastAsia="宋体" w:hAnsi="Times New Roman" w:cs="Times New Roman"/>
          <w:kern w:val="0"/>
          <w:szCs w:val="21"/>
        </w:rPr>
        <w:t>未来将结合市场需求与业务发展情况，持续追加算力及产业配套投资，扩大词元基地产能</w:t>
      </w:r>
      <w:r w:rsidRPr="00672DC8">
        <w:rPr>
          <w:rFonts w:ascii="Times New Roman" w:eastAsia="宋体" w:hAnsi="Times New Roman" w:cs="Times New Roman"/>
          <w:kern w:val="0"/>
          <w:szCs w:val="21"/>
        </w:rPr>
        <w:t>。天亿马国际词元（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）工厂以自建算力资源为支撑，以自研</w:t>
      </w:r>
      <w:r w:rsidRPr="00672DC8">
        <w:rPr>
          <w:rFonts w:ascii="Times New Roman" w:eastAsia="宋体" w:hAnsi="Times New Roman" w:cs="Times New Roman"/>
          <w:kern w:val="0"/>
          <w:szCs w:val="21"/>
        </w:rPr>
        <w:t>T.Y.M. Model Hub</w:t>
      </w:r>
      <w:r w:rsidRPr="00672DC8">
        <w:rPr>
          <w:rFonts w:ascii="Times New Roman" w:eastAsia="宋体" w:hAnsi="Times New Roman" w:cs="Times New Roman"/>
          <w:kern w:val="0"/>
          <w:szCs w:val="21"/>
        </w:rPr>
        <w:t>（天亿马国际词元聚合平台）为核心运营载体，充分发挥汕头华侨试验区</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来数加工</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试点政策优势，依托汕头拥有全国规模最大国际海缆登陆站（出口带宽占全国</w:t>
      </w:r>
      <w:r w:rsidRPr="00672DC8">
        <w:rPr>
          <w:rFonts w:ascii="Times New Roman" w:eastAsia="宋体" w:hAnsi="Times New Roman" w:cs="Times New Roman"/>
          <w:kern w:val="0"/>
          <w:szCs w:val="21"/>
        </w:rPr>
        <w:t>52%</w:t>
      </w:r>
      <w:r w:rsidRPr="00672DC8">
        <w:rPr>
          <w:rFonts w:ascii="Times New Roman" w:eastAsia="宋体" w:hAnsi="Times New Roman" w:cs="Times New Roman"/>
          <w:kern w:val="0"/>
          <w:szCs w:val="21"/>
        </w:rPr>
        <w:t>以上）、</w:t>
      </w:r>
      <w:r w:rsidRPr="00672DC8">
        <w:rPr>
          <w:rFonts w:ascii="Times New Roman" w:eastAsia="宋体" w:hAnsi="Times New Roman" w:cs="Times New Roman"/>
          <w:kern w:val="0"/>
          <w:szCs w:val="21"/>
        </w:rPr>
        <w:t>60GW</w:t>
      </w:r>
      <w:r w:rsidRPr="00672DC8">
        <w:rPr>
          <w:rFonts w:ascii="Times New Roman" w:eastAsia="宋体" w:hAnsi="Times New Roman" w:cs="Times New Roman"/>
          <w:kern w:val="0"/>
          <w:szCs w:val="21"/>
        </w:rPr>
        <w:t>海上风电资源、海外</w:t>
      </w:r>
      <w:r w:rsidRPr="00672DC8">
        <w:rPr>
          <w:rFonts w:ascii="Times New Roman" w:eastAsia="宋体" w:hAnsi="Times New Roman" w:cs="Times New Roman"/>
          <w:kern w:val="0"/>
          <w:szCs w:val="21"/>
        </w:rPr>
        <w:t>1</w:t>
      </w:r>
      <w:r w:rsidR="00BC0151"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500</w:t>
      </w:r>
      <w:r w:rsidRPr="00672DC8">
        <w:rPr>
          <w:rFonts w:ascii="Times New Roman" w:eastAsia="宋体" w:hAnsi="Times New Roman" w:cs="Times New Roman"/>
          <w:kern w:val="0"/>
          <w:szCs w:val="21"/>
        </w:rPr>
        <w:t>万侨胞的独特资源禀赋，面向海外市场提供高性价比、合规可靠的词元（</w:t>
      </w:r>
      <w:r w:rsidRPr="00672DC8">
        <w:rPr>
          <w:rFonts w:ascii="Times New Roman" w:eastAsia="宋体" w:hAnsi="Times New Roman" w:cs="Times New Roman"/>
          <w:kern w:val="0"/>
          <w:szCs w:val="21"/>
        </w:rPr>
        <w:t>Token</w:t>
      </w:r>
      <w:r w:rsidRPr="00672DC8">
        <w:rPr>
          <w:rFonts w:ascii="Times New Roman" w:eastAsia="宋体" w:hAnsi="Times New Roman" w:cs="Times New Roman"/>
          <w:kern w:val="0"/>
          <w:szCs w:val="21"/>
        </w:rPr>
        <w:t>）服务。</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8</w:t>
      </w:r>
      <w:r w:rsidRPr="00672DC8">
        <w:rPr>
          <w:rFonts w:ascii="Times New Roman" w:eastAsia="宋体" w:hAnsi="Times New Roman" w:cs="Times New Roman"/>
          <w:kern w:val="0"/>
          <w:szCs w:val="21"/>
        </w:rPr>
        <w:t>月，公司联合具备词元资源的合作伙伴，合资设立子公司亿拓词元科技</w:t>
      </w:r>
      <w:r w:rsidR="00AA5637">
        <w:rPr>
          <w:rFonts w:ascii="Times New Roman" w:eastAsia="宋体" w:hAnsi="Times New Roman" w:cs="Times New Roman" w:hint="eastAsia"/>
          <w:kern w:val="0"/>
          <w:szCs w:val="21"/>
        </w:rPr>
        <w:t>作为运营载体，</w:t>
      </w:r>
      <w:r w:rsidR="00A93217">
        <w:rPr>
          <w:rFonts w:ascii="Times New Roman" w:eastAsia="宋体" w:hAnsi="Times New Roman" w:cs="Times New Roman" w:hint="eastAsia"/>
          <w:kern w:val="0"/>
          <w:szCs w:val="21"/>
        </w:rPr>
        <w:t>加强</w:t>
      </w:r>
      <w:r w:rsidR="00AA5637">
        <w:rPr>
          <w:rFonts w:ascii="Times New Roman" w:eastAsia="宋体" w:hAnsi="Times New Roman" w:cs="Times New Roman" w:hint="eastAsia"/>
          <w:kern w:val="0"/>
          <w:szCs w:val="21"/>
        </w:rPr>
        <w:t>词元工厂海外营销网络</w:t>
      </w:r>
      <w:r w:rsidR="00A93217">
        <w:rPr>
          <w:rFonts w:ascii="Times New Roman" w:eastAsia="宋体" w:hAnsi="Times New Roman" w:cs="Times New Roman" w:hint="eastAsia"/>
          <w:kern w:val="0"/>
          <w:szCs w:val="21"/>
        </w:rPr>
        <w:t>布局</w:t>
      </w:r>
      <w:r w:rsidR="00AA5637">
        <w:rPr>
          <w:rFonts w:ascii="Times New Roman" w:eastAsia="宋体" w:hAnsi="Times New Roman" w:cs="Times New Roman" w:hint="eastAsia"/>
          <w:kern w:val="0"/>
          <w:szCs w:val="21"/>
        </w:rPr>
        <w:t>。</w:t>
      </w:r>
      <w:r w:rsidR="00AA5637" w:rsidRPr="00AA5637">
        <w:rPr>
          <w:rFonts w:ascii="Times New Roman" w:eastAsia="宋体" w:hAnsi="Times New Roman" w:cs="Times New Roman" w:hint="eastAsia"/>
          <w:kern w:val="0"/>
          <w:szCs w:val="21"/>
        </w:rPr>
        <w:t>未来公司将借鉴本次合作模式，</w:t>
      </w:r>
      <w:r w:rsidR="00AA5637">
        <w:rPr>
          <w:rFonts w:ascii="Times New Roman" w:eastAsia="宋体" w:hAnsi="Times New Roman" w:cs="Times New Roman" w:hint="eastAsia"/>
          <w:kern w:val="0"/>
          <w:szCs w:val="21"/>
        </w:rPr>
        <w:t>持续</w:t>
      </w:r>
      <w:r w:rsidR="00AA5637" w:rsidRPr="00AA5637">
        <w:rPr>
          <w:rFonts w:ascii="Times New Roman" w:eastAsia="宋体" w:hAnsi="Times New Roman" w:cs="Times New Roman" w:hint="eastAsia"/>
          <w:kern w:val="0"/>
          <w:szCs w:val="21"/>
        </w:rPr>
        <w:t>拓展词元业务合作空间。</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在算力服务业务方面，公司已建成覆盖算力供给、运维保障、行业定制服务的全链条算力服务体系。公司自建的位于深圳的算力集群服务项目运营状况良好，报告期内实现收入</w:t>
      </w:r>
      <w:r w:rsidRPr="00672DC8">
        <w:rPr>
          <w:rFonts w:ascii="Times New Roman" w:eastAsia="宋体" w:hAnsi="Times New Roman" w:cs="Times New Roman"/>
          <w:kern w:val="0"/>
          <w:szCs w:val="21"/>
        </w:rPr>
        <w:t>3,609.04</w:t>
      </w:r>
      <w:r w:rsidRPr="00672DC8">
        <w:rPr>
          <w:rFonts w:ascii="Times New Roman" w:eastAsia="宋体" w:hAnsi="Times New Roman" w:cs="Times New Roman"/>
          <w:kern w:val="0"/>
          <w:szCs w:val="21"/>
        </w:rPr>
        <w:t>万元。</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6</w:t>
      </w:r>
      <w:r w:rsidRPr="00672DC8">
        <w:rPr>
          <w:rFonts w:ascii="Times New Roman" w:eastAsia="宋体" w:hAnsi="Times New Roman" w:cs="Times New Roman"/>
          <w:kern w:val="0"/>
          <w:szCs w:val="21"/>
        </w:rPr>
        <w:t>月，控股子公司天亿马数字产业完成增资扩股，引入广东省粤财产业科技股权投资基金合伙企业（有限合伙）战略投资，为算力产业布局补充优质资本，助力产业规模化发展。</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在算力一体机业务方面，公司聚焦算力硬件自主研发与销售，推出天亿马</w:t>
      </w:r>
      <w:r w:rsidRPr="00672DC8">
        <w:rPr>
          <w:rFonts w:ascii="Times New Roman" w:eastAsia="宋体" w:hAnsi="Times New Roman" w:cs="Times New Roman"/>
          <w:kern w:val="0"/>
          <w:szCs w:val="21"/>
        </w:rPr>
        <w:t>T.Y.M.</w:t>
      </w:r>
      <w:r w:rsidRPr="00672DC8">
        <w:rPr>
          <w:rFonts w:ascii="Times New Roman" w:eastAsia="宋体" w:hAnsi="Times New Roman" w:cs="Times New Roman"/>
          <w:kern w:val="0"/>
          <w:szCs w:val="21"/>
        </w:rPr>
        <w:t>系列自有品牌算力一体机，产品包含金融定制机型、通用标准算力机型。为进一步完善人工智能产业布局，公司已分别在上海、北京设立人工智能控股子公司。</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在人工智能应用方面，公司自研</w:t>
      </w:r>
      <w:r w:rsidRPr="00672DC8">
        <w:rPr>
          <w:rFonts w:ascii="Times New Roman" w:eastAsia="宋体" w:hAnsi="Times New Roman" w:cs="Times New Roman"/>
          <w:kern w:val="0"/>
          <w:szCs w:val="21"/>
        </w:rPr>
        <w:t>T.Y.M. AI Engine</w:t>
      </w:r>
      <w:r w:rsidRPr="00672DC8">
        <w:rPr>
          <w:rFonts w:ascii="Times New Roman" w:eastAsia="宋体" w:hAnsi="Times New Roman" w:cs="Times New Roman"/>
          <w:kern w:val="0"/>
          <w:szCs w:val="21"/>
        </w:rPr>
        <w:t>一体化解决方案。依托在智慧政务、医疗、交通、企业等领域的业务积累，公司打造多款垂直行业智能体解决方案，可高效处理复杂业务场景需求。目前，相关应用已政务服务、企业生产辅助等场景落地，为政府部门、国有企事业单位、全球知名连锁企业等客户提供专业服务。</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聚焦数据要素板块，公司具备数据采集、数据标注、数据治理、数据应用、数字资产化的全链条数据服务能力，构建与人工智能业务协同发展的数据产业配套体系。</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在数据标注业务方面，公司依托</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来数加工</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国家级试点政策，在汕头华侨试验区建设规模化、专业化</w:t>
      </w:r>
      <w:r w:rsidRPr="00672DC8">
        <w:rPr>
          <w:rFonts w:ascii="Times New Roman" w:eastAsia="宋体" w:hAnsi="Times New Roman" w:cs="Times New Roman"/>
          <w:kern w:val="0"/>
          <w:szCs w:val="21"/>
        </w:rPr>
        <w:lastRenderedPageBreak/>
        <w:t>跨境数据标注基地，开展数据标注、数据合规咨询等跨境数字服务。公司配备专业标注工具与技术团队，可提供图像、文本、语音、视频多类型的数据标注、清洗整编及数据合规咨询服务。</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6</w:t>
      </w:r>
      <w:r w:rsidRPr="00672DC8">
        <w:rPr>
          <w:rFonts w:ascii="Times New Roman" w:eastAsia="宋体" w:hAnsi="Times New Roman" w:cs="Times New Roman"/>
          <w:kern w:val="0"/>
          <w:szCs w:val="21"/>
        </w:rPr>
        <w:t>月，公司与汕头市东海岸投资建设有限公司共同投资设立天亿马数据产业。</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数据应用业务方面，公司具备数据产品全流程开发能力，围绕涉农、政务服务等重点领域挖掘细分场景需求，自主研发多款标准化数据产品，形成以养殖户经营健康指数、政策智能计算器等为代表的数字化工具系列。公司多款自研数据产品已在广州数据交易所、深圳数据交易所成功挂牌上架。</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6</w:t>
      </w:r>
      <w:r w:rsidRPr="00672DC8">
        <w:rPr>
          <w:rFonts w:ascii="Times New Roman" w:eastAsia="宋体" w:hAnsi="Times New Roman" w:cs="Times New Roman"/>
          <w:kern w:val="0"/>
          <w:szCs w:val="21"/>
        </w:rPr>
        <w:t>月，公司入选由广东省政务服务和数据管理局指导编制的《广东省数据产业图谱》，归入图谱</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数据应用企业</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项下的政务与城市治理类别，控股子公司翼启</w:t>
      </w:r>
      <w:r w:rsidR="008E05CC" w:rsidRPr="00672DC8">
        <w:rPr>
          <w:rFonts w:ascii="Times New Roman" w:eastAsia="宋体" w:hAnsi="Times New Roman" w:cs="Times New Roman"/>
          <w:kern w:val="0"/>
          <w:szCs w:val="21"/>
        </w:rPr>
        <w:t>数据</w:t>
      </w:r>
      <w:r w:rsidRPr="00672DC8">
        <w:rPr>
          <w:rFonts w:ascii="Times New Roman" w:eastAsia="宋体" w:hAnsi="Times New Roman" w:cs="Times New Roman"/>
          <w:kern w:val="0"/>
          <w:szCs w:val="21"/>
        </w:rPr>
        <w:t>归入</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数据技术企业</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项下的数据分析与智能类别。</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在数字资产业务方面，公司围绕数据资产入表及数据资本化开展全链条服务，组建专业数据资产技术服务团队，建立涵盖数据资产确权、估值、入表、资本化的全流程方法体系，具备资产盘点、合规确权、会计核算、价值变现一站式服务能力，已沉淀具备可复制性的实践案例。报告期内，公司数据资产入表案例获得第三方审计机构认可，对应数据资产已按企业会计制度纳入财务报表核算。公司深度参与行业标准制定工作，参编多项国家级、省级数据资产领域规范文件。</w:t>
      </w:r>
    </w:p>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bookmarkStart w:id="24" w:name="OLE_LINK35"/>
      <w:bookmarkStart w:id="25" w:name="OLE_LINK36"/>
      <w:r w:rsidRPr="00672DC8">
        <w:rPr>
          <w:rFonts w:ascii="Times New Roman" w:eastAsia="宋体" w:hAnsi="Times New Roman" w:cs="Times New Roman"/>
          <w:kern w:val="0"/>
          <w:szCs w:val="21"/>
        </w:rPr>
        <w:t>聚焦行业数智化板块，公司依托自主核心技术、核心产品及解决方案持续迭代升级，提升数智化综合解决方案服务能力。经过在智慧政务、智慧教育、智慧医疗、智慧企业等领域的持续深耕，公司积累了较为扎实的行业经验与技术储备，在核心技术、产品方案、行业资质、项目实践方面形成竞争优势</w:t>
      </w:r>
      <w:r w:rsidR="00A154D0">
        <w:rPr>
          <w:rFonts w:ascii="Times New Roman" w:eastAsia="宋体" w:hAnsi="Times New Roman" w:cs="Times New Roman" w:hint="eastAsia"/>
          <w:kern w:val="0"/>
          <w:szCs w:val="21"/>
        </w:rPr>
        <w:t>。公司</w:t>
      </w:r>
      <w:r w:rsidR="00AB2077">
        <w:rPr>
          <w:rFonts w:ascii="Times New Roman" w:eastAsia="宋体" w:hAnsi="Times New Roman" w:cs="Times New Roman" w:hint="eastAsia"/>
          <w:kern w:val="0"/>
          <w:szCs w:val="21"/>
        </w:rPr>
        <w:t>先后</w:t>
      </w:r>
      <w:r w:rsidR="00A154D0">
        <w:rPr>
          <w:rFonts w:ascii="Times New Roman" w:eastAsia="宋体" w:hAnsi="Times New Roman" w:cs="Times New Roman" w:hint="eastAsia"/>
          <w:kern w:val="0"/>
          <w:szCs w:val="21"/>
        </w:rPr>
        <w:t>入选</w:t>
      </w:r>
      <w:r w:rsidR="00A154D0" w:rsidRPr="00A154D0">
        <w:rPr>
          <w:rFonts w:ascii="Times New Roman" w:eastAsia="宋体" w:hAnsi="Times New Roman" w:cs="Times New Roman" w:hint="eastAsia"/>
          <w:kern w:val="0"/>
          <w:szCs w:val="21"/>
        </w:rPr>
        <w:t>首批汕头市中小企业数字化转型城市试点数字化牵引单位，</w:t>
      </w:r>
      <w:r w:rsidR="00A154D0">
        <w:rPr>
          <w:rFonts w:ascii="Times New Roman" w:eastAsia="宋体" w:hAnsi="Times New Roman" w:cs="Times New Roman" w:hint="eastAsia"/>
          <w:kern w:val="0"/>
          <w:szCs w:val="21"/>
        </w:rPr>
        <w:t>为</w:t>
      </w:r>
      <w:r w:rsidR="00A154D0" w:rsidRPr="00A154D0">
        <w:rPr>
          <w:rFonts w:ascii="Times New Roman" w:eastAsia="宋体" w:hAnsi="Times New Roman" w:cs="Times New Roman" w:hint="eastAsia"/>
          <w:kern w:val="0"/>
          <w:szCs w:val="21"/>
        </w:rPr>
        <w:t>纺织服装、大健康与现代食品行业产业链</w:t>
      </w:r>
      <w:r w:rsidR="00A154D0">
        <w:rPr>
          <w:rFonts w:ascii="Times New Roman" w:eastAsia="宋体" w:hAnsi="Times New Roman" w:cs="Times New Roman" w:hint="eastAsia"/>
          <w:kern w:val="0"/>
          <w:szCs w:val="21"/>
        </w:rPr>
        <w:t>数</w:t>
      </w:r>
      <w:r w:rsidR="000753B0">
        <w:rPr>
          <w:rFonts w:ascii="Times New Roman" w:eastAsia="宋体" w:hAnsi="Times New Roman" w:cs="Times New Roman" w:hint="eastAsia"/>
          <w:kern w:val="0"/>
          <w:szCs w:val="21"/>
        </w:rPr>
        <w:t>智</w:t>
      </w:r>
      <w:r w:rsidR="00A154D0">
        <w:rPr>
          <w:rFonts w:ascii="Times New Roman" w:eastAsia="宋体" w:hAnsi="Times New Roman" w:cs="Times New Roman" w:hint="eastAsia"/>
          <w:kern w:val="0"/>
          <w:szCs w:val="21"/>
        </w:rPr>
        <w:t>化转型提供服务方案</w:t>
      </w:r>
      <w:r w:rsidR="00AB2077">
        <w:rPr>
          <w:rFonts w:ascii="Times New Roman" w:eastAsia="宋体" w:hAnsi="Times New Roman" w:cs="Times New Roman" w:hint="eastAsia"/>
          <w:kern w:val="0"/>
          <w:szCs w:val="21"/>
        </w:rPr>
        <w:t>。</w:t>
      </w:r>
      <w:r w:rsidR="001A0CB8">
        <w:rPr>
          <w:rFonts w:ascii="Times New Roman" w:eastAsia="宋体" w:hAnsi="Times New Roman" w:cs="Times New Roman" w:hint="eastAsia"/>
          <w:kern w:val="0"/>
          <w:szCs w:val="21"/>
        </w:rPr>
        <w:t>截至报告披露日，</w:t>
      </w:r>
      <w:r w:rsidR="00954567">
        <w:rPr>
          <w:rFonts w:ascii="Times New Roman" w:eastAsia="宋体" w:hAnsi="Times New Roman" w:cs="Times New Roman" w:hint="eastAsia"/>
          <w:kern w:val="0"/>
          <w:szCs w:val="21"/>
        </w:rPr>
        <w:t>公司</w:t>
      </w:r>
      <w:r w:rsidRPr="00672DC8">
        <w:rPr>
          <w:rFonts w:ascii="Times New Roman" w:eastAsia="宋体" w:hAnsi="Times New Roman" w:cs="Times New Roman"/>
          <w:kern w:val="0"/>
          <w:szCs w:val="21"/>
        </w:rPr>
        <w:t>中标多个大型央国企信息化和数</w:t>
      </w:r>
      <w:r w:rsidR="001A0CB8">
        <w:rPr>
          <w:rFonts w:ascii="Times New Roman" w:eastAsia="宋体" w:hAnsi="Times New Roman" w:cs="Times New Roman" w:hint="eastAsia"/>
          <w:kern w:val="0"/>
          <w:szCs w:val="21"/>
        </w:rPr>
        <w:t>智</w:t>
      </w:r>
      <w:r w:rsidRPr="00672DC8">
        <w:rPr>
          <w:rFonts w:ascii="Times New Roman" w:eastAsia="宋体" w:hAnsi="Times New Roman" w:cs="Times New Roman"/>
          <w:kern w:val="0"/>
          <w:szCs w:val="21"/>
        </w:rPr>
        <w:t>化项目。</w:t>
      </w:r>
    </w:p>
    <w:bookmarkEnd w:id="24"/>
    <w:bookmarkEnd w:id="25"/>
    <w:p w:rsidR="008501A8" w:rsidRPr="00672DC8" w:rsidRDefault="008501A8" w:rsidP="008501A8">
      <w:pPr>
        <w:spacing w:beforeLines="50" w:before="156" w:afterLines="50" w:after="156" w:line="288" w:lineRule="auto"/>
        <w:ind w:firstLineChars="200" w:firstLine="420"/>
        <w:jc w:val="both"/>
        <w:rPr>
          <w:rFonts w:ascii="Times New Roman" w:eastAsia="宋体" w:hAnsi="Times New Roman" w:cs="Times New Roman"/>
          <w:kern w:val="0"/>
          <w:szCs w:val="21"/>
        </w:rPr>
      </w:pPr>
      <w:r w:rsidRPr="00672DC8">
        <w:rPr>
          <w:rFonts w:ascii="Times New Roman" w:eastAsia="宋体" w:hAnsi="Times New Roman" w:cs="Times New Roman"/>
          <w:kern w:val="0"/>
          <w:szCs w:val="21"/>
        </w:rPr>
        <w:t>报告期内，公司持续推进星云开物并购重组工作。</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1</w:t>
      </w:r>
      <w:r w:rsidRPr="00672DC8">
        <w:rPr>
          <w:rFonts w:ascii="Times New Roman" w:eastAsia="宋体" w:hAnsi="Times New Roman" w:cs="Times New Roman"/>
          <w:kern w:val="0"/>
          <w:szCs w:val="21"/>
        </w:rPr>
        <w:t>月</w:t>
      </w:r>
      <w:r w:rsidRPr="00672DC8">
        <w:rPr>
          <w:rFonts w:ascii="Times New Roman" w:eastAsia="宋体" w:hAnsi="Times New Roman" w:cs="Times New Roman"/>
          <w:kern w:val="0"/>
          <w:szCs w:val="21"/>
        </w:rPr>
        <w:t>27</w:t>
      </w:r>
      <w:r w:rsidRPr="00672DC8">
        <w:rPr>
          <w:rFonts w:ascii="Times New Roman" w:eastAsia="宋体" w:hAnsi="Times New Roman" w:cs="Times New Roman"/>
          <w:kern w:val="0"/>
          <w:szCs w:val="21"/>
        </w:rPr>
        <w:t>日，公司披露深交所审核问询函回复；</w:t>
      </w:r>
      <w:r w:rsidRPr="00672DC8">
        <w:rPr>
          <w:rFonts w:ascii="Times New Roman" w:eastAsia="宋体" w:hAnsi="Times New Roman" w:cs="Times New Roman"/>
          <w:kern w:val="0"/>
          <w:szCs w:val="21"/>
        </w:rPr>
        <w:t>2026</w:t>
      </w:r>
      <w:r w:rsidRPr="00672DC8">
        <w:rPr>
          <w:rFonts w:ascii="Times New Roman" w:eastAsia="宋体" w:hAnsi="Times New Roman" w:cs="Times New Roman"/>
          <w:kern w:val="0"/>
          <w:szCs w:val="21"/>
        </w:rPr>
        <w:t>年</w:t>
      </w:r>
      <w:r w:rsidRPr="00672DC8">
        <w:rPr>
          <w:rFonts w:ascii="Times New Roman" w:eastAsia="宋体" w:hAnsi="Times New Roman" w:cs="Times New Roman"/>
          <w:kern w:val="0"/>
          <w:szCs w:val="21"/>
        </w:rPr>
        <w:t>6</w:t>
      </w:r>
      <w:r w:rsidRPr="00672DC8">
        <w:rPr>
          <w:rFonts w:ascii="Times New Roman" w:eastAsia="宋体" w:hAnsi="Times New Roman" w:cs="Times New Roman"/>
          <w:kern w:val="0"/>
          <w:szCs w:val="21"/>
        </w:rPr>
        <w:t>月</w:t>
      </w:r>
      <w:r w:rsidRPr="00672DC8">
        <w:rPr>
          <w:rFonts w:ascii="Times New Roman" w:eastAsia="宋体" w:hAnsi="Times New Roman" w:cs="Times New Roman"/>
          <w:kern w:val="0"/>
          <w:szCs w:val="21"/>
        </w:rPr>
        <w:t>30</w:t>
      </w:r>
      <w:r w:rsidRPr="00672DC8">
        <w:rPr>
          <w:rFonts w:ascii="Times New Roman" w:eastAsia="宋体" w:hAnsi="Times New Roman" w:cs="Times New Roman"/>
          <w:kern w:val="0"/>
          <w:szCs w:val="21"/>
        </w:rPr>
        <w:t>日，公司更新提交《发行股份及支付现金购买资产并募集配套资金暨关联交易报告书（草案）（三次修订稿）》。公司及相关方将继续全力推进本次并购重组，尽快完成公司与星云开物业务整合，彼此赋能，补齐公司在出行、生活、零售等</w:t>
      </w:r>
      <w:r w:rsidRPr="00672DC8">
        <w:rPr>
          <w:rFonts w:ascii="Times New Roman" w:eastAsia="宋体" w:hAnsi="Times New Roman" w:cs="Times New Roman"/>
          <w:kern w:val="0"/>
          <w:szCs w:val="21"/>
        </w:rPr>
        <w:t>C</w:t>
      </w:r>
      <w:r w:rsidRPr="00672DC8">
        <w:rPr>
          <w:rFonts w:ascii="Times New Roman" w:eastAsia="宋体" w:hAnsi="Times New Roman" w:cs="Times New Roman"/>
          <w:kern w:val="0"/>
          <w:szCs w:val="21"/>
        </w:rPr>
        <w:t>端应用场景，夯实</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中国全域数智服务提供商</w:t>
      </w:r>
      <w:r w:rsidRPr="00672DC8">
        <w:rPr>
          <w:rFonts w:ascii="Times New Roman" w:eastAsia="宋体" w:hAnsi="Times New Roman" w:cs="Times New Roman"/>
          <w:kern w:val="0"/>
          <w:szCs w:val="21"/>
        </w:rPr>
        <w:t>”</w:t>
      </w:r>
      <w:r w:rsidRPr="00672DC8">
        <w:rPr>
          <w:rFonts w:ascii="Times New Roman" w:eastAsia="宋体" w:hAnsi="Times New Roman" w:cs="Times New Roman"/>
          <w:kern w:val="0"/>
          <w:szCs w:val="21"/>
        </w:rPr>
        <w:t>的战略定位。该事项尚需相关部门批准，存在不确定性，敬请投资者注意投资风险。</w:t>
      </w:r>
    </w:p>
    <w:bookmarkEnd w:id="20"/>
    <w:bookmarkEnd w:id="21"/>
    <w:bookmarkEnd w:id="22"/>
    <w:bookmarkEnd w:id="23"/>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主要财务数据同比变动情况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rsidTr="00AD5B15">
        <w:trPr>
          <w:trHeight w:val="240"/>
          <w:tblHeader/>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上年同期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同比增减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变动原因</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145,629,526.57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E1775">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主要系报告期内新能源电站销售收入增加所致。</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营业成本</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101,465,019.80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68.08%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主要系收入增加成本同步增加所致。</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销售费用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11,075,974.74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10,179,827.29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管理费用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20,932,643.31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16,041,559.50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30.49%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主要系合并主体增加导致费用上升。</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财务费用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5,613,688.93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4,904,157.24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所得税费用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665,333.17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-811,560.39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181.98%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主要系当期母公司营业利润增加，致所得税费用较上年同期增</w:t>
            </w:r>
            <w:r w:rsidRPr="00672DC8">
              <w:rPr>
                <w:rFonts w:ascii="Times New Roman" w:eastAsia="宋体" w:hAnsi="Times New Roman" w:cs="Times New Roman"/>
                <w:sz w:val="18"/>
                <w:szCs w:val="18"/>
              </w:rPr>
              <w:lastRenderedPageBreak/>
              <w:t>加所致。</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研发投入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7,238,443.27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8,533,733.93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-15.18%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83,769,985.35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-16,382,921.61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611.33%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主要系报告期内公司加大对应收账款的催收力度，重视回款等现金流管理，项目回款较上年同期有所增加所致。</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-27,462,146.46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-326,265,116.92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91.58%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主要系报告期内投资算力项目及建造新能源电力项目较上年同期有所减少。</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3,357,515.17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275,828,338.86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-98.78%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主要系报告期内算力服务项目融资款较上年同期有所减少。</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现金及现金等价物净增加额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59,552,166.54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-66,836,618.56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189.10%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主要系报告期内公司重视回款等现金流管理，经营活动现金流增加所致。</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公司报告期利润构成或利润来源发生重大变动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公司报告期利润构成或利润来源没有发生重大变动。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占比</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以上的产品或服务情况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6"/>
        <w:gridCol w:w="1376"/>
        <w:gridCol w:w="1375"/>
        <w:gridCol w:w="1375"/>
        <w:gridCol w:w="1375"/>
        <w:gridCol w:w="1375"/>
        <w:gridCol w:w="1379"/>
      </w:tblGrid>
      <w:tr w:rsidR="003D2BA8" w:rsidRPr="00430486" w:rsidTr="00430486">
        <w:trPr>
          <w:trHeight w:val="240"/>
          <w:tblHeader/>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3D2BA8">
            <w:pPr>
              <w:rPr>
                <w:rFonts w:ascii="Times New Roman" w:hAnsi="Times New Roman" w:cs="Times New Roman"/>
              </w:rPr>
            </w:pP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营业收入</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营业成本</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毛利率</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营业收入比上年同期增减</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营业成本比上年同期增减</w:t>
            </w:r>
          </w:p>
        </w:tc>
        <w:tc>
          <w:tcPr>
            <w:tcW w:w="71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jc w:val="center"/>
              <w:rPr>
                <w:rFonts w:ascii="Times New Roman" w:eastAsia="宋体" w:hAnsi="Times New Roman" w:cs="Times New Roman"/>
                <w:sz w:val="18"/>
                <w:szCs w:val="18"/>
              </w:rPr>
            </w:pPr>
            <w:r w:rsidRPr="00430486">
              <w:rPr>
                <w:rFonts w:ascii="Times New Roman" w:eastAsia="宋体" w:hAnsi="Times New Roman" w:cs="Times New Roman"/>
                <w:sz w:val="18"/>
                <w:szCs w:val="18"/>
              </w:rPr>
              <w:t>毛利率比上年同期增减</w:t>
            </w:r>
          </w:p>
        </w:tc>
      </w:tr>
      <w:tr w:rsidR="003D2BA8" w:rsidRPr="00430486" w:rsidTr="00AD5B15">
        <w:trPr>
          <w:trHeight w:val="240"/>
        </w:trPr>
        <w:tc>
          <w:tcPr>
            <w:tcW w:w="5000" w:type="pct"/>
            <w:gridSpan w:val="7"/>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430486" w:rsidRDefault="000C0769">
            <w:pPr>
              <w:spacing w:before="40" w:after="40" w:line="240" w:lineRule="exact"/>
              <w:rPr>
                <w:rFonts w:ascii="Times New Roman" w:eastAsia="宋体" w:hAnsi="Times New Roman" w:cs="Times New Roman"/>
                <w:sz w:val="18"/>
                <w:szCs w:val="18"/>
              </w:rPr>
            </w:pPr>
            <w:r w:rsidRPr="00430486">
              <w:rPr>
                <w:rFonts w:ascii="Times New Roman" w:eastAsia="宋体" w:hAnsi="Times New Roman" w:cs="Times New Roman"/>
                <w:sz w:val="18"/>
                <w:szCs w:val="18"/>
              </w:rPr>
              <w:t>分产品或服务</w:t>
            </w:r>
          </w:p>
        </w:tc>
      </w:tr>
      <w:tr w:rsidR="00430486" w:rsidRPr="00430486" w:rsidTr="00430486">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rPr>
                <w:rFonts w:ascii="Times New Roman" w:eastAsia="宋体" w:hAnsi="Times New Roman" w:cs="Times New Roman"/>
                <w:sz w:val="18"/>
                <w:szCs w:val="18"/>
              </w:rPr>
            </w:pPr>
            <w:r w:rsidRPr="00430486">
              <w:rPr>
                <w:rFonts w:ascii="Times New Roman" w:eastAsia="宋体" w:hAnsi="Times New Roman" w:cs="Times New Roman"/>
                <w:sz w:val="18"/>
                <w:szCs w:val="18"/>
              </w:rPr>
              <w:t>数智化解决方案</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59,052,728.39</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48,461,217.63</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17.94%</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1.00%</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23.11%</w:t>
            </w:r>
          </w:p>
        </w:tc>
        <w:tc>
          <w:tcPr>
            <w:tcW w:w="716"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-14.74%</w:t>
            </w:r>
          </w:p>
        </w:tc>
      </w:tr>
      <w:tr w:rsidR="00430486" w:rsidRPr="00430486" w:rsidTr="00430486">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rPr>
                <w:rFonts w:ascii="Times New Roman" w:eastAsia="宋体" w:hAnsi="Times New Roman" w:cs="Times New Roman"/>
                <w:sz w:val="18"/>
                <w:szCs w:val="18"/>
              </w:rPr>
            </w:pPr>
            <w:r w:rsidRPr="00430486">
              <w:rPr>
                <w:rFonts w:ascii="Times New Roman" w:eastAsia="宋体" w:hAnsi="Times New Roman" w:cs="Times New Roman"/>
                <w:sz w:val="18"/>
                <w:szCs w:val="18"/>
              </w:rPr>
              <w:t>算力与信息设备销售</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35,769,834.84</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33,118,600.03</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7.41%</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-25.95%</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-23.05%</w:t>
            </w:r>
          </w:p>
        </w:tc>
        <w:tc>
          <w:tcPr>
            <w:tcW w:w="716"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-3.49%</w:t>
            </w:r>
          </w:p>
        </w:tc>
      </w:tr>
      <w:tr w:rsidR="00430486" w:rsidRPr="00430486" w:rsidTr="00430486">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rPr>
                <w:rFonts w:ascii="Times New Roman" w:eastAsia="宋体" w:hAnsi="Times New Roman" w:cs="Times New Roman"/>
                <w:sz w:val="18"/>
                <w:szCs w:val="18"/>
              </w:rPr>
            </w:pPr>
            <w:r w:rsidRPr="00430486">
              <w:rPr>
                <w:rFonts w:ascii="Times New Roman" w:eastAsia="宋体" w:hAnsi="Times New Roman" w:cs="Times New Roman"/>
                <w:sz w:val="18"/>
                <w:szCs w:val="18"/>
              </w:rPr>
              <w:t>算力服务</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36,090,375.84</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18,811,210.94</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47.88%</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20.00%</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16.88%</w:t>
            </w:r>
          </w:p>
        </w:tc>
        <w:tc>
          <w:tcPr>
            <w:tcW w:w="716" w:type="pct"/>
            <w:tcBorders>
              <w:top w:val="single" w:sz="2" w:space="0" w:color="auto"/>
              <w:left w:val="single" w:sz="2" w:space="0" w:color="auto"/>
              <w:bottom w:val="single" w:sz="2" w:space="0" w:color="auto"/>
              <w:right w:val="single" w:sz="2" w:space="0" w:color="auto"/>
            </w:tcBorders>
            <w:vAlign w:val="center"/>
          </w:tcPr>
          <w:p w:rsidR="00430486" w:rsidRPr="00430486"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1.40%</w:t>
            </w:r>
          </w:p>
        </w:tc>
      </w:tr>
      <w:tr w:rsidR="00430486" w:rsidRPr="00430486" w:rsidTr="00430486">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rPr>
                <w:rFonts w:ascii="Times New Roman" w:eastAsia="宋体" w:hAnsi="Times New Roman" w:cs="Times New Roman"/>
                <w:sz w:val="18"/>
                <w:szCs w:val="18"/>
              </w:rPr>
            </w:pPr>
            <w:r w:rsidRPr="00430486">
              <w:rPr>
                <w:rFonts w:ascii="Times New Roman" w:eastAsia="宋体" w:hAnsi="Times New Roman" w:cs="Times New Roman"/>
                <w:sz w:val="18"/>
                <w:szCs w:val="18"/>
              </w:rPr>
              <w:t>新能源电力</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81,344,301.58</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70,150,281.62</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13.76%</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830.41%</w:t>
            </w:r>
          </w:p>
        </w:tc>
        <w:tc>
          <w:tcPr>
            <w:tcW w:w="714"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2,264.96%</w:t>
            </w:r>
          </w:p>
        </w:tc>
        <w:tc>
          <w:tcPr>
            <w:tcW w:w="716" w:type="pct"/>
            <w:tcBorders>
              <w:top w:val="single" w:sz="2" w:space="0" w:color="auto"/>
              <w:left w:val="single" w:sz="2" w:space="0" w:color="auto"/>
              <w:bottom w:val="single" w:sz="2" w:space="0" w:color="auto"/>
              <w:right w:val="single" w:sz="2" w:space="0" w:color="auto"/>
            </w:tcBorders>
            <w:vAlign w:val="center"/>
          </w:tcPr>
          <w:p w:rsidR="00430486" w:rsidRPr="00430486" w:rsidDel="00FA62AA" w:rsidRDefault="00430486" w:rsidP="00430486">
            <w:pPr>
              <w:spacing w:line="240" w:lineRule="exact"/>
              <w:jc w:val="right"/>
              <w:rPr>
                <w:rFonts w:ascii="Times New Roman" w:eastAsia="宋体" w:hAnsi="Times New Roman" w:cs="Times New Roman"/>
                <w:sz w:val="18"/>
                <w:szCs w:val="18"/>
              </w:rPr>
            </w:pPr>
            <w:r w:rsidRPr="00430486">
              <w:rPr>
                <w:rFonts w:ascii="Times New Roman" w:eastAsia="宋体" w:hAnsi="Times New Roman" w:cs="Times New Roman"/>
                <w:sz w:val="18"/>
                <w:szCs w:val="18"/>
              </w:rPr>
              <w:t>-52.31%</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公司需遵守《深圳证券交易所上市公司自律监管指引第</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行业信息披露》中的</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软件与信息技术服务业</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的披露要求：</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占公司营业收入或营业利润</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以上的行业情况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2"/>
        <w:gridCol w:w="1389"/>
        <w:gridCol w:w="1387"/>
        <w:gridCol w:w="1371"/>
        <w:gridCol w:w="1371"/>
        <w:gridCol w:w="1371"/>
        <w:gridCol w:w="1370"/>
      </w:tblGrid>
      <w:tr w:rsidR="003D2BA8" w:rsidRPr="00B445EA" w:rsidTr="00DE55AC">
        <w:trPr>
          <w:trHeight w:val="240"/>
          <w:tblHeader/>
        </w:trPr>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3D2BA8">
            <w:pPr>
              <w:rPr>
                <w:rFonts w:ascii="Times New Roman" w:hAnsi="Times New Roman" w:cs="Times New Roman"/>
              </w:rPr>
            </w:pPr>
          </w:p>
        </w:tc>
        <w:tc>
          <w:tcPr>
            <w:tcW w:w="72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营业收入</w:t>
            </w:r>
          </w:p>
        </w:tc>
        <w:tc>
          <w:tcPr>
            <w:tcW w:w="7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营业成本</w:t>
            </w:r>
          </w:p>
        </w:tc>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毛利率</w:t>
            </w:r>
          </w:p>
        </w:tc>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营业收入比上年同期增减</w:t>
            </w:r>
          </w:p>
        </w:tc>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营业成本比上年同期增减</w:t>
            </w:r>
          </w:p>
        </w:tc>
        <w:tc>
          <w:tcPr>
            <w:tcW w:w="71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jc w:val="center"/>
              <w:rPr>
                <w:rFonts w:ascii="Times New Roman" w:eastAsia="宋体" w:hAnsi="Times New Roman" w:cs="Times New Roman"/>
                <w:sz w:val="18"/>
                <w:szCs w:val="18"/>
              </w:rPr>
            </w:pPr>
            <w:r w:rsidRPr="00B445EA">
              <w:rPr>
                <w:rFonts w:ascii="Times New Roman" w:eastAsia="宋体" w:hAnsi="Times New Roman" w:cs="Times New Roman"/>
                <w:sz w:val="18"/>
                <w:szCs w:val="18"/>
              </w:rPr>
              <w:t>毛利率比上年同期增减</w:t>
            </w:r>
          </w:p>
        </w:tc>
      </w:tr>
      <w:tr w:rsidR="003D2BA8" w:rsidRPr="00B445EA" w:rsidTr="00AD5B15">
        <w:trPr>
          <w:trHeight w:val="240"/>
        </w:trPr>
        <w:tc>
          <w:tcPr>
            <w:tcW w:w="5000" w:type="pct"/>
            <w:gridSpan w:val="7"/>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B445EA" w:rsidRDefault="000C0769">
            <w:pPr>
              <w:spacing w:before="40" w:after="40"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分客户所处行业</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行业数智化</w:t>
            </w:r>
            <w:bookmarkStart w:id="26" w:name="OLE_LINK6"/>
            <w:bookmarkStart w:id="27" w:name="OLE_LINK7"/>
            <w:r w:rsidR="00F9178A" w:rsidRPr="00B445EA">
              <w:rPr>
                <w:rFonts w:ascii="Times New Roman" w:eastAsia="宋体" w:hAnsi="Times New Roman" w:cs="Times New Roman"/>
                <w:sz w:val="18"/>
                <w:szCs w:val="18"/>
              </w:rPr>
              <w:t>（注</w:t>
            </w:r>
            <w:r w:rsidR="00F9178A" w:rsidRPr="00B445EA">
              <w:rPr>
                <w:rFonts w:ascii="Times New Roman" w:eastAsia="宋体" w:hAnsi="Times New Roman" w:cs="Times New Roman"/>
                <w:sz w:val="18"/>
                <w:szCs w:val="18"/>
              </w:rPr>
              <w:t>1</w:t>
            </w:r>
            <w:r w:rsidR="00F9178A" w:rsidRPr="00B445EA">
              <w:rPr>
                <w:rFonts w:ascii="Times New Roman" w:eastAsia="宋体" w:hAnsi="Times New Roman" w:cs="Times New Roman"/>
                <w:sz w:val="18"/>
                <w:szCs w:val="18"/>
              </w:rPr>
              <w:t>）</w:t>
            </w:r>
            <w:bookmarkEnd w:id="26"/>
            <w:bookmarkEnd w:id="27"/>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94,822,563.23</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81,579,817.66</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13.97%</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-11.19%</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-1.00%</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-8.85%</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算力服务</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36,090,375.84</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18,811,210.94</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47.88%</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20.00%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16.88%</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1.40%</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新能源电力</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81,344,301.58</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70,150,281.62</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13.76%</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830.41%</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2,264.96%</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-52.31%</w:t>
            </w:r>
          </w:p>
        </w:tc>
      </w:tr>
      <w:tr w:rsidR="00DF4353" w:rsidRPr="00B445EA" w:rsidTr="00AD5B15">
        <w:trPr>
          <w:trHeight w:val="240"/>
        </w:trPr>
        <w:tc>
          <w:tcPr>
            <w:tcW w:w="5000" w:type="pct"/>
            <w:gridSpan w:val="7"/>
            <w:tcBorders>
              <w:top w:val="single" w:sz="2" w:space="0" w:color="auto"/>
              <w:left w:val="single" w:sz="2" w:space="0" w:color="auto"/>
              <w:bottom w:val="single" w:sz="2" w:space="0" w:color="auto"/>
              <w:right w:val="single" w:sz="2" w:space="0" w:color="auto"/>
            </w:tcBorders>
            <w:shd w:val="clear" w:color="auto" w:fill="D3D3D3"/>
            <w:vAlign w:val="center"/>
          </w:tcPr>
          <w:p w:rsidR="00DF4353" w:rsidRPr="00B445EA" w:rsidRDefault="00DF4353" w:rsidP="00DF4353">
            <w:pPr>
              <w:spacing w:before="40" w:after="40"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分产品</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F9178A">
            <w:pPr>
              <w:spacing w:line="240" w:lineRule="exact"/>
              <w:rPr>
                <w:rFonts w:ascii="Times New Roman" w:eastAsia="宋体" w:hAnsi="Times New Roman" w:cs="Times New Roman"/>
                <w:sz w:val="18"/>
                <w:szCs w:val="18"/>
              </w:rPr>
            </w:pPr>
            <w:bookmarkStart w:id="28" w:name="_Hlk238763109"/>
            <w:r w:rsidRPr="00B445EA">
              <w:rPr>
                <w:rFonts w:ascii="Times New Roman" w:eastAsia="宋体" w:hAnsi="Times New Roman" w:cs="Times New Roman"/>
                <w:sz w:val="18"/>
                <w:szCs w:val="18"/>
              </w:rPr>
              <w:t>数智化解决方案</w:t>
            </w:r>
            <w:r w:rsidR="00F9178A" w:rsidRPr="00B445EA">
              <w:rPr>
                <w:rFonts w:ascii="Times New Roman" w:eastAsia="宋体" w:hAnsi="Times New Roman" w:cs="Times New Roman"/>
                <w:sz w:val="18"/>
                <w:szCs w:val="18"/>
              </w:rPr>
              <w:t>（注</w:t>
            </w:r>
            <w:r w:rsidR="00F9178A" w:rsidRPr="00B445EA">
              <w:rPr>
                <w:rFonts w:ascii="Times New Roman" w:eastAsia="宋体" w:hAnsi="Times New Roman" w:cs="Times New Roman"/>
                <w:sz w:val="18"/>
                <w:szCs w:val="18"/>
              </w:rPr>
              <w:t>2</w:t>
            </w:r>
            <w:r w:rsidR="00F9178A" w:rsidRPr="00B445EA">
              <w:rPr>
                <w:rFonts w:ascii="Times New Roman" w:eastAsia="宋体" w:hAnsi="Times New Roman" w:cs="Times New Roman"/>
                <w:sz w:val="18"/>
                <w:szCs w:val="18"/>
              </w:rPr>
              <w:t>）</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59,052,728.39</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48,461,217.63</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17.94%</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1.00%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23.11%</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-14.74%</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lastRenderedPageBreak/>
              <w:t>算力与信息设备销售</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35,769,834.84</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33,118,600.03</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7.41%</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-25.95%</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-23.05%</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-3.49%</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算力服务</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36,090,375.84</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18,811,210.94</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47.88%</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20.00%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16.88%</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1.40%</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新能源电力</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81,344,301.58</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70,150,281.62</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13.76%</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830.41%</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2,264.96%</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Del="002923C4"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-52.31%</w:t>
            </w:r>
          </w:p>
        </w:tc>
      </w:tr>
      <w:bookmarkEnd w:id="28"/>
      <w:tr w:rsidR="00DF4353" w:rsidRPr="00B445EA" w:rsidTr="00AD5B15">
        <w:trPr>
          <w:trHeight w:val="240"/>
        </w:trPr>
        <w:tc>
          <w:tcPr>
            <w:tcW w:w="5000" w:type="pct"/>
            <w:gridSpan w:val="7"/>
            <w:tcBorders>
              <w:top w:val="single" w:sz="2" w:space="0" w:color="auto"/>
              <w:left w:val="single" w:sz="2" w:space="0" w:color="auto"/>
              <w:bottom w:val="single" w:sz="2" w:space="0" w:color="auto"/>
              <w:right w:val="single" w:sz="2" w:space="0" w:color="auto"/>
            </w:tcBorders>
            <w:shd w:val="clear" w:color="auto" w:fill="D3D3D3"/>
            <w:vAlign w:val="center"/>
          </w:tcPr>
          <w:p w:rsidR="00DF4353" w:rsidRPr="00B445EA" w:rsidRDefault="00DF4353" w:rsidP="00DF4353">
            <w:pPr>
              <w:spacing w:before="40" w:after="40"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分地区</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华南</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192,894,581.03</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156,108,585.60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19.07%</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48.12%</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67.87%</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-9.52%</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华中</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5,182,218.23</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2,938,850.51</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43.29%</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8.03%</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140.76%</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-31.27%</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华东</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3,665,912.20</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2,051,657.17</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44.03%</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20.90%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51.46%</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-11.30%</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华北</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6,631,549.97</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5,645,840.84</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14.86%</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305.00%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864.67%</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-49.40%</w:t>
            </w:r>
          </w:p>
        </w:tc>
      </w:tr>
      <w:tr w:rsidR="00DF4353" w:rsidRPr="00B445EA" w:rsidTr="00DE55AC">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rPr>
                <w:rFonts w:ascii="Times New Roman" w:eastAsia="宋体" w:hAnsi="Times New Roman" w:cs="Times New Roman"/>
                <w:sz w:val="18"/>
                <w:szCs w:val="18"/>
              </w:rPr>
            </w:pPr>
            <w:r w:rsidRPr="00B445EA">
              <w:rPr>
                <w:rFonts w:ascii="Times New Roman" w:eastAsia="宋体" w:hAnsi="Times New Roman" w:cs="Times New Roman"/>
                <w:sz w:val="18"/>
                <w:szCs w:val="18"/>
              </w:rPr>
              <w:t>西南</w:t>
            </w:r>
          </w:p>
        </w:tc>
        <w:tc>
          <w:tcPr>
            <w:tcW w:w="72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4,151,118.29</w:t>
            </w:r>
          </w:p>
        </w:tc>
        <w:tc>
          <w:tcPr>
            <w:tcW w:w="720"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3,796,376.10</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8.55%</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-30.04%</w:t>
            </w:r>
          </w:p>
        </w:tc>
        <w:tc>
          <w:tcPr>
            <w:tcW w:w="712"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-28.54%</w:t>
            </w:r>
          </w:p>
        </w:tc>
        <w:tc>
          <w:tcPr>
            <w:tcW w:w="711" w:type="pct"/>
            <w:tcBorders>
              <w:top w:val="single" w:sz="2" w:space="0" w:color="auto"/>
              <w:left w:val="single" w:sz="2" w:space="0" w:color="auto"/>
              <w:bottom w:val="single" w:sz="2" w:space="0" w:color="auto"/>
              <w:right w:val="single" w:sz="2" w:space="0" w:color="auto"/>
            </w:tcBorders>
            <w:vAlign w:val="center"/>
          </w:tcPr>
          <w:p w:rsidR="00DF4353" w:rsidRPr="00B445EA" w:rsidRDefault="00DF4353" w:rsidP="00DF4353">
            <w:pPr>
              <w:spacing w:line="240" w:lineRule="exact"/>
              <w:jc w:val="right"/>
              <w:rPr>
                <w:rFonts w:ascii="Times New Roman" w:eastAsia="宋体" w:hAnsi="Times New Roman" w:cs="Times New Roman"/>
                <w:sz w:val="18"/>
                <w:szCs w:val="18"/>
              </w:rPr>
            </w:pPr>
            <w:r w:rsidRPr="00B445EA">
              <w:rPr>
                <w:rFonts w:ascii="Times New Roman" w:eastAsia="宋体" w:hAnsi="Times New Roman" w:cs="Times New Roman"/>
                <w:sz w:val="18"/>
                <w:szCs w:val="18"/>
              </w:rPr>
              <w:t>-1.91%</w:t>
            </w:r>
          </w:p>
        </w:tc>
      </w:tr>
    </w:tbl>
    <w:p w:rsidR="001E5A5C" w:rsidRPr="00DE55AC" w:rsidRDefault="001E5A5C" w:rsidP="001E5A5C">
      <w:pPr>
        <w:spacing w:before="100" w:after="100" w:line="240" w:lineRule="exact"/>
        <w:rPr>
          <w:rFonts w:ascii="Times New Roman" w:eastAsia="宋体" w:hAnsi="Times New Roman" w:cs="Times New Roman"/>
          <w:sz w:val="18"/>
          <w:szCs w:val="18"/>
        </w:rPr>
      </w:pPr>
      <w:r w:rsidRPr="00DE55AC">
        <w:rPr>
          <w:rFonts w:ascii="Times New Roman" w:eastAsia="宋体" w:hAnsi="Times New Roman" w:cs="Times New Roman" w:hint="eastAsia"/>
          <w:sz w:val="18"/>
          <w:szCs w:val="18"/>
        </w:rPr>
        <w:t>注</w:t>
      </w:r>
      <w:r>
        <w:rPr>
          <w:rFonts w:ascii="Times New Roman" w:eastAsia="宋体" w:hAnsi="Times New Roman" w:cs="Times New Roman"/>
          <w:sz w:val="18"/>
          <w:szCs w:val="18"/>
        </w:rPr>
        <w:t>1</w:t>
      </w:r>
      <w:r w:rsidRPr="00DE55AC">
        <w:rPr>
          <w:rFonts w:ascii="Times New Roman" w:eastAsia="宋体" w:hAnsi="Times New Roman" w:cs="Times New Roman" w:hint="eastAsia"/>
          <w:sz w:val="18"/>
          <w:szCs w:val="18"/>
        </w:rPr>
        <w:t>：行业数智化包含</w:t>
      </w:r>
      <w:bookmarkStart w:id="29" w:name="OLE_LINK8"/>
      <w:bookmarkStart w:id="30" w:name="OLE_LINK9"/>
      <w:r w:rsidR="00DC606D">
        <w:rPr>
          <w:rFonts w:ascii="Times New Roman" w:eastAsia="宋体" w:hAnsi="Times New Roman" w:cs="Times New Roman" w:hint="eastAsia"/>
          <w:sz w:val="18"/>
          <w:szCs w:val="18"/>
        </w:rPr>
        <w:t>原</w:t>
      </w:r>
      <w:bookmarkEnd w:id="29"/>
      <w:bookmarkEnd w:id="30"/>
      <w:r w:rsidRPr="00DE55AC">
        <w:rPr>
          <w:rFonts w:ascii="Times New Roman" w:eastAsia="宋体" w:hAnsi="Times New Roman" w:cs="Times New Roman" w:hint="eastAsia"/>
          <w:sz w:val="18"/>
          <w:szCs w:val="18"/>
        </w:rPr>
        <w:t>智慧政务、智慧教育、智慧医疗、智慧企业、轨道交通等行业</w:t>
      </w:r>
      <w:r>
        <w:rPr>
          <w:rFonts w:ascii="Times New Roman" w:eastAsia="宋体" w:hAnsi="Times New Roman" w:cs="Times New Roman" w:hint="eastAsia"/>
          <w:sz w:val="18"/>
          <w:szCs w:val="18"/>
        </w:rPr>
        <w:t>。</w:t>
      </w:r>
    </w:p>
    <w:p w:rsidR="00DE55AC" w:rsidRPr="00DE55AC" w:rsidRDefault="00DE55AC" w:rsidP="00DE55AC">
      <w:pPr>
        <w:spacing w:before="100" w:after="100" w:line="240" w:lineRule="exact"/>
        <w:rPr>
          <w:rFonts w:ascii="Times New Roman" w:eastAsia="宋体" w:hAnsi="Times New Roman" w:cs="Times New Roman"/>
          <w:sz w:val="18"/>
          <w:szCs w:val="18"/>
        </w:rPr>
      </w:pPr>
      <w:r w:rsidRPr="00DE55AC">
        <w:rPr>
          <w:rFonts w:ascii="Times New Roman" w:eastAsia="宋体" w:hAnsi="Times New Roman" w:cs="Times New Roman" w:hint="eastAsia"/>
          <w:sz w:val="18"/>
          <w:szCs w:val="18"/>
        </w:rPr>
        <w:t>注</w:t>
      </w:r>
      <w:r w:rsidR="001E5A5C">
        <w:rPr>
          <w:rFonts w:ascii="Times New Roman" w:eastAsia="宋体" w:hAnsi="Times New Roman" w:cs="Times New Roman"/>
          <w:sz w:val="18"/>
          <w:szCs w:val="18"/>
        </w:rPr>
        <w:t>2</w:t>
      </w:r>
      <w:r w:rsidRPr="00DE55AC">
        <w:rPr>
          <w:rFonts w:ascii="Times New Roman" w:eastAsia="宋体" w:hAnsi="Times New Roman" w:cs="Times New Roman" w:hint="eastAsia"/>
          <w:sz w:val="18"/>
          <w:szCs w:val="18"/>
        </w:rPr>
        <w:t>：数智化解决方案包含</w:t>
      </w:r>
      <w:r w:rsidR="00954567">
        <w:rPr>
          <w:rFonts w:ascii="Times New Roman" w:eastAsia="宋体" w:hAnsi="Times New Roman" w:cs="Times New Roman" w:hint="eastAsia"/>
          <w:sz w:val="18"/>
          <w:szCs w:val="18"/>
        </w:rPr>
        <w:t>原</w:t>
      </w:r>
      <w:r w:rsidRPr="00DE55AC">
        <w:rPr>
          <w:rFonts w:ascii="Times New Roman" w:eastAsia="宋体" w:hAnsi="Times New Roman" w:cs="Times New Roman" w:hint="eastAsia"/>
          <w:sz w:val="18"/>
          <w:szCs w:val="18"/>
        </w:rPr>
        <w:t>信息系统集成服务、信息系统运维服务、软件开发及技术服务。</w:t>
      </w:r>
    </w:p>
    <w:p w:rsidR="00DE55AC" w:rsidRPr="00DE55AC" w:rsidRDefault="00DE55AC">
      <w:pPr>
        <w:spacing w:before="100" w:after="100" w:line="240" w:lineRule="exact"/>
        <w:rPr>
          <w:rFonts w:ascii="Times New Roman" w:eastAsia="宋体" w:hAnsi="Times New Roman" w:cs="Times New Roman"/>
          <w:sz w:val="18"/>
          <w:szCs w:val="18"/>
        </w:rPr>
      </w:pP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主营业务成本构成</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7"/>
        <w:gridCol w:w="1606"/>
        <w:gridCol w:w="1607"/>
        <w:gridCol w:w="1606"/>
        <w:gridCol w:w="1607"/>
        <w:gridCol w:w="1606"/>
      </w:tblGrid>
      <w:tr w:rsidR="003D2BA8" w:rsidRPr="00672DC8">
        <w:trPr>
          <w:trHeight w:val="240"/>
        </w:trPr>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成本构成</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上年同期</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同比增减</w:t>
            </w:r>
          </w:p>
        </w:tc>
      </w:tr>
      <w:tr w:rsidR="003D2BA8" w:rsidRPr="00672DC8">
        <w:trPr>
          <w:trHeight w:val="240"/>
        </w:trPr>
        <w:tc>
          <w:tcPr>
            <w:tcW w:w="1606"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占营业成本比重</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占营业成本比重</w:t>
            </w: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直接材料</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126,801,152.13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74.35%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64,774,857.49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63.84%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95.76%</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直接人工</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4,280,348.09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5,179,472.22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-17.36%</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劳务及服务</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16,533,968.30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12,829,616.71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28.87%</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其他费用</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22,925,841.70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18,681,073.38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22.72%</w:t>
            </w:r>
          </w:p>
        </w:tc>
      </w:tr>
    </w:tbl>
    <w:p w:rsidR="003D2BA8" w:rsidRPr="00672DC8" w:rsidRDefault="000C0769">
      <w:pPr>
        <w:spacing w:before="10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相关数据同比发生变动</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以上的原因说明</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0E1775" w:rsidRDefault="000E1775" w:rsidP="000E1775">
      <w:pPr>
        <w:pStyle w:val="a3"/>
        <w:rPr>
          <w:sz w:val="18"/>
          <w:szCs w:val="18"/>
        </w:rPr>
      </w:pPr>
      <w:bookmarkStart w:id="31" w:name="_Toc988907"/>
      <w:r>
        <w:rPr>
          <w:rFonts w:hint="eastAsia"/>
          <w:sz w:val="18"/>
          <w:szCs w:val="18"/>
        </w:rPr>
        <w:t>报告期内直接材料同比增加95.76%，主要系主营收入增加，营业成本随之增加。</w:t>
      </w:r>
    </w:p>
    <w:p w:rsidR="003D2BA8" w:rsidRPr="00672DC8" w:rsidRDefault="000C0769">
      <w:pPr>
        <w:pStyle w:val="2"/>
        <w:spacing w:before="300" w:after="300" w:line="320" w:lineRule="exact"/>
        <w:rPr>
          <w:rFonts w:ascii="Times New Roman" w:eastAsia="宋体" w:hAnsi="Times New Roman" w:cs="Times New Roman"/>
          <w:b/>
          <w:bCs/>
          <w:sz w:val="24"/>
          <w:szCs w:val="24"/>
        </w:rPr>
      </w:pPr>
      <w:r w:rsidRPr="00672DC8">
        <w:rPr>
          <w:rFonts w:ascii="Times New Roman" w:eastAsia="宋体" w:hAnsi="Times New Roman" w:cs="Times New Roman"/>
          <w:b/>
          <w:bCs/>
          <w:sz w:val="24"/>
          <w:szCs w:val="24"/>
        </w:rPr>
        <w:t>四、非主营业务分析</w:t>
      </w:r>
      <w:bookmarkEnd w:id="3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占利润总额比例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形成原因说明</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是否具有可持续性</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资产减值</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-427,567.82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营业外收入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营业外支出</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984,076.56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53.26%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公益性支出</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32" w:name="_Toc988908"/>
      <w:r w:rsidRPr="00672DC8">
        <w:rPr>
          <w:rFonts w:ascii="Times New Roman" w:eastAsia="宋体" w:hAnsi="Times New Roman" w:cs="Times New Roman"/>
          <w:b/>
          <w:bCs/>
          <w:sz w:val="24"/>
          <w:szCs w:val="24"/>
        </w:rPr>
        <w:t>五、资产及负债状况分析</w:t>
      </w:r>
      <w:bookmarkEnd w:id="32"/>
    </w:p>
    <w:p w:rsidR="003D2BA8" w:rsidRPr="00672DC8" w:rsidRDefault="000C0769">
      <w:pPr>
        <w:pStyle w:val="3"/>
        <w:spacing w:line="280" w:lineRule="exact"/>
        <w:jc w:val="left"/>
        <w:rPr>
          <w:rFonts w:ascii="Times New Roman" w:hAnsi="Times New Roman" w:cs="Times New Roman"/>
          <w:b/>
          <w:bCs/>
        </w:rPr>
      </w:pPr>
      <w:bookmarkStart w:id="33" w:name="_Toc988909"/>
      <w:r w:rsidRPr="00672DC8">
        <w:rPr>
          <w:rFonts w:ascii="Times New Roman" w:hAnsi="Times New Roman" w:cs="Times New Roman"/>
          <w:b/>
          <w:bCs/>
        </w:rPr>
        <w:t>1</w:t>
      </w:r>
      <w:r w:rsidRPr="00672DC8">
        <w:rPr>
          <w:rFonts w:ascii="Times New Roman" w:hAnsi="Times New Roman" w:cs="Times New Roman"/>
          <w:b/>
          <w:bCs/>
        </w:rPr>
        <w:t>、资产构成重大变动情况</w:t>
      </w:r>
      <w:bookmarkEnd w:id="3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6"/>
        <w:gridCol w:w="1376"/>
        <w:gridCol w:w="1377"/>
        <w:gridCol w:w="1375"/>
        <w:gridCol w:w="1377"/>
        <w:gridCol w:w="1375"/>
        <w:gridCol w:w="1375"/>
      </w:tblGrid>
      <w:tr w:rsidR="003D2BA8" w:rsidRPr="00672DC8" w:rsidTr="007001FE">
        <w:trPr>
          <w:trHeight w:val="240"/>
          <w:tblHeader/>
        </w:trPr>
        <w:tc>
          <w:tcPr>
            <w:tcW w:w="71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429"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本报告期末</w:t>
            </w:r>
          </w:p>
        </w:tc>
        <w:tc>
          <w:tcPr>
            <w:tcW w:w="1429"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上年末</w:t>
            </w:r>
          </w:p>
        </w:tc>
        <w:tc>
          <w:tcPr>
            <w:tcW w:w="71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比重增减</w:t>
            </w:r>
          </w:p>
        </w:tc>
        <w:tc>
          <w:tcPr>
            <w:tcW w:w="71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重大变动说明</w:t>
            </w:r>
          </w:p>
        </w:tc>
      </w:tr>
      <w:tr w:rsidR="003D2BA8" w:rsidRPr="00672DC8" w:rsidTr="007001FE">
        <w:trPr>
          <w:trHeight w:val="240"/>
          <w:tblHeader/>
        </w:trPr>
        <w:tc>
          <w:tcPr>
            <w:tcW w:w="71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占总资产比例</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占总资产比例</w:t>
            </w:r>
          </w:p>
        </w:tc>
        <w:tc>
          <w:tcPr>
            <w:tcW w:w="71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1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货币资金</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367,489,644.01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25.89%</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307,384,611.49</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293,368,429.05</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20.67%</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289,612,998.20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0.64%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合同资产</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存货</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85,702,664.12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89,756,796.04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-0.17%</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425,171,636.12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29.96%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513,494,392.57</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35.52%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在建工程</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使用权资产</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9,913,089.35</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14,586,503.66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短期借款</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95,579,180.54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75,386,370.12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合同负债</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51,541,859.32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42,612,287.12</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2.95%</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0.68%</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191,589,643.18</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213,518,051.31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14.77%</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01F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租赁负债</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6,115,001.64</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11,001,175.61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0.76%</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-0.33%</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bl>
    <w:p w:rsidR="003D2BA8" w:rsidRPr="00672DC8" w:rsidRDefault="000C0769">
      <w:pPr>
        <w:pStyle w:val="3"/>
        <w:spacing w:line="280" w:lineRule="exact"/>
        <w:jc w:val="left"/>
        <w:rPr>
          <w:rFonts w:ascii="Times New Roman" w:hAnsi="Times New Roman" w:cs="Times New Roman"/>
          <w:b/>
          <w:bCs/>
        </w:rPr>
      </w:pPr>
      <w:bookmarkStart w:id="34" w:name="_Toc988910"/>
      <w:r w:rsidRPr="00672DC8">
        <w:rPr>
          <w:rFonts w:ascii="Times New Roman" w:hAnsi="Times New Roman" w:cs="Times New Roman"/>
          <w:b/>
          <w:bCs/>
        </w:rPr>
        <w:t>2</w:t>
      </w:r>
      <w:r w:rsidRPr="00672DC8">
        <w:rPr>
          <w:rFonts w:ascii="Times New Roman" w:hAnsi="Times New Roman" w:cs="Times New Roman"/>
          <w:b/>
          <w:bCs/>
        </w:rPr>
        <w:t>、主要境外资产情况</w:t>
      </w:r>
      <w:bookmarkEnd w:id="3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5" w:name="_Toc988911"/>
      <w:r w:rsidRPr="00672DC8">
        <w:rPr>
          <w:rFonts w:ascii="Times New Roman" w:hAnsi="Times New Roman" w:cs="Times New Roman"/>
          <w:b/>
          <w:bCs/>
        </w:rPr>
        <w:t>3</w:t>
      </w:r>
      <w:r w:rsidRPr="00672DC8">
        <w:rPr>
          <w:rFonts w:ascii="Times New Roman" w:hAnsi="Times New Roman" w:cs="Times New Roman"/>
          <w:b/>
          <w:bCs/>
        </w:rPr>
        <w:t>、以公允价值计量的资产和负债</w:t>
      </w:r>
      <w:bookmarkEnd w:id="3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001"/>
        <w:gridCol w:w="1266"/>
        <w:gridCol w:w="886"/>
        <w:gridCol w:w="1206"/>
        <w:gridCol w:w="1002"/>
        <w:gridCol w:w="1002"/>
        <w:gridCol w:w="1002"/>
        <w:gridCol w:w="1002"/>
        <w:gridCol w:w="1264"/>
      </w:tblGrid>
      <w:tr w:rsidR="003D2BA8" w:rsidRPr="00672DC8" w:rsidTr="00741623">
        <w:trPr>
          <w:trHeight w:val="240"/>
        </w:trPr>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658"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期初数</w:t>
            </w:r>
          </w:p>
        </w:tc>
        <w:tc>
          <w:tcPr>
            <w:tcW w:w="46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本期公允价值变动损益</w:t>
            </w:r>
          </w:p>
        </w:tc>
        <w:tc>
          <w:tcPr>
            <w:tcW w:w="62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计入权益的累计公允价值变动</w:t>
            </w:r>
          </w:p>
        </w:tc>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本期计提的减值</w:t>
            </w:r>
          </w:p>
        </w:tc>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本期购买金额</w:t>
            </w:r>
          </w:p>
        </w:tc>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本期出售金额</w:t>
            </w:r>
          </w:p>
        </w:tc>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w:t>
            </w:r>
          </w:p>
        </w:tc>
        <w:tc>
          <w:tcPr>
            <w:tcW w:w="658"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期末数</w:t>
            </w:r>
          </w:p>
        </w:tc>
      </w:tr>
      <w:tr w:rsidR="003D2BA8" w:rsidRPr="00672DC8" w:rsidTr="007001FE">
        <w:trPr>
          <w:trHeight w:val="240"/>
        </w:trPr>
        <w:tc>
          <w:tcPr>
            <w:tcW w:w="5000" w:type="pct"/>
            <w:gridSpan w:val="9"/>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金融资产</w:t>
            </w:r>
          </w:p>
        </w:tc>
      </w:tr>
      <w:tr w:rsidR="003D2BA8" w:rsidRPr="00672DC8" w:rsidTr="00741623">
        <w:trPr>
          <w:trHeight w:val="240"/>
        </w:trPr>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其他权益工具投资</w:t>
            </w: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46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r w:rsidR="003D2BA8" w:rsidRPr="00672DC8" w:rsidTr="00741623">
        <w:trPr>
          <w:trHeight w:val="240"/>
        </w:trPr>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上述合计</w:t>
            </w: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46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r w:rsidR="003D2BA8" w:rsidRPr="00672DC8" w:rsidTr="00741623">
        <w:trPr>
          <w:trHeight w:val="240"/>
        </w:trPr>
        <w:tc>
          <w:tcPr>
            <w:tcW w:w="5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金融负债</w:t>
            </w: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46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20"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5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其他变动的内容</w:t>
      </w:r>
    </w:p>
    <w:p w:rsidR="000C0769" w:rsidRPr="00672DC8" w:rsidRDefault="000C0769">
      <w:pPr>
        <w:pStyle w:val="a3"/>
        <w:divId w:val="2123839222"/>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报告期内公司主要资产计量属性是否发生重大变化</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pStyle w:val="3"/>
        <w:spacing w:line="280" w:lineRule="exact"/>
        <w:jc w:val="left"/>
        <w:rPr>
          <w:rFonts w:ascii="Times New Roman" w:hAnsi="Times New Roman" w:cs="Times New Roman"/>
          <w:b/>
          <w:bCs/>
        </w:rPr>
      </w:pPr>
      <w:bookmarkStart w:id="36" w:name="_Toc988912"/>
      <w:r w:rsidRPr="00672DC8">
        <w:rPr>
          <w:rFonts w:ascii="Times New Roman" w:hAnsi="Times New Roman" w:cs="Times New Roman"/>
          <w:b/>
          <w:bCs/>
        </w:rPr>
        <w:t>4</w:t>
      </w:r>
      <w:r w:rsidRPr="00672DC8">
        <w:rPr>
          <w:rFonts w:ascii="Times New Roman" w:hAnsi="Times New Roman" w:cs="Times New Roman"/>
          <w:b/>
          <w:bCs/>
        </w:rPr>
        <w:t>、截至报告期末的资产权利受限情况</w:t>
      </w:r>
      <w:bookmarkEnd w:id="36"/>
    </w:p>
    <w:tbl>
      <w:tblPr>
        <w:tblStyle w:val="aa"/>
        <w:tblW w:w="9660" w:type="dxa"/>
        <w:tblLook w:val="04A0" w:firstRow="1" w:lastRow="0" w:firstColumn="1" w:lastColumn="0" w:noHBand="0" w:noVBand="1"/>
      </w:tblPr>
      <w:tblGrid>
        <w:gridCol w:w="4340"/>
        <w:gridCol w:w="1740"/>
        <w:gridCol w:w="2060"/>
        <w:gridCol w:w="1520"/>
      </w:tblGrid>
      <w:tr w:rsidR="000C0769" w:rsidRPr="00672DC8" w:rsidTr="002060BA">
        <w:trPr>
          <w:divId w:val="1988245117"/>
          <w:trHeight w:val="340"/>
          <w:tblHeader/>
        </w:trPr>
        <w:tc>
          <w:tcPr>
            <w:tcW w:w="4340" w:type="dxa"/>
            <w:shd w:val="clear" w:color="auto" w:fill="BFBFBF" w:themeFill="background1" w:themeFillShade="BF"/>
            <w:noWrap/>
            <w:vAlign w:val="center"/>
            <w:hideMark/>
          </w:tcPr>
          <w:p w:rsidR="000C0769" w:rsidRPr="00672DC8" w:rsidRDefault="000C0769" w:rsidP="000C0769">
            <w:pPr>
              <w:widowControl/>
              <w:jc w:val="center"/>
              <w:rPr>
                <w:rFonts w:ascii="Times New Roman" w:eastAsia="宋体" w:hAnsi="Times New Roman" w:cs="Times New Roman"/>
                <w:bCs/>
                <w:color w:val="000000"/>
                <w:kern w:val="0"/>
                <w:sz w:val="18"/>
                <w:szCs w:val="18"/>
              </w:rPr>
            </w:pPr>
            <w:r w:rsidRPr="00672DC8">
              <w:rPr>
                <w:rFonts w:ascii="Times New Roman" w:eastAsia="宋体" w:hAnsi="Times New Roman" w:cs="Times New Roman"/>
                <w:bCs/>
                <w:color w:val="000000"/>
                <w:sz w:val="18"/>
                <w:szCs w:val="18"/>
              </w:rPr>
              <w:t>项目</w:t>
            </w:r>
          </w:p>
        </w:tc>
        <w:tc>
          <w:tcPr>
            <w:tcW w:w="1740" w:type="dxa"/>
            <w:shd w:val="clear" w:color="auto" w:fill="BFBFBF" w:themeFill="background1" w:themeFillShade="BF"/>
            <w:noWrap/>
            <w:vAlign w:val="center"/>
            <w:hideMark/>
          </w:tcPr>
          <w:p w:rsidR="000C0769" w:rsidRPr="00672DC8" w:rsidRDefault="000C0769" w:rsidP="000C0769">
            <w:pPr>
              <w:jc w:val="center"/>
              <w:rPr>
                <w:rFonts w:ascii="Times New Roman" w:eastAsia="宋体" w:hAnsi="Times New Roman" w:cs="Times New Roman"/>
                <w:bCs/>
                <w:color w:val="000000"/>
                <w:sz w:val="18"/>
                <w:szCs w:val="18"/>
              </w:rPr>
            </w:pPr>
            <w:r w:rsidRPr="00672DC8">
              <w:rPr>
                <w:rFonts w:ascii="Times New Roman" w:eastAsia="宋体" w:hAnsi="Times New Roman" w:cs="Times New Roman"/>
                <w:bCs/>
                <w:color w:val="000000"/>
                <w:sz w:val="18"/>
                <w:szCs w:val="18"/>
              </w:rPr>
              <w:t>期末账面价值（元）</w:t>
            </w:r>
          </w:p>
        </w:tc>
        <w:tc>
          <w:tcPr>
            <w:tcW w:w="2060" w:type="dxa"/>
            <w:shd w:val="clear" w:color="auto" w:fill="BFBFBF" w:themeFill="background1" w:themeFillShade="BF"/>
            <w:noWrap/>
            <w:vAlign w:val="center"/>
            <w:hideMark/>
          </w:tcPr>
          <w:p w:rsidR="000C0769" w:rsidRPr="00672DC8" w:rsidRDefault="000C0769" w:rsidP="000C0769">
            <w:pPr>
              <w:jc w:val="center"/>
              <w:rPr>
                <w:rFonts w:ascii="Times New Roman" w:eastAsia="宋体" w:hAnsi="Times New Roman" w:cs="Times New Roman"/>
                <w:bCs/>
                <w:color w:val="000000"/>
                <w:sz w:val="18"/>
                <w:szCs w:val="18"/>
              </w:rPr>
            </w:pPr>
            <w:r w:rsidRPr="00672DC8">
              <w:rPr>
                <w:rFonts w:ascii="Times New Roman" w:eastAsia="宋体" w:hAnsi="Times New Roman" w:cs="Times New Roman"/>
                <w:bCs/>
                <w:color w:val="000000"/>
                <w:sz w:val="18"/>
                <w:szCs w:val="18"/>
              </w:rPr>
              <w:t>期初账面价值（元）</w:t>
            </w:r>
          </w:p>
        </w:tc>
        <w:tc>
          <w:tcPr>
            <w:tcW w:w="1520" w:type="dxa"/>
            <w:shd w:val="clear" w:color="auto" w:fill="BFBFBF" w:themeFill="background1" w:themeFillShade="BF"/>
            <w:noWrap/>
            <w:vAlign w:val="center"/>
            <w:hideMark/>
          </w:tcPr>
          <w:p w:rsidR="000C0769" w:rsidRPr="00672DC8" w:rsidRDefault="000C0769" w:rsidP="000C0769">
            <w:pPr>
              <w:jc w:val="center"/>
              <w:rPr>
                <w:rFonts w:ascii="Times New Roman" w:eastAsia="宋体" w:hAnsi="Times New Roman" w:cs="Times New Roman"/>
                <w:bCs/>
                <w:color w:val="000000"/>
                <w:sz w:val="18"/>
                <w:szCs w:val="18"/>
              </w:rPr>
            </w:pPr>
            <w:r w:rsidRPr="00672DC8">
              <w:rPr>
                <w:rFonts w:ascii="Times New Roman" w:eastAsia="宋体" w:hAnsi="Times New Roman" w:cs="Times New Roman"/>
                <w:bCs/>
                <w:color w:val="000000"/>
                <w:sz w:val="18"/>
                <w:szCs w:val="18"/>
              </w:rPr>
              <w:t>受限原因</w:t>
            </w:r>
          </w:p>
        </w:tc>
      </w:tr>
      <w:tr w:rsidR="000C0769" w:rsidRPr="00672DC8" w:rsidTr="002060BA">
        <w:trPr>
          <w:divId w:val="1988245117"/>
          <w:trHeight w:val="340"/>
        </w:trPr>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货币资金</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859,256.43</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306,390.45</w:t>
            </w:r>
          </w:p>
        </w:tc>
        <w:tc>
          <w:tcPr>
            <w:tcW w:w="0" w:type="auto"/>
            <w:noWrap/>
            <w:vAlign w:val="center"/>
            <w:hideMark/>
          </w:tcPr>
          <w:p w:rsidR="000C0769" w:rsidRPr="00672DC8" w:rsidRDefault="000C0769" w:rsidP="005C593E">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承兑保证金</w:t>
            </w:r>
          </w:p>
        </w:tc>
      </w:tr>
      <w:tr w:rsidR="000C0769" w:rsidRPr="00672DC8" w:rsidTr="002060BA">
        <w:trPr>
          <w:divId w:val="1988245117"/>
          <w:trHeight w:val="340"/>
        </w:trPr>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固定资产</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251,542,997.90</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269,856,906.35</w:t>
            </w:r>
          </w:p>
        </w:tc>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借款抵押</w:t>
            </w:r>
          </w:p>
        </w:tc>
      </w:tr>
      <w:tr w:rsidR="000C0769" w:rsidRPr="00672DC8" w:rsidTr="002060BA">
        <w:trPr>
          <w:divId w:val="1988245117"/>
          <w:trHeight w:val="340"/>
        </w:trPr>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应收账款</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15,498,184.41</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18,123,926.90</w:t>
            </w:r>
          </w:p>
        </w:tc>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借款质押</w:t>
            </w:r>
          </w:p>
        </w:tc>
      </w:tr>
      <w:tr w:rsidR="000C0769" w:rsidRPr="00672DC8" w:rsidTr="002060BA">
        <w:trPr>
          <w:divId w:val="1988245117"/>
          <w:trHeight w:val="340"/>
        </w:trPr>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一年内到期的非流动资产</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25,228,345.94</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19,935,383.60</w:t>
            </w:r>
          </w:p>
        </w:tc>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借款质押</w:t>
            </w:r>
          </w:p>
        </w:tc>
      </w:tr>
      <w:tr w:rsidR="000C0769" w:rsidRPr="00672DC8" w:rsidTr="002060BA">
        <w:trPr>
          <w:divId w:val="1988245117"/>
          <w:trHeight w:val="340"/>
        </w:trPr>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lastRenderedPageBreak/>
              <w:t>长期应收款</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35,919,249.96</w:t>
            </w:r>
          </w:p>
        </w:tc>
        <w:tc>
          <w:tcPr>
            <w:tcW w:w="0" w:type="auto"/>
            <w:noWrap/>
            <w:vAlign w:val="center"/>
            <w:hideMark/>
          </w:tcPr>
          <w:p w:rsidR="000C0769" w:rsidRPr="00672DC8" w:rsidRDefault="000C0769" w:rsidP="002060BA">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46,102,879.70</w:t>
            </w:r>
          </w:p>
        </w:tc>
        <w:tc>
          <w:tcPr>
            <w:tcW w:w="0" w:type="auto"/>
            <w:noWrap/>
            <w:vAlign w:val="center"/>
            <w:hideMark/>
          </w:tcPr>
          <w:p w:rsidR="000C0769" w:rsidRPr="00672DC8" w:rsidRDefault="000C0769" w:rsidP="002060BA">
            <w:pPr>
              <w:jc w:val="both"/>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借款质押</w:t>
            </w:r>
          </w:p>
        </w:tc>
      </w:tr>
    </w:tbl>
    <w:p w:rsidR="003D2BA8" w:rsidRPr="00672DC8" w:rsidRDefault="000C0769" w:rsidP="00C025F8">
      <w:pPr>
        <w:pStyle w:val="a3"/>
        <w:rPr>
          <w:rFonts w:ascii="Times New Roman" w:hAnsi="Times New Roman" w:cs="Times New Roman"/>
          <w:b/>
          <w:bCs/>
        </w:rPr>
      </w:pPr>
      <w:r w:rsidRPr="00672DC8">
        <w:rPr>
          <w:rFonts w:ascii="Times New Roman" w:hAnsi="Times New Roman" w:cs="Times New Roman"/>
          <w:sz w:val="18"/>
          <w:szCs w:val="18"/>
        </w:rPr>
        <w:t> </w:t>
      </w:r>
      <w:bookmarkStart w:id="37" w:name="_Toc988913"/>
      <w:r w:rsidRPr="00672DC8">
        <w:rPr>
          <w:rFonts w:ascii="Times New Roman" w:hAnsi="Times New Roman" w:cs="Times New Roman"/>
          <w:b/>
          <w:bCs/>
        </w:rPr>
        <w:t>六、投资状况分析</w:t>
      </w:r>
      <w:bookmarkEnd w:id="37"/>
    </w:p>
    <w:p w:rsidR="003D2BA8" w:rsidRPr="00672DC8" w:rsidRDefault="000C0769">
      <w:pPr>
        <w:pStyle w:val="3"/>
        <w:spacing w:line="280" w:lineRule="exact"/>
        <w:jc w:val="left"/>
        <w:rPr>
          <w:rFonts w:ascii="Times New Roman" w:hAnsi="Times New Roman" w:cs="Times New Roman"/>
          <w:b/>
          <w:bCs/>
        </w:rPr>
      </w:pPr>
      <w:bookmarkStart w:id="38" w:name="_Toc988914"/>
      <w:r w:rsidRPr="00672DC8">
        <w:rPr>
          <w:rFonts w:ascii="Times New Roman" w:hAnsi="Times New Roman" w:cs="Times New Roman"/>
          <w:b/>
          <w:bCs/>
        </w:rPr>
        <w:t>1</w:t>
      </w:r>
      <w:r w:rsidRPr="00672DC8">
        <w:rPr>
          <w:rFonts w:ascii="Times New Roman" w:hAnsi="Times New Roman" w:cs="Times New Roman"/>
          <w:b/>
          <w:bCs/>
        </w:rPr>
        <w:t>、总体情况</w:t>
      </w:r>
      <w:bookmarkEnd w:id="3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报告期投资额（元）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上年同期投资额（元）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变动幅度</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28,118,198.46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318,652,616.92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-91.18%</w:t>
            </w:r>
          </w:p>
        </w:tc>
      </w:tr>
    </w:tbl>
    <w:p w:rsidR="003D2BA8" w:rsidRPr="00672DC8" w:rsidRDefault="000C0769">
      <w:pPr>
        <w:pStyle w:val="3"/>
        <w:spacing w:line="280" w:lineRule="exact"/>
        <w:jc w:val="left"/>
        <w:rPr>
          <w:rFonts w:ascii="Times New Roman" w:hAnsi="Times New Roman" w:cs="Times New Roman"/>
          <w:b/>
          <w:bCs/>
        </w:rPr>
      </w:pPr>
      <w:bookmarkStart w:id="39" w:name="_Toc988915"/>
      <w:r w:rsidRPr="00672DC8">
        <w:rPr>
          <w:rFonts w:ascii="Times New Roman" w:hAnsi="Times New Roman" w:cs="Times New Roman"/>
          <w:b/>
          <w:bCs/>
        </w:rPr>
        <w:t>2</w:t>
      </w:r>
      <w:r w:rsidRPr="00672DC8">
        <w:rPr>
          <w:rFonts w:ascii="Times New Roman" w:hAnsi="Times New Roman" w:cs="Times New Roman"/>
          <w:b/>
          <w:bCs/>
        </w:rPr>
        <w:t>、报告期内获取的重大的股权投资情况</w:t>
      </w:r>
      <w:bookmarkEnd w:id="3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474"/>
        <w:gridCol w:w="1148"/>
        <w:gridCol w:w="408"/>
        <w:gridCol w:w="1456"/>
        <w:gridCol w:w="861"/>
        <w:gridCol w:w="408"/>
        <w:gridCol w:w="709"/>
        <w:gridCol w:w="409"/>
        <w:gridCol w:w="409"/>
        <w:gridCol w:w="463"/>
        <w:gridCol w:w="581"/>
        <w:gridCol w:w="592"/>
        <w:gridCol w:w="409"/>
        <w:gridCol w:w="608"/>
        <w:gridCol w:w="696"/>
      </w:tblGrid>
      <w:tr w:rsidR="003D2BA8" w:rsidRPr="00672DC8" w:rsidTr="00C025F8">
        <w:trPr>
          <w:trHeight w:val="240"/>
          <w:tblHeader/>
          <w:jc w:val="center"/>
        </w:trPr>
        <w:tc>
          <w:tcPr>
            <w:tcW w:w="24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被投资公司名称</w:t>
            </w:r>
          </w:p>
        </w:tc>
        <w:tc>
          <w:tcPr>
            <w:tcW w:w="59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主要业务</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投资方式</w:t>
            </w:r>
          </w:p>
        </w:tc>
        <w:tc>
          <w:tcPr>
            <w:tcW w:w="75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投资金额</w:t>
            </w:r>
          </w:p>
        </w:tc>
        <w:tc>
          <w:tcPr>
            <w:tcW w:w="43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持股比例</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资金来源</w:t>
            </w:r>
          </w:p>
        </w:tc>
        <w:tc>
          <w:tcPr>
            <w:tcW w:w="369"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合作方</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投资期限</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产品类型</w:t>
            </w:r>
          </w:p>
        </w:tc>
        <w:tc>
          <w:tcPr>
            <w:tcW w:w="24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截至资产负债表日的进展情况</w:t>
            </w:r>
          </w:p>
        </w:tc>
        <w:tc>
          <w:tcPr>
            <w:tcW w:w="30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预计收益</w:t>
            </w:r>
          </w:p>
        </w:tc>
        <w:tc>
          <w:tcPr>
            <w:tcW w:w="308"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本期投资盈亏</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是否涉诉</w:t>
            </w:r>
          </w:p>
        </w:tc>
        <w:tc>
          <w:tcPr>
            <w:tcW w:w="31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披露日期（如有）</w:t>
            </w:r>
          </w:p>
        </w:tc>
        <w:tc>
          <w:tcPr>
            <w:tcW w:w="36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披露索引（如有）</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c>
          <w:tcPr>
            <w:tcW w:w="59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开展数据标注业务，包括图像、数据处理服务、互联网数据服务、数据处理和存储等相关数据加工服务。</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新设</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8,000,000.00</w:t>
            </w:r>
          </w:p>
        </w:tc>
        <w:tc>
          <w:tcPr>
            <w:tcW w:w="43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自有资金</w:t>
            </w:r>
          </w:p>
        </w:tc>
        <w:tc>
          <w:tcPr>
            <w:tcW w:w="369"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汕头市东海岸投资建设有限公司</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已设立</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31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05</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日</w:t>
            </w:r>
          </w:p>
        </w:tc>
        <w:tc>
          <w:tcPr>
            <w:tcW w:w="36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公告编号：</w:t>
            </w:r>
            <w:r w:rsidRPr="00672DC8">
              <w:rPr>
                <w:rFonts w:ascii="Times New Roman" w:eastAsia="宋体" w:hAnsi="Times New Roman" w:cs="Times New Roman"/>
                <w:sz w:val="18"/>
                <w:szCs w:val="18"/>
              </w:rPr>
              <w:t>2026-030</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广东天亿马数字产业有限</w:t>
            </w:r>
            <w:r w:rsidRPr="00672DC8">
              <w:rPr>
                <w:rFonts w:ascii="Times New Roman" w:eastAsia="宋体" w:hAnsi="Times New Roman" w:cs="Times New Roman"/>
                <w:sz w:val="18"/>
                <w:szCs w:val="18"/>
              </w:rPr>
              <w:lastRenderedPageBreak/>
              <w:t>公司</w:t>
            </w:r>
          </w:p>
        </w:tc>
        <w:tc>
          <w:tcPr>
            <w:tcW w:w="59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开展数字技术服务、信息系统集成服务、软件开发等服务</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增资</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80,000,000.00</w:t>
            </w:r>
          </w:p>
        </w:tc>
        <w:tc>
          <w:tcPr>
            <w:tcW w:w="43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52.94%</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自有资金</w:t>
            </w:r>
          </w:p>
        </w:tc>
        <w:tc>
          <w:tcPr>
            <w:tcW w:w="369"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广东省粤财产业科技股权投资基金合伙企业（有</w:t>
            </w:r>
            <w:r w:rsidRPr="00672DC8">
              <w:rPr>
                <w:rFonts w:ascii="Times New Roman" w:eastAsia="宋体" w:hAnsi="Times New Roman" w:cs="Times New Roman"/>
                <w:sz w:val="18"/>
                <w:szCs w:val="18"/>
              </w:rPr>
              <w:lastRenderedPageBreak/>
              <w:t>限合伙）</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不适用</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已完成变更登记</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31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05</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日</w:t>
            </w:r>
          </w:p>
        </w:tc>
        <w:tc>
          <w:tcPr>
            <w:tcW w:w="36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公告编号：</w:t>
            </w:r>
            <w:r w:rsidRPr="00672DC8">
              <w:rPr>
                <w:rFonts w:ascii="Times New Roman" w:eastAsia="宋体" w:hAnsi="Times New Roman" w:cs="Times New Roman"/>
                <w:sz w:val="18"/>
                <w:szCs w:val="18"/>
              </w:rPr>
              <w:t>2026-031</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上海天亿马人工智能科技有限公司</w:t>
            </w:r>
          </w:p>
        </w:tc>
        <w:tc>
          <w:tcPr>
            <w:tcW w:w="59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开展人工智能硬件销售、人工智能基础软件开发、人工智能应用软件开发、人工智能行业应用系统集成服务、人工智能公共数据平台、人工智能通用应用系统、人工智能双创服务平台、人工智能基础资源与技术平台等服务</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新设</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10,200,000.00</w:t>
            </w:r>
          </w:p>
        </w:tc>
        <w:tc>
          <w:tcPr>
            <w:tcW w:w="43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自有资金</w:t>
            </w:r>
          </w:p>
        </w:tc>
        <w:tc>
          <w:tcPr>
            <w:tcW w:w="369"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已设立</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31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36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广东天亿马人工智能科技有限公司</w:t>
            </w:r>
          </w:p>
        </w:tc>
        <w:tc>
          <w:tcPr>
            <w:tcW w:w="59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开展人工智能硬件销售、人工智能基础软件开发、人工智能应用软件开发、人工智能行业应用系统集成服务、人工智能公共数据平台、人工智能通用应用系统、人工智能双创服务平台、人工智能基础资源与技术平台等服务</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新设</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43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自有资金</w:t>
            </w:r>
          </w:p>
        </w:tc>
        <w:tc>
          <w:tcPr>
            <w:tcW w:w="369"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已设立</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31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36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w:t>
            </w:r>
            <w:r w:rsidRPr="00672DC8">
              <w:rPr>
                <w:rFonts w:ascii="Times New Roman" w:eastAsia="宋体" w:hAnsi="Times New Roman" w:cs="Times New Roman"/>
                <w:sz w:val="18"/>
                <w:szCs w:val="18"/>
              </w:rPr>
              <w:lastRenderedPageBreak/>
              <w:t>天亿马人工智能科技有限公司</w:t>
            </w:r>
          </w:p>
        </w:tc>
        <w:tc>
          <w:tcPr>
            <w:tcW w:w="59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开展人工智能硬件销</w:t>
            </w:r>
            <w:r w:rsidRPr="00672DC8">
              <w:rPr>
                <w:rFonts w:ascii="Times New Roman" w:eastAsia="宋体" w:hAnsi="Times New Roman" w:cs="Times New Roman"/>
                <w:sz w:val="18"/>
                <w:szCs w:val="18"/>
              </w:rPr>
              <w:lastRenderedPageBreak/>
              <w:t>售、人工智能基础软件开发、人工智能应用软件开发、人工智能行业应用系统集成服务、人工智能公共数据平台、人工智能通用应用系统、人工智能双创服务平台、人工智能基础资源与技术平台等服务</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新设</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43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自有</w:t>
            </w:r>
            <w:r w:rsidRPr="00672DC8">
              <w:rPr>
                <w:rFonts w:ascii="Times New Roman" w:eastAsia="宋体" w:hAnsi="Times New Roman" w:cs="Times New Roman"/>
                <w:sz w:val="18"/>
                <w:szCs w:val="18"/>
              </w:rPr>
              <w:lastRenderedPageBreak/>
              <w:t>资金</w:t>
            </w:r>
          </w:p>
        </w:tc>
        <w:tc>
          <w:tcPr>
            <w:tcW w:w="369"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无</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w:t>
            </w:r>
            <w:r w:rsidRPr="00672DC8">
              <w:rPr>
                <w:rFonts w:ascii="Times New Roman" w:eastAsia="宋体" w:hAnsi="Times New Roman" w:cs="Times New Roman"/>
                <w:sz w:val="18"/>
                <w:szCs w:val="18"/>
              </w:rPr>
              <w:lastRenderedPageBreak/>
              <w:t>用</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不适</w:t>
            </w:r>
            <w:r w:rsidRPr="00672DC8">
              <w:rPr>
                <w:rFonts w:ascii="Times New Roman" w:eastAsia="宋体" w:hAnsi="Times New Roman" w:cs="Times New Roman"/>
                <w:sz w:val="18"/>
                <w:szCs w:val="18"/>
              </w:rPr>
              <w:lastRenderedPageBreak/>
              <w:t>用</w:t>
            </w:r>
          </w:p>
        </w:tc>
        <w:tc>
          <w:tcPr>
            <w:tcW w:w="24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已设</w:t>
            </w:r>
            <w:r w:rsidRPr="00672DC8">
              <w:rPr>
                <w:rFonts w:ascii="Times New Roman" w:eastAsia="宋体" w:hAnsi="Times New Roman" w:cs="Times New Roman"/>
                <w:sz w:val="18"/>
                <w:szCs w:val="18"/>
              </w:rPr>
              <w:lastRenderedPageBreak/>
              <w:t>立</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31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36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C025F8">
        <w:trPr>
          <w:trHeight w:val="240"/>
          <w:jc w:val="center"/>
        </w:trPr>
        <w:tc>
          <w:tcPr>
            <w:tcW w:w="24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合计</w:t>
            </w:r>
          </w:p>
        </w:tc>
        <w:tc>
          <w:tcPr>
            <w:tcW w:w="59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757"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118,200,000.00</w:t>
            </w:r>
          </w:p>
        </w:tc>
        <w:tc>
          <w:tcPr>
            <w:tcW w:w="43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369"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24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30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30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31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36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bl>
    <w:p w:rsidR="003D2BA8" w:rsidRPr="00672DC8" w:rsidRDefault="000C0769">
      <w:pPr>
        <w:pStyle w:val="3"/>
        <w:spacing w:line="280" w:lineRule="exact"/>
        <w:jc w:val="left"/>
        <w:rPr>
          <w:rFonts w:ascii="Times New Roman" w:hAnsi="Times New Roman" w:cs="Times New Roman"/>
          <w:b/>
          <w:bCs/>
        </w:rPr>
      </w:pPr>
      <w:bookmarkStart w:id="40" w:name="_Toc988916"/>
      <w:r w:rsidRPr="00672DC8">
        <w:rPr>
          <w:rFonts w:ascii="Times New Roman" w:hAnsi="Times New Roman" w:cs="Times New Roman"/>
          <w:b/>
          <w:bCs/>
        </w:rPr>
        <w:t>3</w:t>
      </w:r>
      <w:r w:rsidRPr="00672DC8">
        <w:rPr>
          <w:rFonts w:ascii="Times New Roman" w:hAnsi="Times New Roman" w:cs="Times New Roman"/>
          <w:b/>
          <w:bCs/>
        </w:rPr>
        <w:t>、报告期内正在进行的重大的非股权投资情况</w:t>
      </w:r>
      <w:bookmarkEnd w:id="4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1" w:name="_Toc988917"/>
      <w:r w:rsidRPr="00672DC8">
        <w:rPr>
          <w:rFonts w:ascii="Times New Roman" w:hAnsi="Times New Roman" w:cs="Times New Roman"/>
          <w:b/>
          <w:bCs/>
        </w:rPr>
        <w:t>4</w:t>
      </w:r>
      <w:r w:rsidRPr="00672DC8">
        <w:rPr>
          <w:rFonts w:ascii="Times New Roman" w:hAnsi="Times New Roman" w:cs="Times New Roman"/>
          <w:b/>
          <w:bCs/>
        </w:rPr>
        <w:t>、以公允价值计量的金融资产</w:t>
      </w:r>
      <w:bookmarkEnd w:id="4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C025F8" w:rsidRPr="00672DC8" w:rsidRDefault="00C025F8">
      <w:pPr>
        <w:pStyle w:val="3"/>
        <w:spacing w:line="280" w:lineRule="exact"/>
        <w:jc w:val="left"/>
        <w:rPr>
          <w:rFonts w:ascii="Times New Roman" w:hAnsi="Times New Roman" w:cs="Times New Roman"/>
          <w:b/>
          <w:bCs/>
        </w:rPr>
        <w:sectPr w:rsidR="00C025F8" w:rsidRPr="00672DC8">
          <w:headerReference w:type="default" r:id="rId8"/>
          <w:footerReference w:type="default" r:id="rId9"/>
          <w:pgSz w:w="11905" w:h="16840"/>
          <w:pgMar w:top="1440" w:right="1134" w:bottom="1440" w:left="1134" w:header="850" w:footer="992" w:gutter="0"/>
          <w:cols w:space="720"/>
          <w:docGrid w:type="linesAndChars" w:linePitch="312"/>
        </w:sectPr>
      </w:pPr>
      <w:bookmarkStart w:id="42" w:name="_Toc988918"/>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lastRenderedPageBreak/>
        <w:t>5</w:t>
      </w:r>
      <w:r w:rsidRPr="00672DC8">
        <w:rPr>
          <w:rFonts w:ascii="Times New Roman" w:hAnsi="Times New Roman" w:cs="Times New Roman"/>
          <w:b/>
          <w:bCs/>
        </w:rPr>
        <w:t>、募集资金使用情况</w:t>
      </w:r>
      <w:bookmarkEnd w:id="4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3" w:name="_Toc98891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募集资金总体使用情况</w:t>
      </w:r>
      <w:bookmarkEnd w:id="4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单位：万元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625"/>
        <w:gridCol w:w="518"/>
        <w:gridCol w:w="727"/>
        <w:gridCol w:w="979"/>
        <w:gridCol w:w="1045"/>
        <w:gridCol w:w="639"/>
        <w:gridCol w:w="1089"/>
        <w:gridCol w:w="1191"/>
        <w:gridCol w:w="736"/>
        <w:gridCol w:w="1155"/>
        <w:gridCol w:w="1061"/>
        <w:gridCol w:w="1004"/>
        <w:gridCol w:w="2132"/>
        <w:gridCol w:w="1053"/>
      </w:tblGrid>
      <w:tr w:rsidR="003D2BA8" w:rsidRPr="00672DC8" w:rsidTr="008B0581">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募集年份</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募集方式</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证券上市日期</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募集资金净额（</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本期已使用募集资金总额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已累计使用募集资金总额（</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报告期末募集资金使用比例（</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报告期内变更用途的募集资金总额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累计变更用途的募集资金总额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累计变更用途的募集资金总额比例</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尚未使用募集资金总额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尚未使用募集资金用途及去向</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闲置两年以上募集资金金额</w:t>
            </w:r>
          </w:p>
        </w:tc>
      </w:tr>
      <w:tr w:rsidR="003D2BA8" w:rsidRPr="00672DC8" w:rsidTr="008B0581">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首次公开发行</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57,311.75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51,026.07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41,027.9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17,285.67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33.88%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9,998.17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尚未使用的募集资金依规存放于专项监管账户中，将用于承诺募投项目或将依据公司经营计划和实际需求，经董事会、股东会决议后，审慎投入使用。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6,253.71</w:t>
            </w:r>
          </w:p>
        </w:tc>
      </w:tr>
      <w:tr w:rsidR="003D2BA8" w:rsidRPr="00672DC8" w:rsidTr="008B0581">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57,311.75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51,026.07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41,027.9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17,285.67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33.88%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9,998.17</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6,253.71</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募集资金总体使用情况说明：</w:t>
      </w:r>
    </w:p>
    <w:p w:rsidR="000C0769" w:rsidRPr="00672DC8" w:rsidRDefault="000C0769">
      <w:pPr>
        <w:pStyle w:val="a3"/>
        <w:spacing w:before="156" w:beforeAutospacing="0" w:after="156" w:afterAutospacing="0" w:line="240" w:lineRule="atLeast"/>
        <w:ind w:firstLine="420"/>
        <w:jc w:val="both"/>
        <w:divId w:val="1991858491"/>
        <w:rPr>
          <w:rFonts w:ascii="Times New Roman" w:hAnsi="Times New Roman" w:cs="Times New Roman"/>
        </w:rPr>
      </w:pPr>
      <w:r w:rsidRPr="00672DC8">
        <w:rPr>
          <w:rFonts w:hint="eastAsia"/>
          <w:sz w:val="21"/>
          <w:szCs w:val="21"/>
        </w:rPr>
        <w:t>①</w:t>
      </w:r>
      <w:r w:rsidRPr="00672DC8">
        <w:rPr>
          <w:rFonts w:ascii="Times New Roman" w:hAnsi="Times New Roman" w:cs="Times New Roman"/>
          <w:sz w:val="21"/>
          <w:szCs w:val="21"/>
        </w:rPr>
        <w:t>募集资金基本情况</w:t>
      </w:r>
    </w:p>
    <w:p w:rsidR="000C0769" w:rsidRPr="00672DC8" w:rsidRDefault="000C0769">
      <w:pPr>
        <w:pStyle w:val="a3"/>
        <w:spacing w:before="156" w:beforeAutospacing="0" w:after="156" w:afterAutospacing="0" w:line="240" w:lineRule="atLeast"/>
        <w:ind w:firstLine="420"/>
        <w:jc w:val="both"/>
        <w:divId w:val="1991858491"/>
        <w:rPr>
          <w:rFonts w:ascii="Times New Roman" w:hAnsi="Times New Roman" w:cs="Times New Roman"/>
        </w:rPr>
      </w:pPr>
      <w:r w:rsidRPr="00672DC8">
        <w:rPr>
          <w:rFonts w:ascii="Times New Roman" w:hAnsi="Times New Roman" w:cs="Times New Roman"/>
          <w:sz w:val="21"/>
          <w:szCs w:val="21"/>
        </w:rPr>
        <w:t>公司于</w:t>
      </w:r>
      <w:r w:rsidRPr="00672DC8">
        <w:rPr>
          <w:rFonts w:ascii="Times New Roman" w:hAnsi="Times New Roman" w:cs="Times New Roman"/>
          <w:sz w:val="21"/>
          <w:szCs w:val="21"/>
        </w:rPr>
        <w:t>2021</w:t>
      </w:r>
      <w:r w:rsidRPr="00672DC8">
        <w:rPr>
          <w:rFonts w:ascii="Times New Roman" w:hAnsi="Times New Roman" w:cs="Times New Roman"/>
          <w:sz w:val="21"/>
          <w:szCs w:val="21"/>
        </w:rPr>
        <w:t>年</w:t>
      </w:r>
      <w:r w:rsidRPr="00672DC8">
        <w:rPr>
          <w:rFonts w:ascii="Times New Roman" w:hAnsi="Times New Roman" w:cs="Times New Roman"/>
          <w:sz w:val="21"/>
          <w:szCs w:val="21"/>
        </w:rPr>
        <w:t>11</w:t>
      </w:r>
      <w:r w:rsidRPr="00672DC8">
        <w:rPr>
          <w:rFonts w:ascii="Times New Roman" w:hAnsi="Times New Roman" w:cs="Times New Roman"/>
          <w:sz w:val="21"/>
          <w:szCs w:val="21"/>
        </w:rPr>
        <w:t>月</w:t>
      </w:r>
      <w:r w:rsidRPr="00672DC8">
        <w:rPr>
          <w:rFonts w:ascii="Times New Roman" w:hAnsi="Times New Roman" w:cs="Times New Roman"/>
          <w:sz w:val="21"/>
          <w:szCs w:val="21"/>
        </w:rPr>
        <w:t>1</w:t>
      </w:r>
      <w:r w:rsidRPr="00672DC8">
        <w:rPr>
          <w:rFonts w:ascii="Times New Roman" w:hAnsi="Times New Roman" w:cs="Times New Roman"/>
          <w:sz w:val="21"/>
          <w:szCs w:val="21"/>
        </w:rPr>
        <w:t>日采用网上定价方式公开发行人民币普通股（</w:t>
      </w:r>
      <w:r w:rsidRPr="00672DC8">
        <w:rPr>
          <w:rFonts w:ascii="Times New Roman" w:hAnsi="Times New Roman" w:cs="Times New Roman"/>
          <w:sz w:val="21"/>
          <w:szCs w:val="21"/>
        </w:rPr>
        <w:t>A</w:t>
      </w:r>
      <w:r w:rsidRPr="00672DC8">
        <w:rPr>
          <w:rFonts w:ascii="Times New Roman" w:hAnsi="Times New Roman" w:cs="Times New Roman"/>
          <w:sz w:val="21"/>
          <w:szCs w:val="21"/>
        </w:rPr>
        <w:t>股）</w:t>
      </w:r>
      <w:r w:rsidRPr="00672DC8">
        <w:rPr>
          <w:rFonts w:ascii="Times New Roman" w:hAnsi="Times New Roman" w:cs="Times New Roman"/>
          <w:sz w:val="21"/>
          <w:szCs w:val="21"/>
        </w:rPr>
        <w:t>11,778,000.00</w:t>
      </w:r>
      <w:r w:rsidRPr="00672DC8">
        <w:rPr>
          <w:rFonts w:ascii="Times New Roman" w:hAnsi="Times New Roman" w:cs="Times New Roman"/>
          <w:sz w:val="21"/>
          <w:szCs w:val="21"/>
        </w:rPr>
        <w:t>股，每股面值为人民币</w:t>
      </w:r>
      <w:r w:rsidRPr="00672DC8">
        <w:rPr>
          <w:rFonts w:ascii="Times New Roman" w:hAnsi="Times New Roman" w:cs="Times New Roman"/>
          <w:sz w:val="21"/>
          <w:szCs w:val="21"/>
        </w:rPr>
        <w:t>1</w:t>
      </w:r>
      <w:r w:rsidRPr="00672DC8">
        <w:rPr>
          <w:rFonts w:ascii="Times New Roman" w:hAnsi="Times New Roman" w:cs="Times New Roman"/>
          <w:sz w:val="21"/>
          <w:szCs w:val="21"/>
        </w:rPr>
        <w:t>元，每股发行价格为人民币</w:t>
      </w:r>
      <w:r w:rsidRPr="00672DC8">
        <w:rPr>
          <w:rFonts w:ascii="Times New Roman" w:hAnsi="Times New Roman" w:cs="Times New Roman"/>
          <w:sz w:val="21"/>
          <w:szCs w:val="21"/>
        </w:rPr>
        <w:t>48.66</w:t>
      </w:r>
      <w:r w:rsidRPr="00672DC8">
        <w:rPr>
          <w:rFonts w:ascii="Times New Roman" w:hAnsi="Times New Roman" w:cs="Times New Roman"/>
          <w:sz w:val="21"/>
          <w:szCs w:val="21"/>
        </w:rPr>
        <w:t>元，募集资金总额</w:t>
      </w:r>
      <w:r w:rsidRPr="00672DC8">
        <w:rPr>
          <w:rFonts w:ascii="Times New Roman" w:hAnsi="Times New Roman" w:cs="Times New Roman"/>
          <w:sz w:val="21"/>
          <w:szCs w:val="21"/>
        </w:rPr>
        <w:t>573,117,480.00</w:t>
      </w:r>
      <w:r w:rsidRPr="00672DC8">
        <w:rPr>
          <w:rFonts w:ascii="Times New Roman" w:hAnsi="Times New Roman" w:cs="Times New Roman"/>
          <w:sz w:val="21"/>
          <w:szCs w:val="21"/>
        </w:rPr>
        <w:t>元，实际募集资金净额</w:t>
      </w:r>
      <w:r w:rsidRPr="00672DC8">
        <w:rPr>
          <w:rFonts w:ascii="Times New Roman" w:hAnsi="Times New Roman" w:cs="Times New Roman"/>
          <w:sz w:val="21"/>
          <w:szCs w:val="21"/>
        </w:rPr>
        <w:t>510,260,652.00</w:t>
      </w:r>
      <w:r w:rsidRPr="00672DC8">
        <w:rPr>
          <w:rFonts w:ascii="Times New Roman" w:hAnsi="Times New Roman" w:cs="Times New Roman"/>
          <w:sz w:val="21"/>
          <w:szCs w:val="21"/>
        </w:rPr>
        <w:t>元。该项募集资金已于</w:t>
      </w:r>
      <w:r w:rsidRPr="00672DC8">
        <w:rPr>
          <w:rFonts w:ascii="Times New Roman" w:hAnsi="Times New Roman" w:cs="Times New Roman"/>
          <w:sz w:val="21"/>
          <w:szCs w:val="21"/>
        </w:rPr>
        <w:t>2021</w:t>
      </w:r>
      <w:r w:rsidRPr="00672DC8">
        <w:rPr>
          <w:rFonts w:ascii="Times New Roman" w:hAnsi="Times New Roman" w:cs="Times New Roman"/>
          <w:sz w:val="21"/>
          <w:szCs w:val="21"/>
        </w:rPr>
        <w:t>年</w:t>
      </w:r>
      <w:r w:rsidRPr="00672DC8">
        <w:rPr>
          <w:rFonts w:ascii="Times New Roman" w:hAnsi="Times New Roman" w:cs="Times New Roman"/>
          <w:sz w:val="21"/>
          <w:szCs w:val="21"/>
        </w:rPr>
        <w:t>11</w:t>
      </w:r>
      <w:r w:rsidRPr="00672DC8">
        <w:rPr>
          <w:rFonts w:ascii="Times New Roman" w:hAnsi="Times New Roman" w:cs="Times New Roman"/>
          <w:sz w:val="21"/>
          <w:szCs w:val="21"/>
        </w:rPr>
        <w:t>月</w:t>
      </w:r>
      <w:r w:rsidRPr="00672DC8">
        <w:rPr>
          <w:rFonts w:ascii="Times New Roman" w:hAnsi="Times New Roman" w:cs="Times New Roman"/>
          <w:sz w:val="21"/>
          <w:szCs w:val="21"/>
        </w:rPr>
        <w:t>5</w:t>
      </w:r>
      <w:r w:rsidRPr="00672DC8">
        <w:rPr>
          <w:rFonts w:ascii="Times New Roman" w:hAnsi="Times New Roman" w:cs="Times New Roman"/>
          <w:sz w:val="21"/>
          <w:szCs w:val="21"/>
        </w:rPr>
        <w:t>日存入公司募集资金专用账户，并经中审众环会计师事务所（特殊普通合伙）以众环验字（</w:t>
      </w:r>
      <w:r w:rsidRPr="00672DC8">
        <w:rPr>
          <w:rFonts w:ascii="Times New Roman" w:hAnsi="Times New Roman" w:cs="Times New Roman"/>
          <w:sz w:val="21"/>
          <w:szCs w:val="21"/>
        </w:rPr>
        <w:t>2021</w:t>
      </w:r>
      <w:r w:rsidRPr="00672DC8">
        <w:rPr>
          <w:rFonts w:ascii="Times New Roman" w:hAnsi="Times New Roman" w:cs="Times New Roman"/>
          <w:sz w:val="21"/>
          <w:szCs w:val="21"/>
        </w:rPr>
        <w:t>）</w:t>
      </w:r>
      <w:r w:rsidRPr="00672DC8">
        <w:rPr>
          <w:rFonts w:ascii="Times New Roman" w:hAnsi="Times New Roman" w:cs="Times New Roman"/>
          <w:sz w:val="21"/>
          <w:szCs w:val="21"/>
        </w:rPr>
        <w:t>0600012</w:t>
      </w:r>
      <w:r w:rsidRPr="00672DC8">
        <w:rPr>
          <w:rFonts w:ascii="Times New Roman" w:hAnsi="Times New Roman" w:cs="Times New Roman"/>
          <w:sz w:val="21"/>
          <w:szCs w:val="21"/>
        </w:rPr>
        <w:t>号《验资报告》审验。根据公司《首次公开发行股票并在创业板上市招股说明书》公司拟募集资金</w:t>
      </w:r>
      <w:r w:rsidRPr="00672DC8">
        <w:rPr>
          <w:rFonts w:ascii="Times New Roman" w:hAnsi="Times New Roman" w:cs="Times New Roman"/>
          <w:sz w:val="21"/>
          <w:szCs w:val="21"/>
        </w:rPr>
        <w:t>279,361,500.00</w:t>
      </w:r>
      <w:r w:rsidRPr="00672DC8">
        <w:rPr>
          <w:rFonts w:ascii="Times New Roman" w:hAnsi="Times New Roman" w:cs="Times New Roman"/>
          <w:sz w:val="21"/>
          <w:szCs w:val="21"/>
        </w:rPr>
        <w:t>元，本次超募资金为</w:t>
      </w:r>
      <w:r w:rsidRPr="00672DC8">
        <w:rPr>
          <w:rFonts w:ascii="Times New Roman" w:hAnsi="Times New Roman" w:cs="Times New Roman"/>
          <w:sz w:val="21"/>
          <w:szCs w:val="21"/>
        </w:rPr>
        <w:t>230,899,152.00</w:t>
      </w:r>
      <w:r w:rsidRPr="00672DC8">
        <w:rPr>
          <w:rFonts w:ascii="Times New Roman" w:hAnsi="Times New Roman" w:cs="Times New Roman"/>
          <w:sz w:val="21"/>
          <w:szCs w:val="21"/>
        </w:rPr>
        <w:t>元。</w:t>
      </w:r>
    </w:p>
    <w:p w:rsidR="000C0769" w:rsidRPr="00672DC8" w:rsidRDefault="000C0769">
      <w:pPr>
        <w:pStyle w:val="a3"/>
        <w:spacing w:before="156" w:beforeAutospacing="0" w:after="156" w:afterAutospacing="0" w:line="240" w:lineRule="atLeast"/>
        <w:ind w:firstLine="420"/>
        <w:jc w:val="both"/>
        <w:divId w:val="1991858491"/>
        <w:rPr>
          <w:rFonts w:ascii="Times New Roman" w:hAnsi="Times New Roman" w:cs="Times New Roman"/>
        </w:rPr>
      </w:pPr>
      <w:r w:rsidRPr="00672DC8">
        <w:rPr>
          <w:rFonts w:hint="eastAsia"/>
          <w:sz w:val="21"/>
          <w:szCs w:val="21"/>
        </w:rPr>
        <w:t>②</w:t>
      </w:r>
      <w:r w:rsidRPr="00672DC8">
        <w:rPr>
          <w:rFonts w:ascii="Times New Roman" w:hAnsi="Times New Roman" w:cs="Times New Roman"/>
          <w:sz w:val="21"/>
          <w:szCs w:val="21"/>
        </w:rPr>
        <w:t>报告期内使用情况</w:t>
      </w:r>
    </w:p>
    <w:p w:rsidR="000C0769" w:rsidRPr="00672DC8" w:rsidRDefault="000C0769">
      <w:pPr>
        <w:pStyle w:val="a3"/>
        <w:spacing w:before="156" w:beforeAutospacing="0" w:after="156" w:afterAutospacing="0" w:line="240" w:lineRule="atLeast"/>
        <w:ind w:firstLine="420"/>
        <w:jc w:val="both"/>
        <w:divId w:val="1991858491"/>
        <w:rPr>
          <w:rFonts w:ascii="Times New Roman" w:hAnsi="Times New Roman" w:cs="Times New Roman"/>
        </w:rPr>
      </w:pPr>
      <w:r w:rsidRPr="00672DC8">
        <w:rPr>
          <w:rFonts w:ascii="Times New Roman" w:hAnsi="Times New Roman" w:cs="Times New Roman"/>
          <w:sz w:val="21"/>
          <w:szCs w:val="21"/>
        </w:rPr>
        <w:lastRenderedPageBreak/>
        <w:t>截至</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w:t>
      </w:r>
      <w:r w:rsidRPr="00672DC8">
        <w:rPr>
          <w:rFonts w:ascii="Times New Roman" w:hAnsi="Times New Roman" w:cs="Times New Roman"/>
          <w:sz w:val="21"/>
          <w:szCs w:val="21"/>
        </w:rPr>
        <w:t>30</w:t>
      </w:r>
      <w:r w:rsidRPr="00672DC8">
        <w:rPr>
          <w:rFonts w:ascii="Times New Roman" w:hAnsi="Times New Roman" w:cs="Times New Roman"/>
          <w:sz w:val="21"/>
          <w:szCs w:val="21"/>
        </w:rPr>
        <w:t>日，公司募集资金专户余额为</w:t>
      </w:r>
      <w:r w:rsidRPr="00672DC8">
        <w:rPr>
          <w:rFonts w:ascii="Times New Roman" w:hAnsi="Times New Roman" w:cs="Times New Roman"/>
          <w:sz w:val="21"/>
          <w:szCs w:val="21"/>
        </w:rPr>
        <w:t>4,278.07</w:t>
      </w:r>
      <w:r w:rsidRPr="00672DC8">
        <w:rPr>
          <w:rFonts w:ascii="Times New Roman" w:hAnsi="Times New Roman" w:cs="Times New Roman"/>
          <w:sz w:val="21"/>
          <w:szCs w:val="21"/>
        </w:rPr>
        <w:t>万元，本年度募投项目使用金额</w:t>
      </w:r>
      <w:r w:rsidRPr="00672DC8">
        <w:rPr>
          <w:rFonts w:ascii="Times New Roman" w:hAnsi="Times New Roman" w:cs="Times New Roman"/>
          <w:sz w:val="21"/>
          <w:szCs w:val="21"/>
        </w:rPr>
        <w:t>0</w:t>
      </w:r>
      <w:r w:rsidRPr="00672DC8">
        <w:rPr>
          <w:rFonts w:ascii="Times New Roman" w:hAnsi="Times New Roman" w:cs="Times New Roman"/>
          <w:sz w:val="21"/>
          <w:szCs w:val="21"/>
        </w:rPr>
        <w:t>元，使用募集资金及超募资金进行现金管理余额为</w:t>
      </w:r>
      <w:r w:rsidRPr="00672DC8">
        <w:rPr>
          <w:rFonts w:ascii="Times New Roman" w:hAnsi="Times New Roman" w:cs="Times New Roman"/>
          <w:sz w:val="21"/>
          <w:szCs w:val="21"/>
        </w:rPr>
        <w:t>9,000</w:t>
      </w:r>
      <w:r w:rsidRPr="00672DC8">
        <w:rPr>
          <w:rFonts w:ascii="Times New Roman" w:hAnsi="Times New Roman" w:cs="Times New Roman"/>
          <w:sz w:val="21"/>
          <w:szCs w:val="21"/>
        </w:rPr>
        <w:t>万元。</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4" w:name="_Toc98892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募集资金承诺项目情况</w:t>
      </w:r>
      <w:bookmarkEnd w:id="4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单位：万元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270"/>
        <w:gridCol w:w="1033"/>
        <w:gridCol w:w="904"/>
        <w:gridCol w:w="486"/>
        <w:gridCol w:w="794"/>
        <w:gridCol w:w="1115"/>
        <w:gridCol w:w="1060"/>
        <w:gridCol w:w="605"/>
        <w:gridCol w:w="1150"/>
        <w:gridCol w:w="1135"/>
        <w:gridCol w:w="904"/>
        <w:gridCol w:w="1010"/>
        <w:gridCol w:w="1129"/>
        <w:gridCol w:w="605"/>
        <w:gridCol w:w="754"/>
      </w:tblGrid>
      <w:tr w:rsidR="003D2BA8" w:rsidRPr="00672DC8" w:rsidTr="00C0010B">
        <w:trPr>
          <w:trHeight w:val="240"/>
          <w:tblHeader/>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融资项目名称</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证券上市日期</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承诺投资项目和超募资金投向</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项目性质</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是否已变更项目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含部分变更</w:t>
            </w: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募集资金承诺投资总额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调整后投资总额</w:t>
            </w:r>
            <w:r w:rsidRPr="00672DC8">
              <w:rPr>
                <w:rFonts w:ascii="Times New Roman" w:eastAsia="宋体" w:hAnsi="Times New Roman" w:cs="Times New Roman"/>
                <w:sz w:val="18"/>
                <w:szCs w:val="18"/>
              </w:rPr>
              <w:t>(1)</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本报告期投入金额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截至期末累计投入金额</w:t>
            </w:r>
            <w:r w:rsidRPr="00672DC8">
              <w:rPr>
                <w:rFonts w:ascii="Times New Roman" w:eastAsia="宋体" w:hAnsi="Times New Roman" w:cs="Times New Roman"/>
                <w:sz w:val="18"/>
                <w:szCs w:val="18"/>
              </w:rPr>
              <w:t>(2)</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截至期末投资进度</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(2)/(1)</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项目达到预定可使用状态日期</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本报告期实现的效益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截止报告期末累计实现的效益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是否达到预计效益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项目可行性是否发生重大变化</w:t>
            </w:r>
          </w:p>
        </w:tc>
      </w:tr>
      <w:tr w:rsidR="003D2BA8" w:rsidRPr="00672DC8" w:rsidTr="00705653">
        <w:trPr>
          <w:trHeight w:val="240"/>
        </w:trPr>
        <w:tc>
          <w:tcPr>
            <w:tcW w:w="0" w:type="auto"/>
            <w:gridSpan w:val="1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承诺投资项目</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、智慧城市综合解决方案升级项目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生产建设</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12,572.7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、大数据应用技术中心建设项目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研发项目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3,763.6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、营销服务体系升级建设项目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运营管理</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1,599.85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、深圳综合运营中心项目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生产建设</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5,569.67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5,569.67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24</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w:t>
            </w:r>
            <w:r w:rsidRPr="00672DC8">
              <w:rPr>
                <w:rFonts w:ascii="Times New Roman" w:eastAsia="宋体" w:hAnsi="Times New Roman" w:cs="Times New Roman"/>
                <w:sz w:val="18"/>
                <w:szCs w:val="18"/>
              </w:rPr>
              <w:lastRenderedPageBreak/>
              <w:t>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、算力集群服</w:t>
            </w:r>
            <w:r w:rsidRPr="00672DC8">
              <w:rPr>
                <w:rFonts w:ascii="Times New Roman" w:eastAsia="宋体" w:hAnsi="Times New Roman" w:cs="Times New Roman"/>
                <w:sz w:val="18"/>
                <w:szCs w:val="18"/>
              </w:rPr>
              <w:lastRenderedPageBreak/>
              <w:t>务项目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生产</w:t>
            </w:r>
            <w:r w:rsidRPr="00672DC8">
              <w:rPr>
                <w:rFonts w:ascii="Times New Roman" w:eastAsia="宋体" w:hAnsi="Times New Roman" w:cs="Times New Roman"/>
                <w:sz w:val="18"/>
                <w:szCs w:val="18"/>
              </w:rPr>
              <w:lastRenderedPageBreak/>
              <w:t>建设</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否</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11,716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10,011.74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26</w:t>
            </w:r>
            <w:r w:rsidRPr="00672DC8">
              <w:rPr>
                <w:rFonts w:ascii="Times New Roman" w:eastAsia="宋体" w:hAnsi="Times New Roman" w:cs="Times New Roman"/>
                <w:sz w:val="18"/>
                <w:szCs w:val="18"/>
              </w:rPr>
              <w:lastRenderedPageBreak/>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1,198.98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3,160.64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、补充流动资金</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补流</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10,017.49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100.17%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705653">
        <w:trPr>
          <w:trHeight w:val="240"/>
        </w:trPr>
        <w:tc>
          <w:tcPr>
            <w:tcW w:w="0" w:type="auto"/>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承诺投资项目小计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27,936.15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27,285.67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25,598.9</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1,198.98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3,160.64</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rsidTr="00705653">
        <w:trPr>
          <w:trHeight w:val="240"/>
        </w:trPr>
        <w:tc>
          <w:tcPr>
            <w:tcW w:w="0" w:type="auto"/>
            <w:gridSpan w:val="1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超募资金投向</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、未明确流向</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5,603.22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5,603.22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705653">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年度首次公开发行证券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、深圳综合运营中心项目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生产建设</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4,186.69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4,186.69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2,129</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50.85%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24</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705653">
        <w:trPr>
          <w:trHeight w:val="240"/>
        </w:trPr>
        <w:tc>
          <w:tcPr>
            <w:tcW w:w="0" w:type="auto"/>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补充流动资金（如有）</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rsidTr="00705653">
        <w:trPr>
          <w:trHeight w:val="240"/>
        </w:trPr>
        <w:tc>
          <w:tcPr>
            <w:tcW w:w="0" w:type="auto"/>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超募资金投向小计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23,089.91</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23,089.91</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15,429</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rsidTr="00705653">
        <w:trPr>
          <w:trHeight w:val="240"/>
        </w:trPr>
        <w:tc>
          <w:tcPr>
            <w:tcW w:w="0" w:type="auto"/>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51,026.06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50,375.58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41,027.9</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1,198.98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3,160.64</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rsidTr="00705653">
        <w:trPr>
          <w:trHeight w:val="240"/>
        </w:trPr>
        <w:tc>
          <w:tcPr>
            <w:tcW w:w="0" w:type="auto"/>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分项目说明未达到计划进度、预计收益的情况和原因（含</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是否达到预计效益</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选择</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的原因）</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项目可行性发生重大变化的情况说明</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超募资金的金额、用途及使用进展情况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适用</w:t>
            </w:r>
          </w:p>
        </w:tc>
      </w:tr>
      <w:tr w:rsidR="003D2BA8" w:rsidRPr="00672DC8" w:rsidTr="00705653">
        <w:trPr>
          <w:trHeight w:val="240"/>
        </w:trPr>
        <w:tc>
          <w:tcPr>
            <w:tcW w:w="0" w:type="auto"/>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）超募资金的金额</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公司首次公开发行股票实际募集资金净额</w:t>
            </w:r>
            <w:r w:rsidRPr="00672DC8">
              <w:rPr>
                <w:rFonts w:ascii="Times New Roman" w:eastAsia="宋体" w:hAnsi="Times New Roman" w:cs="Times New Roman"/>
                <w:sz w:val="18"/>
                <w:szCs w:val="18"/>
              </w:rPr>
              <w:t>510,260,652.00</w:t>
            </w:r>
            <w:r w:rsidRPr="00672DC8">
              <w:rPr>
                <w:rFonts w:ascii="Times New Roman" w:eastAsia="宋体" w:hAnsi="Times New Roman" w:cs="Times New Roman"/>
                <w:sz w:val="18"/>
                <w:szCs w:val="18"/>
              </w:rPr>
              <w:t>元，根据《招股说明书》拟募集资金</w:t>
            </w:r>
            <w:r w:rsidRPr="00672DC8">
              <w:rPr>
                <w:rFonts w:ascii="Times New Roman" w:eastAsia="宋体" w:hAnsi="Times New Roman" w:cs="Times New Roman"/>
                <w:sz w:val="18"/>
                <w:szCs w:val="18"/>
              </w:rPr>
              <w:t>279,361,500.00</w:t>
            </w:r>
            <w:r w:rsidRPr="00672DC8">
              <w:rPr>
                <w:rFonts w:ascii="Times New Roman" w:eastAsia="宋体" w:hAnsi="Times New Roman" w:cs="Times New Roman"/>
                <w:sz w:val="18"/>
                <w:szCs w:val="18"/>
              </w:rPr>
              <w:t>元，本次超募资金为</w:t>
            </w:r>
            <w:r w:rsidRPr="00672DC8">
              <w:rPr>
                <w:rFonts w:ascii="Times New Roman" w:eastAsia="宋体" w:hAnsi="Times New Roman" w:cs="Times New Roman"/>
                <w:sz w:val="18"/>
                <w:szCs w:val="18"/>
              </w:rPr>
              <w:t>230,899,152.00</w:t>
            </w:r>
            <w:r w:rsidRPr="00672DC8">
              <w:rPr>
                <w:rFonts w:ascii="Times New Roman" w:eastAsia="宋体" w:hAnsi="Times New Roman" w:cs="Times New Roman"/>
                <w:sz w:val="18"/>
                <w:szCs w:val="18"/>
              </w:rPr>
              <w:t>元。</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）超募资金的用途及使用进展情况</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本报告期内永久补充流动资金情况</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无此情况。</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本报告期内募投项目结项形成节余资金</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无此情况。</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其他投向</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截至</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日，超募资金余额中</w:t>
            </w:r>
            <w:r w:rsidRPr="00672DC8">
              <w:rPr>
                <w:rFonts w:ascii="Times New Roman" w:eastAsia="宋体" w:hAnsi="Times New Roman" w:cs="Times New Roman"/>
                <w:sz w:val="18"/>
                <w:szCs w:val="18"/>
              </w:rPr>
              <w:t>5,603.22</w:t>
            </w:r>
            <w:r w:rsidRPr="00672DC8">
              <w:rPr>
                <w:rFonts w:ascii="Times New Roman" w:eastAsia="宋体" w:hAnsi="Times New Roman" w:cs="Times New Roman"/>
                <w:sz w:val="18"/>
                <w:szCs w:val="18"/>
              </w:rPr>
              <w:t>万元尚未确定具体投向。</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存在擅自变更募集资金用途、违规占用募集资金的情形</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募集资金投资项目实施地点变更情况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募集资金投资项目实施方式调整情况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募集资金投资项目先期投入及置换情况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用闲置募集资金暂时补充流动资金情况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项目实施出现募集资金结余的金额及原因</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r w:rsidR="003D2BA8" w:rsidRPr="00672DC8" w:rsidTr="00705653">
        <w:trPr>
          <w:trHeight w:val="240"/>
        </w:trPr>
        <w:tc>
          <w:tcPr>
            <w:tcW w:w="0" w:type="auto"/>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尚未使用的募集资金用途及去向</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尚未使用的募集资金依规存放于专项监管账户中，将用于承诺募投项目或将依据公司经营计划和实际需求，经董事会、股东会决议后，审慎投入使用。</w:t>
            </w:r>
          </w:p>
        </w:tc>
      </w:tr>
      <w:tr w:rsidR="003D2BA8" w:rsidRPr="00672DC8" w:rsidTr="00705653">
        <w:trPr>
          <w:trHeight w:val="240"/>
        </w:trPr>
        <w:tc>
          <w:tcPr>
            <w:tcW w:w="0" w:type="auto"/>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募集资金使用及披露中存在的问题或其他情况</w:t>
            </w:r>
          </w:p>
        </w:tc>
        <w:tc>
          <w:tcPr>
            <w:tcW w:w="0" w:type="auto"/>
            <w:gridSpan w:val="13"/>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5" w:name="_Toc988921"/>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募集资金变更项目情况</w:t>
      </w:r>
      <w:bookmarkEnd w:id="4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单位：万元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940"/>
        <w:gridCol w:w="593"/>
        <w:gridCol w:w="751"/>
        <w:gridCol w:w="1854"/>
        <w:gridCol w:w="1576"/>
        <w:gridCol w:w="887"/>
        <w:gridCol w:w="1472"/>
        <w:gridCol w:w="1478"/>
        <w:gridCol w:w="1183"/>
        <w:gridCol w:w="1187"/>
        <w:gridCol w:w="784"/>
        <w:gridCol w:w="1249"/>
      </w:tblGrid>
      <w:tr w:rsidR="003D2BA8" w:rsidRPr="00672DC8" w:rsidTr="0067387C">
        <w:trPr>
          <w:trHeight w:val="240"/>
          <w:tblHeader/>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融资项目名称</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募集方式</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变更后的项目</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对应的原承诺项目</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变更后项目拟投入募集资金总额</w:t>
            </w:r>
            <w:r w:rsidRPr="00672DC8">
              <w:rPr>
                <w:rFonts w:ascii="Times New Roman" w:eastAsia="宋体" w:hAnsi="Times New Roman" w:cs="Times New Roman"/>
                <w:sz w:val="18"/>
                <w:szCs w:val="18"/>
              </w:rPr>
              <w:t>(1)</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本报告期实际投入金额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截至期末实际累计投入金额</w:t>
            </w:r>
            <w:r w:rsidRPr="00672DC8">
              <w:rPr>
                <w:rFonts w:ascii="Times New Roman" w:eastAsia="宋体" w:hAnsi="Times New Roman" w:cs="Times New Roman"/>
                <w:sz w:val="18"/>
                <w:szCs w:val="18"/>
              </w:rPr>
              <w:t>(2)</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截至期末投资进度</w:t>
            </w:r>
            <w:r w:rsidRPr="00672DC8">
              <w:rPr>
                <w:rFonts w:ascii="Times New Roman" w:eastAsia="宋体" w:hAnsi="Times New Roman" w:cs="Times New Roman"/>
                <w:sz w:val="18"/>
                <w:szCs w:val="18"/>
              </w:rPr>
              <w:t>(3)=(2)/(1)</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项目达到预定可使用状态日期</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本报告期实现的效益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是否达到预计效益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变更后的项目可行性是否发生重大变化</w:t>
            </w:r>
          </w:p>
        </w:tc>
      </w:tr>
      <w:tr w:rsidR="003D2BA8" w:rsidRPr="00672DC8" w:rsidTr="00C75730">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年首次公开发行股票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首次公开发行</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深圳综合运营中心项目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大数据应用技术中心建设项目、营销服务体系升级建设项目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9,756.36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7,698.67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78.91%</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24</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C75730">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2021</w:t>
            </w:r>
            <w:r w:rsidRPr="00672DC8">
              <w:rPr>
                <w:rFonts w:ascii="Times New Roman" w:eastAsia="宋体" w:hAnsi="Times New Roman" w:cs="Times New Roman"/>
                <w:sz w:val="18"/>
                <w:szCs w:val="18"/>
              </w:rPr>
              <w:t>年首次公开发行股票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首次公开发行</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算力集群服务项目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智慧城市综合解决方案升级项目</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11,716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10,011.74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26</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1,198.98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C75730">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21,472.36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17,710.41</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1,198.98</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rsidTr="00C75730">
        <w:trPr>
          <w:trHeight w:val="240"/>
        </w:trPr>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变更原因、决策程序及信息披露情况说明</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分具体项目</w:t>
            </w:r>
            <w:r w:rsidRPr="00672DC8">
              <w:rPr>
                <w:rFonts w:ascii="Times New Roman" w:eastAsia="宋体" w:hAnsi="Times New Roman" w:cs="Times New Roman"/>
                <w:sz w:val="18"/>
                <w:szCs w:val="18"/>
              </w:rPr>
              <w:t>)</w:t>
            </w:r>
          </w:p>
        </w:tc>
        <w:tc>
          <w:tcPr>
            <w:tcW w:w="0" w:type="auto"/>
            <w:gridSpan w:val="9"/>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）深圳综合运营中心项目</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改变原因</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8</w:t>
            </w:r>
            <w:r w:rsidRPr="00672DC8">
              <w:rPr>
                <w:rFonts w:ascii="Times New Roman" w:eastAsia="宋体" w:hAnsi="Times New Roman" w:cs="Times New Roman"/>
                <w:sz w:val="18"/>
                <w:szCs w:val="18"/>
              </w:rPr>
              <w:t>月，基于整体经营规划和合理布局，公司计划整合原募投项目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大数据应用技术中心建设项目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营销服务体系升级建设项目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升级建设深圳综合运营中心。综合运营中心选址于深圳南山区，具备创新氛围浓厚、高端人才聚集力强、交通物流便利、产业链齐全的区位优势。同时，综合运营中心补足了公司轻资产运营模式下空间功能受限、办公分散导致协作不足的痛点，可承载运营、研发及商务推广功能，整合广深两地研发资源、运营资源，提升团队效能，为公司战略实施提供可靠的硬件保障。</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决策程序</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经公司第三届董事会第十四次会议、第三届监事会第十二次会议，另经</w:t>
            </w: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年第三次临时股东会审议通过，同意《关于变更募投项目实施主体、实施地点及部分募集资金用途的议案》。公司监事会及保荐机构就该事项发表同意意见。</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信息披露情况</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详见公司于</w:t>
            </w: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日披露于巨潮资讯网（</w:t>
            </w:r>
            <w:r w:rsidRPr="00672DC8">
              <w:rPr>
                <w:rFonts w:ascii="Times New Roman" w:eastAsia="宋体" w:hAnsi="Times New Roman" w:cs="Times New Roman"/>
                <w:sz w:val="18"/>
                <w:szCs w:val="18"/>
              </w:rPr>
              <w:t>www.cninfo.com.cn</w:t>
            </w:r>
            <w:r w:rsidRPr="00672DC8">
              <w:rPr>
                <w:rFonts w:ascii="Times New Roman" w:eastAsia="宋体" w:hAnsi="Times New Roman" w:cs="Times New Roman"/>
                <w:sz w:val="18"/>
                <w:szCs w:val="18"/>
              </w:rPr>
              <w:t>）等法定信息披露媒体的《关于变更募投项目实施主体、实施地点及部分募集资金用途的公告》（公告编号：</w:t>
            </w:r>
            <w:r w:rsidRPr="00672DC8">
              <w:rPr>
                <w:rFonts w:ascii="Times New Roman" w:eastAsia="宋体" w:hAnsi="Times New Roman" w:cs="Times New Roman"/>
                <w:sz w:val="18"/>
                <w:szCs w:val="18"/>
              </w:rPr>
              <w:t>2023-080</w:t>
            </w:r>
            <w:r w:rsidRPr="00672DC8">
              <w:rPr>
                <w:rFonts w:ascii="Times New Roman" w:eastAsia="宋体" w:hAnsi="Times New Roman" w:cs="Times New Roman"/>
                <w:sz w:val="18"/>
                <w:szCs w:val="18"/>
              </w:rPr>
              <w:t>）及相关公告。</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）算力集群服务项目</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改变原因</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月，在我国数字经济高速发展的背景下，公司全面深化数字经济的战略拓展目标，由智慧城市领域向上游延伸产业链。同时，随深圳综合运营中心项目的落地，深圳办公室研发中心、展示</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中心、运营中心的投入使用，一定程度缓解了总部办公用地压力。公司终止</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智慧城市综合解决方案升级项目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，变更其部分募集资金用途用于实施</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算力集群服务项目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，以提升募集资金使用效率和投资回报，进而提升综合竞争力，优化产业布局。</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决策程序</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经公司第三届董事会第二十六次会议和第三届监事会第二十四次会议审议通过，并经</w:t>
            </w: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年第四次临时股东会审议通过，同意了《关于变更部分募集资金用途的议案》。公司监事会及保荐机构就该事项发表同意意见。</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信息披露情况</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公司于</w:t>
            </w: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日披露于巨潮资讯网（</w:t>
            </w:r>
            <w:r w:rsidRPr="00672DC8">
              <w:rPr>
                <w:rFonts w:ascii="Times New Roman" w:eastAsia="宋体" w:hAnsi="Times New Roman" w:cs="Times New Roman"/>
                <w:sz w:val="18"/>
                <w:szCs w:val="18"/>
              </w:rPr>
              <w:t>www.cninfo.com.cn</w:t>
            </w:r>
            <w:r w:rsidRPr="00672DC8">
              <w:rPr>
                <w:rFonts w:ascii="Times New Roman" w:eastAsia="宋体" w:hAnsi="Times New Roman" w:cs="Times New Roman"/>
                <w:sz w:val="18"/>
                <w:szCs w:val="18"/>
              </w:rPr>
              <w:t>）等法定信息披露媒体的《关于变更募集资金用途的公告》（公告编号：</w:t>
            </w:r>
            <w:r w:rsidRPr="00672DC8">
              <w:rPr>
                <w:rFonts w:ascii="Times New Roman" w:eastAsia="宋体" w:hAnsi="Times New Roman" w:cs="Times New Roman"/>
                <w:sz w:val="18"/>
                <w:szCs w:val="18"/>
              </w:rPr>
              <w:t>2024-090</w:t>
            </w:r>
            <w:r w:rsidRPr="00672DC8">
              <w:rPr>
                <w:rFonts w:ascii="Times New Roman" w:eastAsia="宋体" w:hAnsi="Times New Roman" w:cs="Times New Roman"/>
                <w:sz w:val="18"/>
                <w:szCs w:val="18"/>
              </w:rPr>
              <w:t>）及相关公告。</w:t>
            </w:r>
          </w:p>
        </w:tc>
      </w:tr>
      <w:tr w:rsidR="003D2BA8" w:rsidRPr="00672DC8" w:rsidTr="00C75730">
        <w:trPr>
          <w:trHeight w:val="240"/>
        </w:trPr>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未达到计划进度或预计收益的情况和原因</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分具体项目</w:t>
            </w:r>
            <w:r w:rsidRPr="00672DC8">
              <w:rPr>
                <w:rFonts w:ascii="Times New Roman" w:eastAsia="宋体" w:hAnsi="Times New Roman" w:cs="Times New Roman"/>
                <w:sz w:val="18"/>
                <w:szCs w:val="18"/>
              </w:rPr>
              <w:t>)</w:t>
            </w:r>
          </w:p>
        </w:tc>
        <w:tc>
          <w:tcPr>
            <w:tcW w:w="0" w:type="auto"/>
            <w:gridSpan w:val="9"/>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）深圳综合运营中心项目</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深圳综合运营中心已投入使用，运营中心、研发中心及展示中心配套设施建设完成。深圳综合运营中心项目的投入使用改善了公司办公环境，改善研发条件，提高工作效率，对公司品牌形象、人才吸引力皆有所提升。</w:t>
            </w:r>
          </w:p>
        </w:tc>
      </w:tr>
      <w:tr w:rsidR="003D2BA8" w:rsidRPr="00672DC8" w:rsidTr="00C75730">
        <w:trPr>
          <w:trHeight w:val="240"/>
        </w:trPr>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变更后的项目可行性发生重大变化的情况说明</w:t>
            </w:r>
          </w:p>
        </w:tc>
        <w:tc>
          <w:tcPr>
            <w:tcW w:w="0" w:type="auto"/>
            <w:gridSpan w:val="9"/>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bl>
    <w:p w:rsidR="00C025F8" w:rsidRPr="00672DC8" w:rsidRDefault="00C025F8">
      <w:pPr>
        <w:pStyle w:val="3"/>
        <w:spacing w:line="280" w:lineRule="exact"/>
        <w:jc w:val="left"/>
        <w:rPr>
          <w:rFonts w:ascii="Times New Roman" w:hAnsi="Times New Roman" w:cs="Times New Roman"/>
          <w:b/>
          <w:bCs/>
        </w:rPr>
        <w:sectPr w:rsidR="00C025F8" w:rsidRPr="00672DC8" w:rsidSect="0054247E">
          <w:pgSz w:w="16840" w:h="11905" w:orient="landscape"/>
          <w:pgMar w:top="1134" w:right="1440" w:bottom="1134" w:left="1440" w:header="850" w:footer="992" w:gutter="0"/>
          <w:cols w:space="720"/>
          <w:docGrid w:type="linesAndChars" w:linePitch="312"/>
        </w:sectPr>
      </w:pPr>
      <w:bookmarkStart w:id="46" w:name="_Toc988922"/>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lastRenderedPageBreak/>
        <w:t>6</w:t>
      </w:r>
      <w:r w:rsidRPr="00672DC8">
        <w:rPr>
          <w:rFonts w:ascii="Times New Roman" w:hAnsi="Times New Roman" w:cs="Times New Roman"/>
          <w:b/>
          <w:bCs/>
        </w:rPr>
        <w:t>、委托理财、衍生品投资情况</w:t>
      </w:r>
      <w:bookmarkEnd w:id="46"/>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7" w:name="_Toc988923"/>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委托理财情况</w:t>
      </w:r>
      <w:bookmarkEnd w:id="47"/>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公司报告期不存在委托理财。</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8" w:name="_Toc988924"/>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衍生品投资情况</w:t>
      </w:r>
      <w:bookmarkEnd w:id="48"/>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公司报告期不存在衍生品投资。</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9" w:name="_Toc988925"/>
      <w:r w:rsidRPr="00672DC8">
        <w:rPr>
          <w:rFonts w:ascii="Times New Roman" w:eastAsia="宋体" w:hAnsi="Times New Roman" w:cs="Times New Roman"/>
          <w:b/>
          <w:bCs/>
          <w:sz w:val="24"/>
          <w:szCs w:val="24"/>
        </w:rPr>
        <w:t>七、重大资产和股权出售</w:t>
      </w:r>
      <w:bookmarkEnd w:id="49"/>
    </w:p>
    <w:p w:rsidR="003D2BA8" w:rsidRPr="00672DC8" w:rsidRDefault="000C0769">
      <w:pPr>
        <w:pStyle w:val="3"/>
        <w:spacing w:line="280" w:lineRule="exact"/>
        <w:jc w:val="left"/>
        <w:rPr>
          <w:rFonts w:ascii="Times New Roman" w:hAnsi="Times New Roman" w:cs="Times New Roman"/>
          <w:b/>
          <w:bCs/>
        </w:rPr>
      </w:pPr>
      <w:bookmarkStart w:id="50" w:name="_Toc988926"/>
      <w:r w:rsidRPr="00672DC8">
        <w:rPr>
          <w:rFonts w:ascii="Times New Roman" w:hAnsi="Times New Roman" w:cs="Times New Roman"/>
          <w:b/>
          <w:bCs/>
        </w:rPr>
        <w:t>1</w:t>
      </w:r>
      <w:r w:rsidRPr="00672DC8">
        <w:rPr>
          <w:rFonts w:ascii="Times New Roman" w:hAnsi="Times New Roman" w:cs="Times New Roman"/>
          <w:b/>
          <w:bCs/>
        </w:rPr>
        <w:t>、出售重大资产情况</w:t>
      </w:r>
      <w:bookmarkEnd w:id="5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公司报告期未出售重大资产。</w:t>
      </w:r>
    </w:p>
    <w:p w:rsidR="003D2BA8" w:rsidRPr="00672DC8" w:rsidRDefault="000C0769">
      <w:pPr>
        <w:pStyle w:val="3"/>
        <w:spacing w:line="280" w:lineRule="exact"/>
        <w:jc w:val="left"/>
        <w:rPr>
          <w:rFonts w:ascii="Times New Roman" w:hAnsi="Times New Roman" w:cs="Times New Roman"/>
          <w:b/>
          <w:bCs/>
        </w:rPr>
      </w:pPr>
      <w:bookmarkStart w:id="51" w:name="_Toc988927"/>
      <w:r w:rsidRPr="00672DC8">
        <w:rPr>
          <w:rFonts w:ascii="Times New Roman" w:hAnsi="Times New Roman" w:cs="Times New Roman"/>
          <w:b/>
          <w:bCs/>
        </w:rPr>
        <w:t>2</w:t>
      </w:r>
      <w:r w:rsidRPr="00672DC8">
        <w:rPr>
          <w:rFonts w:ascii="Times New Roman" w:hAnsi="Times New Roman" w:cs="Times New Roman"/>
          <w:b/>
          <w:bCs/>
        </w:rPr>
        <w:t>、出售重大股权情况</w:t>
      </w:r>
      <w:bookmarkEnd w:id="5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2" w:name="_Toc988928"/>
      <w:r w:rsidRPr="00672DC8">
        <w:rPr>
          <w:rFonts w:ascii="Times New Roman" w:eastAsia="宋体" w:hAnsi="Times New Roman" w:cs="Times New Roman"/>
          <w:b/>
          <w:bCs/>
          <w:sz w:val="24"/>
          <w:szCs w:val="24"/>
        </w:rPr>
        <w:t>八、主要控股参股公司分析</w:t>
      </w:r>
      <w:bookmarkEnd w:id="5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主要子公司及对公司净利润影响达</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以上的参股公司情况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708"/>
        <w:gridCol w:w="708"/>
        <w:gridCol w:w="709"/>
        <w:gridCol w:w="1251"/>
        <w:gridCol w:w="1341"/>
        <w:gridCol w:w="1341"/>
        <w:gridCol w:w="1251"/>
        <w:gridCol w:w="1161"/>
        <w:gridCol w:w="1161"/>
      </w:tblGrid>
      <w:tr w:rsidR="003D2BA8" w:rsidRPr="00672DC8" w:rsidTr="00FD2C12">
        <w:trPr>
          <w:trHeight w:val="240"/>
          <w:tblHeader/>
        </w:trPr>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公司名称</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公司类型</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主要业务</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注册资本</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总资产</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净资产</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营业利润</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净利润</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注</w:t>
            </w:r>
            <w:r w:rsidRPr="00672DC8">
              <w:rPr>
                <w:rFonts w:ascii="Times New Roman" w:eastAsia="宋体" w:hAnsi="Times New Roman" w:cs="Times New Roman"/>
                <w:sz w:val="18"/>
                <w:szCs w:val="18"/>
              </w:rPr>
              <w:t>1</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8C45C2">
            <w:pPr>
              <w:spacing w:line="240" w:lineRule="exact"/>
              <w:rPr>
                <w:rFonts w:ascii="Times New Roman" w:eastAsia="宋体" w:hAnsi="Times New Roman" w:cs="Times New Roman"/>
                <w:sz w:val="18"/>
                <w:szCs w:val="18"/>
              </w:rPr>
            </w:pPr>
            <w:r w:rsidRPr="008C45C2">
              <w:rPr>
                <w:rFonts w:ascii="Times New Roman" w:eastAsia="宋体" w:hAnsi="Times New Roman" w:cs="Times New Roman" w:hint="eastAsia"/>
                <w:sz w:val="18"/>
                <w:szCs w:val="18"/>
              </w:rPr>
              <w:t>电力、热力及电力设备设施生产和销售</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144,619,454.55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22,632,804.08</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81,464,949.33</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4,039,149.71</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2,580,434.92</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注</w:t>
            </w:r>
            <w:r w:rsidRPr="00672DC8">
              <w:rPr>
                <w:rFonts w:ascii="Times New Roman" w:eastAsia="宋体" w:hAnsi="Times New Roman" w:cs="Times New Roman"/>
                <w:sz w:val="18"/>
                <w:szCs w:val="18"/>
              </w:rPr>
              <w:t>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16,862,117.49</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-11,907,287.62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4,365,250.36</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-4,735,701.59</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-3,760,836.61</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w:t>
            </w:r>
            <w:r w:rsidRPr="00672DC8">
              <w:rPr>
                <w:rFonts w:ascii="Times New Roman" w:eastAsia="宋体" w:hAnsi="Times New Roman" w:cs="Times New Roman"/>
                <w:sz w:val="18"/>
                <w:szCs w:val="18"/>
              </w:rPr>
              <w:lastRenderedPageBreak/>
              <w:t>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信息系统集成服</w:t>
            </w:r>
            <w:r w:rsidRPr="00672DC8">
              <w:rPr>
                <w:rFonts w:ascii="Times New Roman" w:eastAsia="宋体" w:hAnsi="Times New Roman" w:cs="Times New Roman"/>
                <w:sz w:val="18"/>
                <w:szCs w:val="18"/>
              </w:rPr>
              <w:lastRenderedPageBreak/>
              <w:t>务、软件开发与技术服务、信息设备销售、信息系统运维服务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50,000,000.00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253,088,962.16</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64,550,191.81</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10,225,720.01</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-1,837,774.25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-1,532,571.08</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深圳市互联精英信息技术有限公司</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注</w:t>
            </w:r>
            <w:r w:rsidRPr="00672DC8">
              <w:rPr>
                <w:rFonts w:ascii="Times New Roman" w:eastAsia="宋体" w:hAnsi="Times New Roman" w:cs="Times New Roman"/>
                <w:sz w:val="18"/>
                <w:szCs w:val="18"/>
              </w:rPr>
              <w:t>3</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信息系统集成服务、软件开发与技术服务、信息设备销售、信息系统运维服务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53,900,000.00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168,776,387.77</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120,976,795.12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24,198,099.16</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-3,557,316.56</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-2,856,452.21</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信息系统集成服务、软件开发与技术服务、信息设备销售、信息系统运维服务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54,066,030.30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15,201,166.06</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37,438,754.00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-1,126,859.95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-917,572.51</w:t>
            </w:r>
          </w:p>
        </w:tc>
      </w:tr>
      <w:tr w:rsidR="003D2BA8" w:rsidRPr="00672DC8" w:rsidTr="00FD2C12">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w:t>
            </w:r>
            <w:r w:rsidRPr="00672DC8">
              <w:rPr>
                <w:rFonts w:ascii="Times New Roman" w:eastAsia="宋体" w:hAnsi="Times New Roman" w:cs="Times New Roman"/>
                <w:sz w:val="18"/>
                <w:szCs w:val="18"/>
              </w:rPr>
              <w:lastRenderedPageBreak/>
              <w:t>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人工智能服务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14,066,781.35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10,675,843.74</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2,027,905.09</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-648,649.57</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-524,156.26</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报告期内取得和处置子公司的情况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公司名称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报告期内取得和处置子公司方式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对整体生产经营和业绩的影响</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邯郸庚源新能源科技有限公司</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股权转让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本期营业收入增加，同时加快资金回流</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主要控股参股公司情况说明</w:t>
      </w:r>
    </w:p>
    <w:p w:rsidR="000C0769" w:rsidRPr="00672DC8" w:rsidRDefault="000C0769">
      <w:pPr>
        <w:pStyle w:val="a3"/>
        <w:divId w:val="1526286322"/>
        <w:rPr>
          <w:rFonts w:ascii="Times New Roman" w:hAnsi="Times New Roman" w:cs="Times New Roman"/>
          <w:sz w:val="18"/>
          <w:szCs w:val="18"/>
        </w:rPr>
      </w:pPr>
      <w:r w:rsidRPr="00672DC8">
        <w:rPr>
          <w:rFonts w:ascii="Times New Roman" w:hAnsi="Times New Roman" w:cs="Times New Roman"/>
          <w:sz w:val="18"/>
          <w:szCs w:val="18"/>
        </w:rPr>
        <w:t>注</w:t>
      </w:r>
      <w:r w:rsidRPr="00672DC8">
        <w:rPr>
          <w:rFonts w:ascii="Times New Roman" w:hAnsi="Times New Roman" w:cs="Times New Roman"/>
          <w:sz w:val="18"/>
          <w:szCs w:val="18"/>
        </w:rPr>
        <w:t>1</w:t>
      </w:r>
      <w:r w:rsidRPr="00672DC8">
        <w:rPr>
          <w:rFonts w:ascii="Times New Roman" w:hAnsi="Times New Roman" w:cs="Times New Roman"/>
          <w:sz w:val="18"/>
          <w:szCs w:val="18"/>
        </w:rPr>
        <w:t>：上述广东天亿马数字能源有限公司的财务报表数据包含下属子公司湖南天晨新能源有限公司、桓台爱康新能源有限公司、桓台爱道光伏发电有限公司、邯郸庚源新能源科技有限公司、深圳市亿泰新能源有限公司、广西亿泰新能源有限公司、广东天亿马新能源产业发展有限公司等相关财务数据；</w:t>
      </w:r>
    </w:p>
    <w:p w:rsidR="000C0769" w:rsidRPr="00672DC8" w:rsidRDefault="000C0769">
      <w:pPr>
        <w:pStyle w:val="a3"/>
        <w:divId w:val="1526286322"/>
        <w:rPr>
          <w:rFonts w:ascii="Times New Roman" w:hAnsi="Times New Roman" w:cs="Times New Roman"/>
          <w:sz w:val="18"/>
          <w:szCs w:val="18"/>
        </w:rPr>
      </w:pPr>
      <w:r w:rsidRPr="00672DC8">
        <w:rPr>
          <w:rFonts w:ascii="Times New Roman" w:hAnsi="Times New Roman" w:cs="Times New Roman"/>
          <w:sz w:val="18"/>
          <w:szCs w:val="18"/>
        </w:rPr>
        <w:t>注</w:t>
      </w:r>
      <w:r w:rsidRPr="00672DC8">
        <w:rPr>
          <w:rFonts w:ascii="Times New Roman" w:hAnsi="Times New Roman" w:cs="Times New Roman"/>
          <w:sz w:val="18"/>
          <w:szCs w:val="18"/>
        </w:rPr>
        <w:t>2</w:t>
      </w:r>
      <w:r w:rsidRPr="00672DC8">
        <w:rPr>
          <w:rFonts w:ascii="Times New Roman" w:hAnsi="Times New Roman" w:cs="Times New Roman"/>
          <w:sz w:val="18"/>
          <w:szCs w:val="18"/>
        </w:rPr>
        <w:t>：上述广图粤科（广州）科技有限公司的财务报表数据包含下属子公司粤科睿肯（上海）科技有限公司的相关财务数据；</w:t>
      </w:r>
    </w:p>
    <w:p w:rsidR="000C0769" w:rsidRPr="00672DC8" w:rsidRDefault="000C0769">
      <w:pPr>
        <w:pStyle w:val="a3"/>
        <w:divId w:val="1526286322"/>
        <w:rPr>
          <w:rFonts w:ascii="Times New Roman" w:hAnsi="Times New Roman" w:cs="Times New Roman"/>
          <w:sz w:val="18"/>
          <w:szCs w:val="18"/>
        </w:rPr>
      </w:pPr>
      <w:r w:rsidRPr="00672DC8">
        <w:rPr>
          <w:rFonts w:ascii="Times New Roman" w:hAnsi="Times New Roman" w:cs="Times New Roman"/>
          <w:sz w:val="18"/>
          <w:szCs w:val="18"/>
        </w:rPr>
        <w:t>注</w:t>
      </w:r>
      <w:r w:rsidRPr="00672DC8">
        <w:rPr>
          <w:rFonts w:ascii="Times New Roman" w:hAnsi="Times New Roman" w:cs="Times New Roman"/>
          <w:sz w:val="18"/>
          <w:szCs w:val="18"/>
        </w:rPr>
        <w:t>3</w:t>
      </w:r>
      <w:r w:rsidRPr="00672DC8">
        <w:rPr>
          <w:rFonts w:ascii="Times New Roman" w:hAnsi="Times New Roman" w:cs="Times New Roman"/>
          <w:sz w:val="18"/>
          <w:szCs w:val="18"/>
        </w:rPr>
        <w:t>：上述深圳市互联精英信息技术有限公司的财务报表数据包含下属子公司广东翼启数据产业有限公司的相关财务数据。</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3" w:name="_Toc988929"/>
      <w:r w:rsidRPr="00672DC8">
        <w:rPr>
          <w:rFonts w:ascii="Times New Roman" w:eastAsia="宋体" w:hAnsi="Times New Roman" w:cs="Times New Roman"/>
          <w:b/>
          <w:bCs/>
          <w:sz w:val="24"/>
          <w:szCs w:val="24"/>
        </w:rPr>
        <w:t>九、公司控制的结构化主体情况</w:t>
      </w:r>
      <w:bookmarkEnd w:id="5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4" w:name="_Toc988930"/>
      <w:r w:rsidRPr="00672DC8">
        <w:rPr>
          <w:rFonts w:ascii="Times New Roman" w:eastAsia="宋体" w:hAnsi="Times New Roman" w:cs="Times New Roman"/>
          <w:b/>
          <w:bCs/>
          <w:sz w:val="24"/>
          <w:szCs w:val="24"/>
        </w:rPr>
        <w:t>十、公司面临的风险和应对措施</w:t>
      </w:r>
      <w:bookmarkEnd w:id="54"/>
    </w:p>
    <w:p w:rsidR="000C0769" w:rsidRPr="00672DC8" w:rsidRDefault="000C0769" w:rsidP="00900F4F">
      <w:pPr>
        <w:pStyle w:val="a3"/>
        <w:spacing w:before="120" w:beforeAutospacing="0" w:after="120" w:afterAutospacing="0" w:line="288" w:lineRule="auto"/>
        <w:ind w:left="108" w:right="108" w:firstLine="454"/>
        <w:jc w:val="both"/>
        <w:divId w:val="841048943"/>
        <w:rPr>
          <w:rFonts w:ascii="Times New Roman" w:hAnsi="Times New Roman" w:cs="Times New Roman"/>
        </w:rPr>
      </w:pPr>
      <w:r w:rsidRPr="00672DC8">
        <w:rPr>
          <w:rStyle w:val="a4"/>
          <w:rFonts w:ascii="Times New Roman" w:hAnsi="Times New Roman" w:cs="Times New Roman"/>
          <w:color w:val="000000"/>
          <w:spacing w:val="8"/>
          <w:sz w:val="21"/>
          <w:szCs w:val="21"/>
        </w:rPr>
        <w:t>1.</w:t>
      </w:r>
      <w:r w:rsidRPr="00672DC8">
        <w:rPr>
          <w:rStyle w:val="a4"/>
          <w:rFonts w:ascii="Times New Roman" w:hAnsi="Times New Roman" w:cs="Times New Roman"/>
          <w:color w:val="000000"/>
          <w:spacing w:val="8"/>
          <w:sz w:val="21"/>
          <w:szCs w:val="21"/>
        </w:rPr>
        <w:t>市场竞争风险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公司所处行业企业众多，市场竞争日趋激烈。若公司对行业发展趋势判断失误或应对市场竞争的措施严重失当，不能持续提升技术水平和核心竞争力，扩大市场份额，在未来的市场竞争中将面临处于不利地位的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公司将持续关注宏观政策导向和市场变化，通过前瞻性布局形成先发优势，增强公司技术能力和服务能力，进而提升公司综合竞争力。</w:t>
      </w:r>
    </w:p>
    <w:p w:rsidR="000C0769" w:rsidRPr="00672DC8" w:rsidRDefault="000C0769" w:rsidP="00900F4F">
      <w:pPr>
        <w:pStyle w:val="a3"/>
        <w:spacing w:before="120" w:beforeAutospacing="0" w:after="120" w:afterAutospacing="0" w:line="288" w:lineRule="auto"/>
        <w:ind w:left="108" w:right="108" w:firstLine="454"/>
        <w:jc w:val="both"/>
        <w:divId w:val="841048943"/>
        <w:rPr>
          <w:rFonts w:ascii="Times New Roman" w:hAnsi="Times New Roman" w:cs="Times New Roman"/>
        </w:rPr>
      </w:pPr>
      <w:r w:rsidRPr="00672DC8">
        <w:rPr>
          <w:rStyle w:val="a4"/>
          <w:rFonts w:ascii="Times New Roman" w:hAnsi="Times New Roman" w:cs="Times New Roman"/>
          <w:color w:val="000000"/>
          <w:spacing w:val="8"/>
          <w:sz w:val="21"/>
          <w:szCs w:val="21"/>
        </w:rPr>
        <w:t>2.</w:t>
      </w:r>
      <w:r w:rsidRPr="00672DC8">
        <w:rPr>
          <w:rStyle w:val="a4"/>
          <w:rFonts w:ascii="Times New Roman" w:hAnsi="Times New Roman" w:cs="Times New Roman"/>
          <w:color w:val="000000"/>
          <w:spacing w:val="8"/>
          <w:sz w:val="21"/>
          <w:szCs w:val="21"/>
        </w:rPr>
        <w:t>研发创新失败风险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当前，新一代人工智能技术发展日新月异，应用创新、技术提升高度依赖于专业人才、研发设施，需投入大量的研发资金，研发项目开展结果尚存在不确定性，存在研发失败风险。创新产品推向市场后，如果公司对于技术、产品和市场的发展趋势判断失误，研发成果得不到市场和客户的足够认可、不能较好地实现产业化或形成最终销售，导致研发成果的经济效益与预期收益存在较大差距，可能会对公司的财务状况和经营成果产生负面的影响。</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lastRenderedPageBreak/>
        <w:t>公司将持续追踪行业前沿技术和研发方向，深化行业经验和业务理解，同时持续引入高层次技术人才，动态研判研发方向，提升整体研发质量，确保研发成果有效转化。</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Style w:val="a4"/>
          <w:rFonts w:ascii="Times New Roman" w:hAnsi="Times New Roman" w:cs="Times New Roman"/>
          <w:color w:val="000000"/>
          <w:sz w:val="21"/>
          <w:szCs w:val="21"/>
        </w:rPr>
        <w:t>3.</w:t>
      </w:r>
      <w:r w:rsidRPr="00672DC8">
        <w:rPr>
          <w:rStyle w:val="a4"/>
          <w:rFonts w:ascii="Times New Roman" w:hAnsi="Times New Roman" w:cs="Times New Roman"/>
          <w:color w:val="000000"/>
          <w:sz w:val="21"/>
          <w:szCs w:val="21"/>
        </w:rPr>
        <w:t>创新业务经营管理风险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报告期内，结合国家政策导向、市场技术发展和公司战略规划，公司围绕人工智能产业就算力服务、词元服务和数据要素业务等新兴领域开展前瞻性布局，主要以自有资金投资设立控股子公司形式开展创新业务。随着业务规模持续扩张与业务领域不断延伸，对公司管理模式与经营规划的适应性提出更高要求。</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sz w:val="21"/>
          <w:szCs w:val="21"/>
        </w:rPr>
        <w:t>公司将严格按照上市公司规范治理要求，加强内部控制体系建设，完善各项工作流程机制，加强管理人才培养，以有防范与控制经营管理风险，提升经营质量。</w:t>
      </w:r>
    </w:p>
    <w:p w:rsidR="000C0769" w:rsidRPr="00672DC8" w:rsidRDefault="000C0769" w:rsidP="00900F4F">
      <w:pPr>
        <w:pStyle w:val="a3"/>
        <w:spacing w:before="120" w:beforeAutospacing="0" w:after="120" w:afterAutospacing="0" w:line="288" w:lineRule="auto"/>
        <w:ind w:left="108" w:right="108" w:firstLine="454"/>
        <w:jc w:val="both"/>
        <w:divId w:val="841048943"/>
        <w:rPr>
          <w:rFonts w:ascii="Times New Roman" w:hAnsi="Times New Roman" w:cs="Times New Roman"/>
        </w:rPr>
      </w:pPr>
      <w:r w:rsidRPr="00672DC8">
        <w:rPr>
          <w:rStyle w:val="a4"/>
          <w:rFonts w:ascii="Times New Roman" w:hAnsi="Times New Roman" w:cs="Times New Roman"/>
          <w:color w:val="000000"/>
          <w:spacing w:val="8"/>
          <w:sz w:val="21"/>
          <w:szCs w:val="21"/>
        </w:rPr>
        <w:t>4.</w:t>
      </w:r>
      <w:r w:rsidRPr="00672DC8">
        <w:rPr>
          <w:rStyle w:val="a4"/>
          <w:rFonts w:ascii="Times New Roman" w:hAnsi="Times New Roman" w:cs="Times New Roman"/>
          <w:color w:val="000000"/>
          <w:spacing w:val="8"/>
          <w:sz w:val="21"/>
          <w:szCs w:val="21"/>
        </w:rPr>
        <w:t>应收账款回收风险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公司主要客户为机关、企事业单位，对外付款时需履行较严格的付款审批流程，导致期末应收账款（含合同资产）余额较大。虽然公司的主要客户信用度高，支付能力强，存在坏账的可能性较小。受到客户终验进度、客户审计、预算以及经营情况的影响，可能会使账期延长。付款进度往往受其资金预算、上级主管部门拨款情况影响，付款周期一般较长，一旦用户付款延期或款项无法收回，将给公司带来一定的损失。</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公司将不断强化应收账款管理，完善应收账款跟踪机制，加大应收账款责任制实施力度，保障合理的应收账款结构，减少资金占用，全面强化应收账款回款工作，有效控制坏账发生。</w:t>
      </w:r>
    </w:p>
    <w:p w:rsidR="000C0769" w:rsidRPr="00672DC8" w:rsidRDefault="000C0769" w:rsidP="00900F4F">
      <w:pPr>
        <w:pStyle w:val="a3"/>
        <w:spacing w:before="120" w:beforeAutospacing="0" w:after="120" w:afterAutospacing="0" w:line="288" w:lineRule="auto"/>
        <w:ind w:left="108" w:right="108" w:firstLine="422"/>
        <w:jc w:val="both"/>
        <w:divId w:val="841048943"/>
        <w:rPr>
          <w:rFonts w:ascii="Times New Roman" w:hAnsi="Times New Roman" w:cs="Times New Roman"/>
        </w:rPr>
      </w:pPr>
      <w:r w:rsidRPr="00672DC8">
        <w:rPr>
          <w:rStyle w:val="a4"/>
          <w:rFonts w:ascii="Times New Roman" w:hAnsi="Times New Roman" w:cs="Times New Roman"/>
          <w:color w:val="000000"/>
          <w:sz w:val="21"/>
          <w:szCs w:val="21"/>
        </w:rPr>
        <w:t>5.</w:t>
      </w:r>
      <w:r w:rsidRPr="00672DC8">
        <w:rPr>
          <w:rStyle w:val="a4"/>
          <w:rFonts w:ascii="Times New Roman" w:hAnsi="Times New Roman" w:cs="Times New Roman"/>
          <w:color w:val="000000"/>
          <w:sz w:val="21"/>
          <w:szCs w:val="21"/>
        </w:rPr>
        <w:t>并购重组交易审批风险</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公司筹划通过发行股份及支付现金的方式购买星云开物</w:t>
      </w:r>
      <w:r w:rsidRPr="00672DC8">
        <w:rPr>
          <w:rFonts w:ascii="Times New Roman" w:hAnsi="Times New Roman" w:cs="Times New Roman"/>
          <w:color w:val="000000"/>
          <w:sz w:val="21"/>
          <w:szCs w:val="21"/>
        </w:rPr>
        <w:t>98.5632%</w:t>
      </w:r>
      <w:r w:rsidRPr="00672DC8">
        <w:rPr>
          <w:rFonts w:ascii="Times New Roman" w:hAnsi="Times New Roman" w:cs="Times New Roman"/>
          <w:color w:val="000000"/>
          <w:sz w:val="21"/>
          <w:szCs w:val="21"/>
        </w:rPr>
        <w:t>股权（以下简</w:t>
      </w:r>
      <w:r w:rsidRPr="00672DC8">
        <w:rPr>
          <w:rFonts w:ascii="Times New Roman" w:hAnsi="Times New Roman" w:cs="Times New Roman"/>
          <w:color w:val="000000"/>
          <w:sz w:val="21"/>
          <w:szCs w:val="21"/>
          <w:shd w:val="clear" w:color="auto" w:fill="FFFFFF"/>
        </w:rPr>
        <w:t>称</w:t>
      </w:r>
      <w:r w:rsidRPr="00672DC8">
        <w:rPr>
          <w:rFonts w:ascii="Times New Roman" w:hAnsi="Times New Roman" w:cs="Times New Roman"/>
          <w:color w:val="000000"/>
          <w:sz w:val="21"/>
          <w:szCs w:val="21"/>
          <w:shd w:val="clear" w:color="auto" w:fill="FFFFFF"/>
        </w:rPr>
        <w:t>“</w:t>
      </w:r>
      <w:r w:rsidRPr="00672DC8">
        <w:rPr>
          <w:rFonts w:ascii="Times New Roman" w:hAnsi="Times New Roman" w:cs="Times New Roman"/>
          <w:color w:val="000000"/>
          <w:sz w:val="21"/>
          <w:szCs w:val="21"/>
          <w:shd w:val="clear" w:color="auto" w:fill="FFFFFF"/>
        </w:rPr>
        <w:t>标的资产</w:t>
      </w:r>
      <w:r w:rsidRPr="00672DC8">
        <w:rPr>
          <w:rFonts w:ascii="Times New Roman" w:hAnsi="Times New Roman" w:cs="Times New Roman"/>
          <w:color w:val="000000"/>
          <w:sz w:val="21"/>
          <w:szCs w:val="21"/>
          <w:shd w:val="clear" w:color="auto" w:fill="FFFFFF"/>
        </w:rPr>
        <w:t>”</w:t>
      </w:r>
      <w:r w:rsidRPr="00672DC8">
        <w:rPr>
          <w:rFonts w:ascii="Times New Roman" w:hAnsi="Times New Roman" w:cs="Times New Roman"/>
          <w:color w:val="000000"/>
          <w:sz w:val="21"/>
          <w:szCs w:val="21"/>
        </w:rPr>
        <w:t>）并募集配套资金事项已经董事会、股东会审议通过，申报材料已经深交所受理。本次并购重组事项尚需经深交所审核通过及证监会同意注册方可实施。因此，本次交易最终能否获得相关批准存在不确定性。</w:t>
      </w:r>
    </w:p>
    <w:p w:rsidR="000C0769" w:rsidRPr="00672DC8" w:rsidRDefault="000C0769" w:rsidP="00900F4F">
      <w:pPr>
        <w:pStyle w:val="a3"/>
        <w:spacing w:before="120" w:beforeAutospacing="0" w:after="120" w:afterAutospacing="0" w:line="288" w:lineRule="auto"/>
        <w:ind w:left="108" w:right="108" w:firstLine="420"/>
        <w:jc w:val="both"/>
        <w:divId w:val="841048943"/>
        <w:rPr>
          <w:rFonts w:ascii="Times New Roman" w:hAnsi="Times New Roman" w:cs="Times New Roman"/>
        </w:rPr>
      </w:pPr>
      <w:r w:rsidRPr="00672DC8">
        <w:rPr>
          <w:rFonts w:ascii="Times New Roman" w:hAnsi="Times New Roman" w:cs="Times New Roman"/>
          <w:color w:val="000000"/>
          <w:sz w:val="21"/>
          <w:szCs w:val="21"/>
        </w:rPr>
        <w:t>在本次交易推进过程中，商务谈判情况、资本市场情况、标的公司情况等均可能会发生变化，从而影响本次交易的条件；此外，在本次交易审核过程中，监管机构的审核要求也可能对交易方案产生影响。交易双方可能需根据情况变化以</w:t>
      </w:r>
      <w:r w:rsidRPr="00672DC8">
        <w:rPr>
          <w:rFonts w:ascii="Times New Roman" w:hAnsi="Times New Roman" w:cs="Times New Roman"/>
          <w:color w:val="000000"/>
          <w:sz w:val="21"/>
          <w:szCs w:val="21"/>
        </w:rPr>
        <w:t> </w:t>
      </w:r>
      <w:r w:rsidRPr="00672DC8">
        <w:rPr>
          <w:rFonts w:ascii="Times New Roman" w:hAnsi="Times New Roman" w:cs="Times New Roman"/>
          <w:color w:val="000000"/>
          <w:sz w:val="21"/>
          <w:szCs w:val="21"/>
        </w:rPr>
        <w:t>及监管机构的要求完善交易方案，如交易双方无法就完善交易方案的措施达成一致，则本次交易存在被暂停、中止或取消的风险。</w:t>
      </w:r>
    </w:p>
    <w:p w:rsidR="000C0769" w:rsidRPr="00672DC8" w:rsidRDefault="000C0769">
      <w:pPr>
        <w:pStyle w:val="a3"/>
        <w:spacing w:line="288" w:lineRule="auto"/>
        <w:ind w:firstLine="420"/>
        <w:divId w:val="841048943"/>
        <w:rPr>
          <w:rFonts w:ascii="Times New Roman" w:hAnsi="Times New Roman" w:cs="Times New Roman"/>
        </w:rPr>
      </w:pPr>
      <w:r w:rsidRPr="00672DC8">
        <w:rPr>
          <w:rFonts w:ascii="Times New Roman" w:hAnsi="Times New Roman" w:cs="Times New Roman"/>
          <w:color w:val="000000"/>
          <w:sz w:val="21"/>
          <w:szCs w:val="21"/>
        </w:rPr>
        <w:t>基于前述风险事项，</w:t>
      </w:r>
      <w:r w:rsidRPr="00672DC8">
        <w:rPr>
          <w:rFonts w:ascii="Times New Roman" w:hAnsi="Times New Roman" w:cs="Times New Roman"/>
          <w:color w:val="000000"/>
          <w:sz w:val="21"/>
          <w:szCs w:val="21"/>
          <w:shd w:val="clear" w:color="auto" w:fill="FFFFFF"/>
        </w:rPr>
        <w:t>公司和相关方正全力推进星云开物并购重组工作，尽早完成公司与星云开物业务整合。</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5" w:name="_Toc988931"/>
      <w:r w:rsidRPr="00672DC8">
        <w:rPr>
          <w:rFonts w:ascii="Times New Roman" w:eastAsia="宋体" w:hAnsi="Times New Roman" w:cs="Times New Roman"/>
          <w:b/>
          <w:bCs/>
          <w:sz w:val="24"/>
          <w:szCs w:val="24"/>
        </w:rPr>
        <w:t>十一、报告期内接待调研、沟通、采访等活动登记表</w:t>
      </w:r>
      <w:bookmarkEnd w:id="5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6"/>
        <w:gridCol w:w="1376"/>
        <w:gridCol w:w="1376"/>
        <w:gridCol w:w="1376"/>
        <w:gridCol w:w="1376"/>
        <w:gridCol w:w="1376"/>
        <w:gridCol w:w="1375"/>
      </w:tblGrid>
      <w:tr w:rsidR="003D2BA8" w:rsidRPr="00672DC8" w:rsidTr="0008524E">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接待时间</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接待地点</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接待方式</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接待对象类型</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接待对象</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谈论的主要内容及提供的资料</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调研的基本情况索引</w:t>
            </w:r>
          </w:p>
        </w:tc>
      </w:tr>
      <w:tr w:rsidR="003D2BA8" w:rsidRPr="00672DC8" w:rsidTr="0008524E">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lastRenderedPageBreak/>
              <w:t>15</w:t>
            </w:r>
            <w:r w:rsidRPr="00672DC8">
              <w:rPr>
                <w:rFonts w:ascii="Times New Roman" w:eastAsia="宋体" w:hAnsi="Times New Roman" w:cs="Times New Roman"/>
                <w:sz w:val="18"/>
                <w:szCs w:val="18"/>
              </w:rPr>
              <w:t>日</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互联网</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网络平台线上</w:t>
            </w:r>
            <w:r w:rsidRPr="00672DC8">
              <w:rPr>
                <w:rFonts w:ascii="Times New Roman" w:eastAsia="宋体" w:hAnsi="Times New Roman" w:cs="Times New Roman"/>
                <w:sz w:val="18"/>
                <w:szCs w:val="18"/>
              </w:rPr>
              <w:lastRenderedPageBreak/>
              <w:t>交流</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个人</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投资者</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就投资者提问</w:t>
            </w:r>
            <w:r w:rsidRPr="00672DC8">
              <w:rPr>
                <w:rFonts w:ascii="Times New Roman" w:eastAsia="宋体" w:hAnsi="Times New Roman" w:cs="Times New Roman"/>
                <w:sz w:val="18"/>
                <w:szCs w:val="18"/>
              </w:rPr>
              <w:lastRenderedPageBreak/>
              <w:t>进行了回复。</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详见公司于</w:t>
            </w:r>
            <w:r w:rsidRPr="00672DC8">
              <w:rPr>
                <w:rFonts w:ascii="Times New Roman" w:eastAsia="宋体" w:hAnsi="Times New Roman" w:cs="Times New Roman"/>
                <w:sz w:val="18"/>
                <w:szCs w:val="18"/>
              </w:rPr>
              <w:lastRenderedPageBreak/>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日发布于巨潮资讯网的《广东天亿马信息产业股份有限公司</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年度业绩说明会投资者活动记录表》。</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6" w:name="_Toc988932"/>
      <w:r w:rsidRPr="00672DC8">
        <w:rPr>
          <w:rFonts w:ascii="Times New Roman" w:eastAsia="宋体" w:hAnsi="Times New Roman" w:cs="Times New Roman"/>
          <w:b/>
          <w:bCs/>
          <w:sz w:val="24"/>
          <w:szCs w:val="24"/>
        </w:rPr>
        <w:lastRenderedPageBreak/>
        <w:t>十二、市值管理制度和估值提升计划的制定落实情况</w:t>
      </w:r>
      <w:bookmarkEnd w:id="5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公司是否制定了市值管理制度。</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公司是否披露了估值提升计划。</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7" w:name="_Toc988933"/>
      <w:r w:rsidRPr="00672DC8">
        <w:rPr>
          <w:rFonts w:ascii="Times New Roman" w:eastAsia="宋体" w:hAnsi="Times New Roman" w:cs="Times New Roman"/>
          <w:b/>
          <w:bCs/>
          <w:sz w:val="24"/>
          <w:szCs w:val="24"/>
        </w:rPr>
        <w:t>十三、</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质量回报双提升</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行动方案贯彻落实情况</w:t>
      </w:r>
      <w:bookmarkEnd w:id="57"/>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公司是否披露了</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质量回报双提升</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行动方案公告。</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58" w:name="_Toc238760458"/>
      <w:r w:rsidRPr="00672DC8">
        <w:rPr>
          <w:rFonts w:ascii="Times New Roman" w:eastAsia="宋体" w:hAnsi="Times New Roman" w:cs="Times New Roman"/>
          <w:b/>
          <w:bCs/>
          <w:sz w:val="32"/>
          <w:szCs w:val="32"/>
        </w:rPr>
        <w:lastRenderedPageBreak/>
        <w:t>第四节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公司治理、环境和社会</w:t>
      </w:r>
      <w:bookmarkEnd w:id="58"/>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9" w:name="_Toc988935"/>
      <w:r w:rsidRPr="00672DC8">
        <w:rPr>
          <w:rFonts w:ascii="Times New Roman" w:eastAsia="宋体" w:hAnsi="Times New Roman" w:cs="Times New Roman"/>
          <w:b/>
          <w:bCs/>
          <w:sz w:val="24"/>
          <w:szCs w:val="24"/>
        </w:rPr>
        <w:t>一、公司董事、高级管理人员变动情况</w:t>
      </w:r>
      <w:bookmarkEnd w:id="5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公司董事和高级管理人员在报告期没有发生变动，具体可参见</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年年报。</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0" w:name="_Toc988936"/>
      <w:r w:rsidRPr="00672DC8">
        <w:rPr>
          <w:rFonts w:ascii="Times New Roman" w:eastAsia="宋体" w:hAnsi="Times New Roman" w:cs="Times New Roman"/>
          <w:b/>
          <w:bCs/>
          <w:sz w:val="24"/>
          <w:szCs w:val="24"/>
        </w:rPr>
        <w:t>二、本报告期利润分配及资本公积金转增股本情况</w:t>
      </w:r>
      <w:bookmarkEnd w:id="6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公司计划半年度不派发现金红利，不送红股，不以公积金转增股本。</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1" w:name="_Toc988937"/>
      <w:r w:rsidRPr="00672DC8">
        <w:rPr>
          <w:rFonts w:ascii="Times New Roman" w:eastAsia="宋体" w:hAnsi="Times New Roman" w:cs="Times New Roman"/>
          <w:b/>
          <w:bCs/>
          <w:sz w:val="24"/>
          <w:szCs w:val="24"/>
        </w:rPr>
        <w:t>三、公司股权激励计划、员工持股计划或其他员工激励措施的实施情况</w:t>
      </w:r>
      <w:bookmarkEnd w:id="6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62" w:name="_Toc988938"/>
      <w:r w:rsidRPr="00672DC8">
        <w:rPr>
          <w:rFonts w:ascii="Times New Roman" w:hAnsi="Times New Roman" w:cs="Times New Roman"/>
          <w:b/>
          <w:bCs/>
        </w:rPr>
        <w:t>1</w:t>
      </w:r>
      <w:r w:rsidRPr="00672DC8">
        <w:rPr>
          <w:rFonts w:ascii="Times New Roman" w:hAnsi="Times New Roman" w:cs="Times New Roman"/>
          <w:b/>
          <w:bCs/>
        </w:rPr>
        <w:t>、股权激励</w:t>
      </w:r>
      <w:bookmarkEnd w:id="62"/>
    </w:p>
    <w:p w:rsidR="000C0769" w:rsidRPr="00672DC8" w:rsidRDefault="000C0769" w:rsidP="00B17955">
      <w:pPr>
        <w:pStyle w:val="a3"/>
        <w:spacing w:line="288" w:lineRule="auto"/>
        <w:ind w:firstLine="420"/>
        <w:jc w:val="both"/>
        <w:divId w:val="1223171942"/>
        <w:rPr>
          <w:rFonts w:ascii="Times New Roman" w:hAnsi="Times New Roman" w:cs="Times New Roman"/>
        </w:rPr>
      </w:pPr>
      <w:r w:rsidRPr="00672DC8">
        <w:rPr>
          <w:rFonts w:ascii="Times New Roman" w:hAnsi="Times New Roman" w:cs="Times New Roman"/>
          <w:color w:val="000000"/>
          <w:sz w:val="21"/>
          <w:szCs w:val="21"/>
        </w:rPr>
        <w:t>经</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8</w:t>
      </w:r>
      <w:r w:rsidRPr="00672DC8">
        <w:rPr>
          <w:rFonts w:ascii="Times New Roman" w:hAnsi="Times New Roman" w:cs="Times New Roman"/>
          <w:color w:val="000000"/>
          <w:sz w:val="21"/>
          <w:szCs w:val="21"/>
        </w:rPr>
        <w:t>月召开的第三届董事会第十四次会议、第三届董事会第十五次会议审议通过，并经</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9</w:t>
      </w:r>
      <w:r w:rsidRPr="00672DC8">
        <w:rPr>
          <w:rFonts w:ascii="Times New Roman" w:hAnsi="Times New Roman" w:cs="Times New Roman"/>
          <w:color w:val="000000"/>
          <w:sz w:val="21"/>
          <w:szCs w:val="21"/>
        </w:rPr>
        <w:t>月召开的</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年第四次临时股东会审议通过，公司实施了</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年限制性股票激励计划，向</w:t>
      </w:r>
      <w:r w:rsidRPr="00672DC8">
        <w:rPr>
          <w:rFonts w:ascii="Times New Roman" w:hAnsi="Times New Roman" w:cs="Times New Roman"/>
          <w:color w:val="000000"/>
          <w:sz w:val="21"/>
          <w:szCs w:val="21"/>
        </w:rPr>
        <w:t>21</w:t>
      </w:r>
      <w:r w:rsidRPr="00672DC8">
        <w:rPr>
          <w:rFonts w:ascii="Times New Roman" w:hAnsi="Times New Roman" w:cs="Times New Roman"/>
          <w:color w:val="000000"/>
          <w:sz w:val="21"/>
          <w:szCs w:val="21"/>
        </w:rPr>
        <w:t>名激励对象授予</w:t>
      </w:r>
      <w:r w:rsidRPr="00672DC8">
        <w:rPr>
          <w:rFonts w:ascii="Times New Roman" w:hAnsi="Times New Roman" w:cs="Times New Roman"/>
          <w:color w:val="000000"/>
          <w:sz w:val="21"/>
          <w:szCs w:val="21"/>
        </w:rPr>
        <w:t>334.12</w:t>
      </w:r>
      <w:r w:rsidRPr="00672DC8">
        <w:rPr>
          <w:rFonts w:ascii="Times New Roman" w:hAnsi="Times New Roman" w:cs="Times New Roman"/>
          <w:color w:val="000000"/>
          <w:sz w:val="21"/>
          <w:szCs w:val="21"/>
        </w:rPr>
        <w:t>万股限制性股票。其中授予</w:t>
      </w:r>
      <w:r w:rsidRPr="00672DC8">
        <w:rPr>
          <w:rFonts w:ascii="Times New Roman" w:hAnsi="Times New Roman" w:cs="Times New Roman"/>
          <w:color w:val="000000"/>
          <w:sz w:val="21"/>
          <w:szCs w:val="21"/>
        </w:rPr>
        <w:t>2</w:t>
      </w:r>
      <w:r w:rsidRPr="00672DC8">
        <w:rPr>
          <w:rFonts w:ascii="Times New Roman" w:hAnsi="Times New Roman" w:cs="Times New Roman"/>
          <w:color w:val="000000"/>
          <w:sz w:val="21"/>
          <w:szCs w:val="21"/>
        </w:rPr>
        <w:t>名激励对象</w:t>
      </w:r>
      <w:r w:rsidRPr="00672DC8">
        <w:rPr>
          <w:rFonts w:ascii="Times New Roman" w:hAnsi="Times New Roman" w:cs="Times New Roman"/>
          <w:color w:val="000000"/>
          <w:sz w:val="21"/>
          <w:szCs w:val="21"/>
        </w:rPr>
        <w:t xml:space="preserve">128.00 </w:t>
      </w:r>
      <w:r w:rsidRPr="00672DC8">
        <w:rPr>
          <w:rFonts w:ascii="Times New Roman" w:hAnsi="Times New Roman" w:cs="Times New Roman"/>
          <w:color w:val="000000"/>
          <w:sz w:val="21"/>
          <w:szCs w:val="21"/>
        </w:rPr>
        <w:t>万股第一类限制性股票，授予</w:t>
      </w:r>
      <w:r w:rsidRPr="00672DC8">
        <w:rPr>
          <w:rFonts w:ascii="Times New Roman" w:hAnsi="Times New Roman" w:cs="Times New Roman"/>
          <w:color w:val="000000"/>
          <w:sz w:val="21"/>
          <w:szCs w:val="21"/>
        </w:rPr>
        <w:t>19</w:t>
      </w:r>
      <w:r w:rsidRPr="00672DC8">
        <w:rPr>
          <w:rFonts w:ascii="Times New Roman" w:hAnsi="Times New Roman" w:cs="Times New Roman"/>
          <w:color w:val="000000"/>
          <w:sz w:val="21"/>
          <w:szCs w:val="21"/>
        </w:rPr>
        <w:t>名激励对象</w:t>
      </w:r>
      <w:r w:rsidRPr="00672DC8">
        <w:rPr>
          <w:rFonts w:ascii="Times New Roman" w:hAnsi="Times New Roman" w:cs="Times New Roman"/>
          <w:color w:val="000000"/>
          <w:sz w:val="21"/>
          <w:szCs w:val="21"/>
        </w:rPr>
        <w:t xml:space="preserve">206.12 </w:t>
      </w:r>
      <w:r w:rsidRPr="00672DC8">
        <w:rPr>
          <w:rFonts w:ascii="Times New Roman" w:hAnsi="Times New Roman" w:cs="Times New Roman"/>
          <w:color w:val="000000"/>
          <w:sz w:val="21"/>
          <w:szCs w:val="21"/>
        </w:rPr>
        <w:t>万股第二类限制性股票，预留第二类限制性股票</w:t>
      </w:r>
      <w:r w:rsidRPr="00672DC8">
        <w:rPr>
          <w:rFonts w:ascii="Times New Roman" w:hAnsi="Times New Roman" w:cs="Times New Roman"/>
          <w:color w:val="000000"/>
          <w:sz w:val="21"/>
          <w:szCs w:val="21"/>
        </w:rPr>
        <w:t>60</w:t>
      </w:r>
      <w:r w:rsidRPr="00672DC8">
        <w:rPr>
          <w:rFonts w:ascii="Times New Roman" w:hAnsi="Times New Roman" w:cs="Times New Roman"/>
          <w:color w:val="000000"/>
          <w:sz w:val="21"/>
          <w:szCs w:val="21"/>
        </w:rPr>
        <w:t>万股，授予价格均为</w:t>
      </w:r>
      <w:r w:rsidRPr="00672DC8">
        <w:rPr>
          <w:rFonts w:ascii="Times New Roman" w:hAnsi="Times New Roman" w:cs="Times New Roman"/>
          <w:color w:val="000000"/>
          <w:sz w:val="21"/>
          <w:szCs w:val="21"/>
        </w:rPr>
        <w:t>15.91</w:t>
      </w:r>
      <w:r w:rsidRPr="00672DC8">
        <w:rPr>
          <w:rFonts w:ascii="Times New Roman" w:hAnsi="Times New Roman" w:cs="Times New Roman"/>
          <w:color w:val="000000"/>
          <w:sz w:val="21"/>
          <w:szCs w:val="21"/>
        </w:rPr>
        <w:t>元</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股。</w:t>
      </w:r>
    </w:p>
    <w:p w:rsidR="000C0769" w:rsidRPr="00672DC8" w:rsidRDefault="000C0769" w:rsidP="00B17955">
      <w:pPr>
        <w:pStyle w:val="a3"/>
        <w:spacing w:line="288" w:lineRule="auto"/>
        <w:ind w:firstLine="420"/>
        <w:jc w:val="both"/>
        <w:divId w:val="1223171942"/>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 xml:space="preserve"> 2024</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27</w:t>
      </w:r>
      <w:r w:rsidRPr="00672DC8">
        <w:rPr>
          <w:rFonts w:ascii="Times New Roman" w:hAnsi="Times New Roman" w:cs="Times New Roman"/>
          <w:color w:val="000000"/>
          <w:sz w:val="21"/>
          <w:szCs w:val="21"/>
        </w:rPr>
        <w:t>日召开的第三届董事会第二十二次会议，另于</w:t>
      </w:r>
      <w:r w:rsidRPr="00672DC8">
        <w:rPr>
          <w:rFonts w:ascii="Times New Roman" w:hAnsi="Times New Roman" w:cs="Times New Roman"/>
          <w:color w:val="000000"/>
          <w:sz w:val="21"/>
          <w:szCs w:val="21"/>
        </w:rPr>
        <w:t>2024</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5</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20</w:t>
      </w:r>
      <w:r w:rsidRPr="00672DC8">
        <w:rPr>
          <w:rFonts w:ascii="Times New Roman" w:hAnsi="Times New Roman" w:cs="Times New Roman"/>
          <w:color w:val="000000"/>
          <w:sz w:val="21"/>
          <w:szCs w:val="21"/>
        </w:rPr>
        <w:t>日召开</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年年度股东大会，审议通过了《关于回购注销部分已授予但尚未解除限售的限制性股票的议案》《关于作废部分已授予但尚未归属的限制性股票的议案》。因</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年度公司层面业绩考核未达标，由公司回购并注销首次授予</w:t>
      </w:r>
      <w:r w:rsidRPr="00672DC8">
        <w:rPr>
          <w:rFonts w:ascii="Times New Roman" w:hAnsi="Times New Roman" w:cs="Times New Roman"/>
          <w:color w:val="000000"/>
          <w:sz w:val="21"/>
          <w:szCs w:val="21"/>
        </w:rPr>
        <w:t>2</w:t>
      </w:r>
      <w:r w:rsidRPr="00672DC8">
        <w:rPr>
          <w:rFonts w:ascii="Times New Roman" w:hAnsi="Times New Roman" w:cs="Times New Roman"/>
          <w:color w:val="000000"/>
          <w:sz w:val="21"/>
          <w:szCs w:val="21"/>
        </w:rPr>
        <w:t>名激励对象已获授但尚未解除限售的第一类限制性股票</w:t>
      </w:r>
      <w:r w:rsidRPr="00672DC8">
        <w:rPr>
          <w:rFonts w:ascii="Times New Roman" w:hAnsi="Times New Roman" w:cs="Times New Roman"/>
          <w:color w:val="000000"/>
          <w:sz w:val="21"/>
          <w:szCs w:val="21"/>
        </w:rPr>
        <w:t>128,000</w:t>
      </w:r>
      <w:r w:rsidRPr="00672DC8">
        <w:rPr>
          <w:rFonts w:ascii="Times New Roman" w:hAnsi="Times New Roman" w:cs="Times New Roman"/>
          <w:color w:val="000000"/>
          <w:sz w:val="21"/>
          <w:szCs w:val="21"/>
        </w:rPr>
        <w:t>股，作废激励对象已获授但尚未归属的第二类限制性股票共计</w:t>
      </w:r>
      <w:r w:rsidRPr="00672DC8">
        <w:rPr>
          <w:rFonts w:ascii="Times New Roman" w:hAnsi="Times New Roman" w:cs="Times New Roman"/>
          <w:color w:val="000000"/>
          <w:sz w:val="21"/>
          <w:szCs w:val="21"/>
        </w:rPr>
        <w:t>20.612</w:t>
      </w:r>
      <w:r w:rsidRPr="00672DC8">
        <w:rPr>
          <w:rFonts w:ascii="Times New Roman" w:hAnsi="Times New Roman" w:cs="Times New Roman"/>
          <w:color w:val="000000"/>
          <w:sz w:val="21"/>
          <w:szCs w:val="21"/>
        </w:rPr>
        <w:t>万股。公司于</w:t>
      </w:r>
      <w:r w:rsidRPr="00672DC8">
        <w:rPr>
          <w:rFonts w:ascii="Times New Roman" w:hAnsi="Times New Roman" w:cs="Times New Roman"/>
          <w:color w:val="000000"/>
          <w:sz w:val="21"/>
          <w:szCs w:val="21"/>
        </w:rPr>
        <w:t>2024</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8</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28</w:t>
      </w:r>
      <w:r w:rsidRPr="00672DC8">
        <w:rPr>
          <w:rFonts w:ascii="Times New Roman" w:hAnsi="Times New Roman" w:cs="Times New Roman"/>
          <w:color w:val="000000"/>
          <w:sz w:val="21"/>
          <w:szCs w:val="21"/>
        </w:rPr>
        <w:t>日召开第三届董事会第二十四次会议，另于</w:t>
      </w:r>
      <w:r w:rsidRPr="00672DC8">
        <w:rPr>
          <w:rFonts w:ascii="Times New Roman" w:hAnsi="Times New Roman" w:cs="Times New Roman"/>
          <w:color w:val="000000"/>
          <w:sz w:val="21"/>
          <w:szCs w:val="21"/>
        </w:rPr>
        <w:t xml:space="preserve"> 2024</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9</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20</w:t>
      </w:r>
      <w:r w:rsidRPr="00672DC8">
        <w:rPr>
          <w:rFonts w:ascii="Times New Roman" w:hAnsi="Times New Roman" w:cs="Times New Roman"/>
          <w:color w:val="000000"/>
          <w:sz w:val="21"/>
          <w:szCs w:val="21"/>
        </w:rPr>
        <w:t>日召开</w:t>
      </w:r>
      <w:r w:rsidRPr="00672DC8">
        <w:rPr>
          <w:rFonts w:ascii="Times New Roman" w:hAnsi="Times New Roman" w:cs="Times New Roman"/>
          <w:color w:val="000000"/>
          <w:sz w:val="21"/>
          <w:szCs w:val="21"/>
        </w:rPr>
        <w:t>2024</w:t>
      </w:r>
      <w:r w:rsidRPr="00672DC8">
        <w:rPr>
          <w:rFonts w:ascii="Times New Roman" w:hAnsi="Times New Roman" w:cs="Times New Roman"/>
          <w:color w:val="000000"/>
          <w:sz w:val="21"/>
          <w:szCs w:val="21"/>
        </w:rPr>
        <w:t>年第三次临时股东会，审议通过了《关于调整</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年限制性股票激励计划第一类限制性股票回购价格、第二类限制性股票授予价格的议案》，因公司实施完成了</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年度权益分派，根据《公司</w:t>
      </w:r>
      <w:r w:rsidRPr="00672DC8">
        <w:rPr>
          <w:rFonts w:ascii="Times New Roman" w:hAnsi="Times New Roman" w:cs="Times New Roman"/>
          <w:color w:val="000000"/>
          <w:sz w:val="21"/>
          <w:szCs w:val="21"/>
        </w:rPr>
        <w:t>2023</w:t>
      </w:r>
      <w:r w:rsidRPr="00672DC8">
        <w:rPr>
          <w:rFonts w:ascii="Times New Roman" w:hAnsi="Times New Roman" w:cs="Times New Roman"/>
          <w:color w:val="000000"/>
          <w:sz w:val="21"/>
          <w:szCs w:val="21"/>
        </w:rPr>
        <w:t>年限制性股票激励计划》及其考核管理办法，公司对第一类限制性股票回购价格及第二类限制性股票授予价格予以调整，授予价格由</w:t>
      </w:r>
      <w:r w:rsidRPr="00672DC8">
        <w:rPr>
          <w:rFonts w:ascii="Times New Roman" w:hAnsi="Times New Roman" w:cs="Times New Roman"/>
          <w:color w:val="000000"/>
          <w:sz w:val="21"/>
          <w:szCs w:val="21"/>
        </w:rPr>
        <w:t>15.91</w:t>
      </w:r>
      <w:r w:rsidRPr="00672DC8">
        <w:rPr>
          <w:rFonts w:ascii="Times New Roman" w:hAnsi="Times New Roman" w:cs="Times New Roman"/>
          <w:color w:val="000000"/>
          <w:sz w:val="21"/>
          <w:szCs w:val="21"/>
        </w:rPr>
        <w:t>元</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股调整至</w:t>
      </w:r>
      <w:r w:rsidRPr="00672DC8">
        <w:rPr>
          <w:rFonts w:ascii="Times New Roman" w:hAnsi="Times New Roman" w:cs="Times New Roman"/>
          <w:color w:val="000000"/>
          <w:sz w:val="21"/>
          <w:szCs w:val="21"/>
        </w:rPr>
        <w:t>15.8114965</w:t>
      </w:r>
      <w:r w:rsidRPr="00672DC8">
        <w:rPr>
          <w:rFonts w:ascii="Times New Roman" w:hAnsi="Times New Roman" w:cs="Times New Roman"/>
          <w:color w:val="000000"/>
          <w:sz w:val="21"/>
          <w:szCs w:val="21"/>
        </w:rPr>
        <w:t>元</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股。同年</w:t>
      </w:r>
      <w:r w:rsidRPr="00672DC8">
        <w:rPr>
          <w:rFonts w:ascii="Times New Roman" w:hAnsi="Times New Roman" w:cs="Times New Roman"/>
          <w:color w:val="000000"/>
          <w:sz w:val="21"/>
          <w:szCs w:val="21"/>
        </w:rPr>
        <w:t>9</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10</w:t>
      </w:r>
      <w:r w:rsidRPr="00672DC8">
        <w:rPr>
          <w:rFonts w:ascii="Times New Roman" w:hAnsi="Times New Roman" w:cs="Times New Roman"/>
          <w:color w:val="000000"/>
          <w:sz w:val="21"/>
          <w:szCs w:val="21"/>
        </w:rPr>
        <w:t>日，由于公司未对预留权益进行授予，预留部分的第二类限制性股票过期作废，不再授予确认。</w:t>
      </w:r>
    </w:p>
    <w:p w:rsidR="000C0769" w:rsidRPr="00672DC8" w:rsidRDefault="000C0769" w:rsidP="00B17955">
      <w:pPr>
        <w:pStyle w:val="a3"/>
        <w:spacing w:line="288" w:lineRule="auto"/>
        <w:ind w:firstLine="420"/>
        <w:jc w:val="both"/>
        <w:divId w:val="1223171942"/>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18</w:t>
      </w:r>
      <w:r w:rsidRPr="00672DC8">
        <w:rPr>
          <w:rFonts w:ascii="Times New Roman" w:hAnsi="Times New Roman" w:cs="Times New Roman"/>
          <w:color w:val="000000"/>
          <w:sz w:val="21"/>
          <w:szCs w:val="21"/>
        </w:rPr>
        <w:t>日召开第三届董事会第三十次会议，另于</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5</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13</w:t>
      </w:r>
      <w:r w:rsidRPr="00672DC8">
        <w:rPr>
          <w:rFonts w:ascii="Times New Roman" w:hAnsi="Times New Roman" w:cs="Times New Roman"/>
          <w:color w:val="000000"/>
          <w:sz w:val="21"/>
          <w:szCs w:val="21"/>
        </w:rPr>
        <w:t>日召开</w:t>
      </w:r>
      <w:r w:rsidRPr="00672DC8">
        <w:rPr>
          <w:rFonts w:ascii="Times New Roman" w:hAnsi="Times New Roman" w:cs="Times New Roman"/>
          <w:color w:val="000000"/>
          <w:sz w:val="21"/>
          <w:szCs w:val="21"/>
        </w:rPr>
        <w:t>2024</w:t>
      </w:r>
      <w:r w:rsidRPr="00672DC8">
        <w:rPr>
          <w:rFonts w:ascii="Times New Roman" w:hAnsi="Times New Roman" w:cs="Times New Roman"/>
          <w:color w:val="000000"/>
          <w:sz w:val="21"/>
          <w:szCs w:val="21"/>
        </w:rPr>
        <w:t>年年度股东会，审议通过了《关于回购注销部分已授予但尚未解除限售的限制性股票的议案》。因</w:t>
      </w:r>
      <w:r w:rsidRPr="00672DC8">
        <w:rPr>
          <w:rFonts w:ascii="Times New Roman" w:hAnsi="Times New Roman" w:cs="Times New Roman"/>
          <w:color w:val="000000"/>
          <w:sz w:val="21"/>
          <w:szCs w:val="21"/>
        </w:rPr>
        <w:t>2024</w:t>
      </w:r>
      <w:r w:rsidRPr="00672DC8">
        <w:rPr>
          <w:rFonts w:ascii="Times New Roman" w:hAnsi="Times New Roman" w:cs="Times New Roman"/>
          <w:color w:val="000000"/>
          <w:sz w:val="21"/>
          <w:szCs w:val="21"/>
        </w:rPr>
        <w:t>年度公司层面业绩考核未达标，由公司回购并注销首次授予</w:t>
      </w:r>
      <w:r w:rsidRPr="00672DC8">
        <w:rPr>
          <w:rFonts w:ascii="Times New Roman" w:hAnsi="Times New Roman" w:cs="Times New Roman"/>
          <w:color w:val="000000"/>
          <w:sz w:val="21"/>
          <w:szCs w:val="21"/>
        </w:rPr>
        <w:t>2</w:t>
      </w:r>
      <w:r w:rsidRPr="00672DC8">
        <w:rPr>
          <w:rFonts w:ascii="Times New Roman" w:hAnsi="Times New Roman" w:cs="Times New Roman"/>
          <w:color w:val="000000"/>
          <w:sz w:val="21"/>
          <w:szCs w:val="21"/>
        </w:rPr>
        <w:t>名激励对象</w:t>
      </w:r>
      <w:r w:rsidRPr="00672DC8">
        <w:rPr>
          <w:rFonts w:ascii="Times New Roman" w:hAnsi="Times New Roman" w:cs="Times New Roman"/>
          <w:color w:val="333333"/>
          <w:sz w:val="21"/>
          <w:szCs w:val="21"/>
          <w:shd w:val="clear" w:color="auto" w:fill="FFFFFF"/>
        </w:rPr>
        <w:t>已授予但尚未解除限售的限制性股票</w:t>
      </w:r>
      <w:r w:rsidRPr="00672DC8">
        <w:rPr>
          <w:rFonts w:ascii="Times New Roman" w:hAnsi="Times New Roman" w:cs="Times New Roman"/>
          <w:color w:val="333333"/>
          <w:sz w:val="21"/>
          <w:szCs w:val="21"/>
          <w:shd w:val="clear" w:color="auto" w:fill="FFFFFF"/>
        </w:rPr>
        <w:t>256,000</w:t>
      </w:r>
      <w:r w:rsidRPr="00672DC8">
        <w:rPr>
          <w:rFonts w:ascii="Times New Roman" w:hAnsi="Times New Roman" w:cs="Times New Roman"/>
          <w:color w:val="333333"/>
          <w:sz w:val="21"/>
          <w:szCs w:val="21"/>
          <w:shd w:val="clear" w:color="auto" w:fill="FFFFFF"/>
        </w:rPr>
        <w:t>股，另已授予但尚未归属的第二类限制性股票作废</w:t>
      </w:r>
      <w:r w:rsidRPr="00672DC8">
        <w:rPr>
          <w:rFonts w:ascii="Times New Roman" w:hAnsi="Times New Roman" w:cs="Times New Roman"/>
          <w:color w:val="000000"/>
          <w:sz w:val="21"/>
          <w:szCs w:val="21"/>
        </w:rPr>
        <w:t>。</w:t>
      </w:r>
    </w:p>
    <w:p w:rsidR="000C0769" w:rsidRPr="00672DC8" w:rsidRDefault="000C0769" w:rsidP="00B17955">
      <w:pPr>
        <w:pStyle w:val="a3"/>
        <w:spacing w:line="288" w:lineRule="auto"/>
        <w:ind w:firstLine="420"/>
        <w:jc w:val="both"/>
        <w:divId w:val="1223171942"/>
        <w:rPr>
          <w:rFonts w:ascii="Times New Roman" w:hAnsi="Times New Roman" w:cs="Times New Roman"/>
        </w:rPr>
      </w:pPr>
      <w:r w:rsidRPr="00672DC8">
        <w:rPr>
          <w:rFonts w:ascii="Times New Roman" w:hAnsi="Times New Roman" w:cs="Times New Roman"/>
          <w:color w:val="000000"/>
          <w:sz w:val="21"/>
          <w:szCs w:val="21"/>
        </w:rPr>
        <w:lastRenderedPageBreak/>
        <w:t>本报告期内，公司于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15</w:t>
      </w:r>
      <w:r w:rsidRPr="00672DC8">
        <w:rPr>
          <w:rFonts w:ascii="Times New Roman" w:hAnsi="Times New Roman" w:cs="Times New Roman"/>
          <w:color w:val="000000"/>
          <w:sz w:val="21"/>
          <w:szCs w:val="21"/>
        </w:rPr>
        <w:t>日进行了</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度权益分派，实施后，第一类限制性股票授予对象持有的未解锁限制性股票数量相应增加。第一类限制性股票回购价格、第二类限制性股票授予价格及数量相应进行除权除息。该事项尚待提交董事会审议通过后方可生效。此外，本报告期内公司股权激励计划无实施进展。</w:t>
      </w:r>
    </w:p>
    <w:p w:rsidR="003D2BA8" w:rsidRPr="00672DC8" w:rsidRDefault="000C0769">
      <w:pPr>
        <w:pStyle w:val="3"/>
        <w:spacing w:line="280" w:lineRule="exact"/>
        <w:jc w:val="left"/>
        <w:rPr>
          <w:rFonts w:ascii="Times New Roman" w:hAnsi="Times New Roman" w:cs="Times New Roman"/>
          <w:b/>
          <w:bCs/>
        </w:rPr>
      </w:pPr>
      <w:bookmarkStart w:id="63" w:name="_Toc988939"/>
      <w:r w:rsidRPr="00672DC8">
        <w:rPr>
          <w:rFonts w:ascii="Times New Roman" w:hAnsi="Times New Roman" w:cs="Times New Roman"/>
          <w:b/>
          <w:bCs/>
        </w:rPr>
        <w:t>2</w:t>
      </w:r>
      <w:r w:rsidRPr="00672DC8">
        <w:rPr>
          <w:rFonts w:ascii="Times New Roman" w:hAnsi="Times New Roman" w:cs="Times New Roman"/>
          <w:b/>
          <w:bCs/>
        </w:rPr>
        <w:t>、员工持股计划的实施情况</w:t>
      </w:r>
      <w:bookmarkEnd w:id="6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报告期内全部有效的员工持股计划情况</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员工的范围</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员工人数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持有的股票总数（股）</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变更情况</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占上市公司股本总额的比例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实施计划的资金来源</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公司（含子公司）核心员工</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661,360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 xml:space="preserve"> 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28</w:t>
            </w:r>
            <w:r w:rsidRPr="00672DC8">
              <w:rPr>
                <w:rFonts w:ascii="Times New Roman" w:eastAsia="宋体" w:hAnsi="Times New Roman" w:cs="Times New Roman"/>
                <w:sz w:val="18"/>
                <w:szCs w:val="18"/>
              </w:rPr>
              <w:t>日，由于公司层面业绩考核未达标，第一个锁定期对应标的股票权益标的不得解锁，由管理委员会收回，该部分股票尚未处置。</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28</w:t>
            </w:r>
            <w:r w:rsidRPr="00672DC8">
              <w:rPr>
                <w:rFonts w:ascii="Times New Roman" w:eastAsia="宋体" w:hAnsi="Times New Roman" w:cs="Times New Roman"/>
                <w:sz w:val="18"/>
                <w:szCs w:val="18"/>
              </w:rPr>
              <w:t>日，由于公司层面业绩考核未达标，第二个锁定期对应标的股票权益标的不得解锁，由管理委员会收回，该部分股票尚未处置。</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 xml:space="preserve"> 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日，公司实施了</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年度权益分派，员工持股计划平台获得转增股份</w:t>
            </w:r>
            <w:r w:rsidRPr="00672DC8">
              <w:rPr>
                <w:rFonts w:ascii="Times New Roman" w:eastAsia="宋体" w:hAnsi="Times New Roman" w:cs="Times New Roman"/>
                <w:sz w:val="18"/>
                <w:szCs w:val="18"/>
              </w:rPr>
              <w:t>188,960</w:t>
            </w:r>
            <w:r w:rsidRPr="00672DC8">
              <w:rPr>
                <w:rFonts w:ascii="Times New Roman" w:eastAsia="宋体" w:hAnsi="Times New Roman" w:cs="Times New Roman"/>
                <w:sz w:val="18"/>
                <w:szCs w:val="18"/>
              </w:rPr>
              <w:t>股。</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员工合法薪酬、自筹资金和法律、行政法规允许的其他方式</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报告期内董事、高级管理人员在员工持股计划中的持股情况</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姓名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职务</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报告期初持股数（股）</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报告期末持股数（股）</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占上市公司股本总额的比例</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报告期内资产管理机构的变更情况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报告期内因持有人处置份额等引起的权益变动情况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报告期内股东权利行使的情况</w:t>
      </w:r>
    </w:p>
    <w:p w:rsidR="00D05153" w:rsidRPr="00672DC8" w:rsidRDefault="000C0769" w:rsidP="00D05153">
      <w:pPr>
        <w:pStyle w:val="a3"/>
        <w:ind w:firstLineChars="200" w:firstLine="420"/>
        <w:jc w:val="both"/>
        <w:divId w:val="462161782"/>
        <w:rPr>
          <w:rFonts w:ascii="Times New Roman" w:hAnsi="Times New Roman" w:cs="Times New Roman"/>
          <w:sz w:val="21"/>
          <w:szCs w:val="21"/>
        </w:rPr>
      </w:pPr>
      <w:r w:rsidRPr="00672DC8">
        <w:rPr>
          <w:rFonts w:ascii="Times New Roman" w:hAnsi="Times New Roman" w:cs="Times New Roman"/>
          <w:sz w:val="21"/>
          <w:szCs w:val="21"/>
        </w:rPr>
        <w:lastRenderedPageBreak/>
        <w:t> 2026</w:t>
      </w:r>
      <w:r w:rsidRPr="00672DC8">
        <w:rPr>
          <w:rFonts w:ascii="Times New Roman" w:hAnsi="Times New Roman" w:cs="Times New Roman"/>
          <w:sz w:val="21"/>
          <w:szCs w:val="21"/>
        </w:rPr>
        <w:t>年</w:t>
      </w:r>
      <w:r w:rsidRPr="00672DC8">
        <w:rPr>
          <w:rFonts w:ascii="Times New Roman" w:hAnsi="Times New Roman" w:cs="Times New Roman"/>
          <w:sz w:val="21"/>
          <w:szCs w:val="21"/>
        </w:rPr>
        <w:t>4</w:t>
      </w:r>
      <w:r w:rsidRPr="00672DC8">
        <w:rPr>
          <w:rFonts w:ascii="Times New Roman" w:hAnsi="Times New Roman" w:cs="Times New Roman"/>
          <w:sz w:val="21"/>
          <w:szCs w:val="21"/>
        </w:rPr>
        <w:t>月</w:t>
      </w:r>
      <w:r w:rsidRPr="00672DC8">
        <w:rPr>
          <w:rFonts w:ascii="Times New Roman" w:hAnsi="Times New Roman" w:cs="Times New Roman"/>
          <w:sz w:val="21"/>
          <w:szCs w:val="21"/>
        </w:rPr>
        <w:t>21</w:t>
      </w:r>
      <w:r w:rsidRPr="00672DC8">
        <w:rPr>
          <w:rFonts w:ascii="Times New Roman" w:hAnsi="Times New Roman" w:cs="Times New Roman"/>
          <w:sz w:val="21"/>
          <w:szCs w:val="21"/>
        </w:rPr>
        <w:t>日，公司召开</w:t>
      </w:r>
      <w:r w:rsidRPr="00672DC8">
        <w:rPr>
          <w:rFonts w:ascii="Times New Roman" w:hAnsi="Times New Roman" w:cs="Times New Roman"/>
          <w:sz w:val="21"/>
          <w:szCs w:val="21"/>
        </w:rPr>
        <w:t xml:space="preserve"> 2025</w:t>
      </w:r>
      <w:r w:rsidRPr="00672DC8">
        <w:rPr>
          <w:rFonts w:ascii="Times New Roman" w:hAnsi="Times New Roman" w:cs="Times New Roman"/>
          <w:sz w:val="21"/>
          <w:szCs w:val="21"/>
        </w:rPr>
        <w:t>年年度股东会，审议</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《关于＜</w:t>
      </w:r>
      <w:r w:rsidRPr="00672DC8">
        <w:rPr>
          <w:rFonts w:ascii="Times New Roman" w:hAnsi="Times New Roman" w:cs="Times New Roman"/>
          <w:sz w:val="21"/>
          <w:szCs w:val="21"/>
        </w:rPr>
        <w:t>2025</w:t>
      </w:r>
      <w:r w:rsidRPr="00672DC8">
        <w:rPr>
          <w:rFonts w:ascii="Times New Roman" w:hAnsi="Times New Roman" w:cs="Times New Roman"/>
          <w:sz w:val="21"/>
          <w:szCs w:val="21"/>
        </w:rPr>
        <w:t>年度董事会工作报告＞的议案》等议案。广东天亿马信息产业股份有限公司－</w:t>
      </w:r>
      <w:r w:rsidRPr="00672DC8">
        <w:rPr>
          <w:rFonts w:ascii="Times New Roman" w:hAnsi="Times New Roman" w:cs="Times New Roman"/>
          <w:sz w:val="21"/>
          <w:szCs w:val="21"/>
        </w:rPr>
        <w:t>2023</w:t>
      </w:r>
      <w:r w:rsidRPr="00672DC8">
        <w:rPr>
          <w:rFonts w:ascii="Times New Roman" w:hAnsi="Times New Roman" w:cs="Times New Roman"/>
          <w:sz w:val="21"/>
          <w:szCs w:val="21"/>
        </w:rPr>
        <w:t>年员工持股计划作为股东对相关议案行使了表决权，对所有议案投出同意票。</w:t>
      </w:r>
    </w:p>
    <w:p w:rsidR="000C0769" w:rsidRPr="00672DC8" w:rsidRDefault="000C0769" w:rsidP="00D05153">
      <w:pPr>
        <w:pStyle w:val="a3"/>
        <w:ind w:firstLineChars="200" w:firstLine="420"/>
        <w:jc w:val="both"/>
        <w:divId w:val="462161782"/>
        <w:rPr>
          <w:rFonts w:ascii="Times New Roman" w:hAnsi="Times New Roman" w:cs="Times New Roman"/>
          <w:sz w:val="18"/>
          <w:szCs w:val="18"/>
        </w:rPr>
      </w:pP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w:t>
      </w:r>
      <w:r w:rsidRPr="00672DC8">
        <w:rPr>
          <w:rFonts w:ascii="Times New Roman" w:hAnsi="Times New Roman" w:cs="Times New Roman"/>
          <w:sz w:val="21"/>
          <w:szCs w:val="21"/>
        </w:rPr>
        <w:t>15</w:t>
      </w:r>
      <w:r w:rsidRPr="00672DC8">
        <w:rPr>
          <w:rFonts w:ascii="Times New Roman" w:hAnsi="Times New Roman" w:cs="Times New Roman"/>
          <w:sz w:val="21"/>
          <w:szCs w:val="21"/>
        </w:rPr>
        <w:t>日，公司实施了</w:t>
      </w:r>
      <w:r w:rsidRPr="00672DC8">
        <w:rPr>
          <w:rFonts w:ascii="Times New Roman" w:hAnsi="Times New Roman" w:cs="Times New Roman"/>
          <w:sz w:val="21"/>
          <w:szCs w:val="21"/>
        </w:rPr>
        <w:t>2025</w:t>
      </w:r>
      <w:r w:rsidRPr="00672DC8">
        <w:rPr>
          <w:rFonts w:ascii="Times New Roman" w:hAnsi="Times New Roman" w:cs="Times New Roman"/>
          <w:sz w:val="21"/>
          <w:szCs w:val="21"/>
        </w:rPr>
        <w:t>年度权益分派，以</w:t>
      </w:r>
      <w:r w:rsidRPr="00672DC8">
        <w:rPr>
          <w:rFonts w:ascii="Times New Roman" w:hAnsi="Times New Roman" w:cs="Times New Roman"/>
          <w:sz w:val="21"/>
          <w:szCs w:val="21"/>
        </w:rPr>
        <w:t>2025</w:t>
      </w:r>
      <w:r w:rsidRPr="00672DC8">
        <w:rPr>
          <w:rFonts w:ascii="Times New Roman" w:hAnsi="Times New Roman" w:cs="Times New Roman"/>
          <w:sz w:val="21"/>
          <w:szCs w:val="21"/>
        </w:rPr>
        <w:t>年</w:t>
      </w:r>
      <w:r w:rsidRPr="00672DC8">
        <w:rPr>
          <w:rFonts w:ascii="Times New Roman" w:hAnsi="Times New Roman" w:cs="Times New Roman"/>
          <w:sz w:val="21"/>
          <w:szCs w:val="21"/>
        </w:rPr>
        <w:t>12</w:t>
      </w:r>
      <w:r w:rsidRPr="00672DC8">
        <w:rPr>
          <w:rFonts w:ascii="Times New Roman" w:hAnsi="Times New Roman" w:cs="Times New Roman"/>
          <w:sz w:val="21"/>
          <w:szCs w:val="21"/>
        </w:rPr>
        <w:t>月</w:t>
      </w:r>
      <w:r w:rsidRPr="00672DC8">
        <w:rPr>
          <w:rFonts w:ascii="Times New Roman" w:hAnsi="Times New Roman" w:cs="Times New Roman"/>
          <w:sz w:val="21"/>
          <w:szCs w:val="21"/>
        </w:rPr>
        <w:t>31</w:t>
      </w:r>
      <w:r w:rsidRPr="00672DC8">
        <w:rPr>
          <w:rFonts w:ascii="Times New Roman" w:hAnsi="Times New Roman" w:cs="Times New Roman"/>
          <w:sz w:val="21"/>
          <w:szCs w:val="21"/>
        </w:rPr>
        <w:t>日的总股</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本扣除回购账户所持有股份后的</w:t>
      </w:r>
      <w:r w:rsidRPr="00672DC8">
        <w:rPr>
          <w:rFonts w:ascii="Times New Roman" w:hAnsi="Times New Roman" w:cs="Times New Roman"/>
          <w:sz w:val="21"/>
          <w:szCs w:val="21"/>
        </w:rPr>
        <w:t>65,628,660</w:t>
      </w:r>
      <w:r w:rsidRPr="00672DC8">
        <w:rPr>
          <w:rFonts w:ascii="Times New Roman" w:hAnsi="Times New Roman" w:cs="Times New Roman"/>
          <w:sz w:val="21"/>
          <w:szCs w:val="21"/>
        </w:rPr>
        <w:t>股为基数，向全体股东每</w:t>
      </w:r>
      <w:r w:rsidRPr="00672DC8">
        <w:rPr>
          <w:rFonts w:ascii="Times New Roman" w:hAnsi="Times New Roman" w:cs="Times New Roman"/>
          <w:sz w:val="21"/>
          <w:szCs w:val="21"/>
        </w:rPr>
        <w:t xml:space="preserve"> 10 </w:t>
      </w:r>
      <w:r w:rsidRPr="00672DC8">
        <w:rPr>
          <w:rFonts w:ascii="Times New Roman" w:hAnsi="Times New Roman" w:cs="Times New Roman"/>
          <w:sz w:val="21"/>
          <w:szCs w:val="21"/>
        </w:rPr>
        <w:t>股派发现金股利人民币</w:t>
      </w:r>
      <w:r w:rsidRPr="00672DC8">
        <w:rPr>
          <w:rFonts w:ascii="Times New Roman" w:hAnsi="Times New Roman" w:cs="Times New Roman"/>
          <w:sz w:val="21"/>
          <w:szCs w:val="21"/>
        </w:rPr>
        <w:t>0.50</w:t>
      </w:r>
      <w:r w:rsidRPr="00672DC8">
        <w:rPr>
          <w:rFonts w:ascii="Times New Roman" w:hAnsi="Times New Roman" w:cs="Times New Roman"/>
          <w:sz w:val="21"/>
          <w:szCs w:val="21"/>
        </w:rPr>
        <w:t>元（含税），以资本公积金每</w:t>
      </w:r>
      <w:r w:rsidRPr="00672DC8">
        <w:rPr>
          <w:rFonts w:ascii="Times New Roman" w:hAnsi="Times New Roman" w:cs="Times New Roman"/>
          <w:sz w:val="21"/>
          <w:szCs w:val="21"/>
        </w:rPr>
        <w:t>10</w:t>
      </w:r>
      <w:r w:rsidRPr="00672DC8">
        <w:rPr>
          <w:rFonts w:ascii="Times New Roman" w:hAnsi="Times New Roman" w:cs="Times New Roman"/>
          <w:sz w:val="21"/>
          <w:szCs w:val="21"/>
        </w:rPr>
        <w:t>股转增</w:t>
      </w:r>
      <w:r w:rsidRPr="00672DC8">
        <w:rPr>
          <w:rFonts w:ascii="Times New Roman" w:hAnsi="Times New Roman" w:cs="Times New Roman"/>
          <w:sz w:val="21"/>
          <w:szCs w:val="21"/>
        </w:rPr>
        <w:t>4</w:t>
      </w:r>
      <w:r w:rsidRPr="00672DC8">
        <w:rPr>
          <w:rFonts w:ascii="Times New Roman" w:hAnsi="Times New Roman" w:cs="Times New Roman"/>
          <w:sz w:val="21"/>
          <w:szCs w:val="21"/>
        </w:rPr>
        <w:t>股，不送红股。员工持股计划平台持有股票总数</w:t>
      </w:r>
      <w:r w:rsidRPr="00672DC8">
        <w:rPr>
          <w:rFonts w:ascii="Times New Roman" w:hAnsi="Times New Roman" w:cs="Times New Roman"/>
          <w:sz w:val="21"/>
          <w:szCs w:val="21"/>
        </w:rPr>
        <w:t>472,000</w:t>
      </w:r>
      <w:r w:rsidRPr="00672DC8">
        <w:rPr>
          <w:rFonts w:ascii="Times New Roman" w:hAnsi="Times New Roman" w:cs="Times New Roman"/>
          <w:sz w:val="21"/>
          <w:szCs w:val="21"/>
        </w:rPr>
        <w:t>股，获得现金分红</w:t>
      </w:r>
      <w:r w:rsidRPr="00672DC8">
        <w:rPr>
          <w:rFonts w:ascii="Times New Roman" w:hAnsi="Times New Roman" w:cs="Times New Roman"/>
          <w:sz w:val="21"/>
          <w:szCs w:val="21"/>
        </w:rPr>
        <w:t>23,600</w:t>
      </w:r>
      <w:r w:rsidRPr="00672DC8">
        <w:rPr>
          <w:rFonts w:ascii="Times New Roman" w:hAnsi="Times New Roman" w:cs="Times New Roman"/>
          <w:sz w:val="21"/>
          <w:szCs w:val="21"/>
        </w:rPr>
        <w:t>元，获得转增股份</w:t>
      </w:r>
      <w:r w:rsidRPr="00672DC8">
        <w:rPr>
          <w:rFonts w:ascii="Times New Roman" w:hAnsi="Times New Roman" w:cs="Times New Roman"/>
          <w:sz w:val="21"/>
          <w:szCs w:val="21"/>
        </w:rPr>
        <w:t>188,960</w:t>
      </w:r>
      <w:r w:rsidRPr="00672DC8">
        <w:rPr>
          <w:rFonts w:ascii="Times New Roman" w:hAnsi="Times New Roman" w:cs="Times New Roman"/>
          <w:sz w:val="21"/>
          <w:szCs w:val="21"/>
        </w:rPr>
        <w:t>股。</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报告期内员工持股计划的其他相关情形及说明</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员工持股计划管理委员会成员发生变化</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员工持股计划对报告期上市公司的财务影响及相关会计处理</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报告期内员工持股计划终止的情况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p>
    <w:p w:rsidR="000C0769" w:rsidRPr="00672DC8" w:rsidRDefault="000C0769">
      <w:pPr>
        <w:pStyle w:val="a3"/>
        <w:spacing w:before="120" w:beforeAutospacing="0" w:after="120" w:afterAutospacing="0"/>
        <w:ind w:firstLine="420"/>
        <w:jc w:val="both"/>
        <w:divId w:val="1442996149"/>
        <w:rPr>
          <w:rFonts w:ascii="Times New Roman" w:hAnsi="Times New Roman" w:cs="Times New Roman"/>
        </w:rPr>
      </w:pPr>
      <w:r w:rsidRPr="00672DC8">
        <w:rPr>
          <w:rFonts w:ascii="Times New Roman" w:hAnsi="Times New Roman" w:cs="Times New Roman"/>
          <w:sz w:val="21"/>
          <w:szCs w:val="21"/>
        </w:rPr>
        <w:t>根据《管理办法》的相关规定，本持股计划第一个锁定期于</w:t>
      </w:r>
      <w:r w:rsidRPr="00672DC8">
        <w:rPr>
          <w:rFonts w:ascii="Times New Roman" w:hAnsi="Times New Roman" w:cs="Times New Roman"/>
          <w:sz w:val="21"/>
          <w:szCs w:val="21"/>
        </w:rPr>
        <w:t>2024</w:t>
      </w:r>
      <w:r w:rsidRPr="00672DC8">
        <w:rPr>
          <w:rFonts w:ascii="Times New Roman" w:hAnsi="Times New Roman" w:cs="Times New Roman"/>
          <w:sz w:val="21"/>
          <w:szCs w:val="21"/>
        </w:rPr>
        <w:t>年</w:t>
      </w:r>
      <w:r w:rsidRPr="00672DC8">
        <w:rPr>
          <w:rFonts w:ascii="Times New Roman" w:hAnsi="Times New Roman" w:cs="Times New Roman"/>
          <w:sz w:val="21"/>
          <w:szCs w:val="21"/>
        </w:rPr>
        <w:t>12</w:t>
      </w:r>
      <w:r w:rsidRPr="00672DC8">
        <w:rPr>
          <w:rFonts w:ascii="Times New Roman" w:hAnsi="Times New Roman" w:cs="Times New Roman"/>
          <w:sz w:val="21"/>
          <w:szCs w:val="21"/>
        </w:rPr>
        <w:t>月</w:t>
      </w:r>
      <w:r w:rsidRPr="00672DC8">
        <w:rPr>
          <w:rFonts w:ascii="Times New Roman" w:hAnsi="Times New Roman" w:cs="Times New Roman"/>
          <w:sz w:val="21"/>
          <w:szCs w:val="21"/>
        </w:rPr>
        <w:t>28</w:t>
      </w:r>
      <w:r w:rsidRPr="00672DC8">
        <w:rPr>
          <w:rFonts w:ascii="Times New Roman" w:hAnsi="Times New Roman" w:cs="Times New Roman"/>
          <w:sz w:val="21"/>
          <w:szCs w:val="21"/>
        </w:rPr>
        <w:t>日届满，由于</w:t>
      </w:r>
      <w:r w:rsidRPr="00672DC8">
        <w:rPr>
          <w:rFonts w:ascii="Times New Roman" w:hAnsi="Times New Roman" w:cs="Times New Roman"/>
          <w:sz w:val="21"/>
          <w:szCs w:val="21"/>
        </w:rPr>
        <w:t>2023</w:t>
      </w:r>
      <w:r w:rsidRPr="00672DC8">
        <w:rPr>
          <w:rFonts w:ascii="Times New Roman" w:hAnsi="Times New Roman" w:cs="Times New Roman"/>
          <w:sz w:val="21"/>
          <w:szCs w:val="21"/>
        </w:rPr>
        <w:t>年度公司层面业绩考核未达标，第一个锁定期对应的标的股票权益不得解锁，由管理委员会收回；第二个锁定期于</w:t>
      </w:r>
      <w:r w:rsidRPr="00672DC8">
        <w:rPr>
          <w:rFonts w:ascii="Times New Roman" w:hAnsi="Times New Roman" w:cs="Times New Roman"/>
          <w:sz w:val="21"/>
          <w:szCs w:val="21"/>
        </w:rPr>
        <w:t>2025</w:t>
      </w:r>
      <w:r w:rsidRPr="00672DC8">
        <w:rPr>
          <w:rFonts w:ascii="Times New Roman" w:hAnsi="Times New Roman" w:cs="Times New Roman"/>
          <w:sz w:val="21"/>
          <w:szCs w:val="21"/>
        </w:rPr>
        <w:t>年</w:t>
      </w:r>
      <w:r w:rsidRPr="00672DC8">
        <w:rPr>
          <w:rFonts w:ascii="Times New Roman" w:hAnsi="Times New Roman" w:cs="Times New Roman"/>
          <w:sz w:val="21"/>
          <w:szCs w:val="21"/>
        </w:rPr>
        <w:t>12</w:t>
      </w:r>
      <w:r w:rsidRPr="00672DC8">
        <w:rPr>
          <w:rFonts w:ascii="Times New Roman" w:hAnsi="Times New Roman" w:cs="Times New Roman"/>
          <w:sz w:val="21"/>
          <w:szCs w:val="21"/>
        </w:rPr>
        <w:t>月</w:t>
      </w:r>
      <w:r w:rsidRPr="00672DC8">
        <w:rPr>
          <w:rFonts w:ascii="Times New Roman" w:hAnsi="Times New Roman" w:cs="Times New Roman"/>
          <w:sz w:val="21"/>
          <w:szCs w:val="21"/>
        </w:rPr>
        <w:t>28</w:t>
      </w:r>
      <w:r w:rsidRPr="00672DC8">
        <w:rPr>
          <w:rFonts w:ascii="Times New Roman" w:hAnsi="Times New Roman" w:cs="Times New Roman"/>
          <w:sz w:val="21"/>
          <w:szCs w:val="21"/>
        </w:rPr>
        <w:t>日届满，由于</w:t>
      </w:r>
      <w:r w:rsidRPr="00672DC8">
        <w:rPr>
          <w:rFonts w:ascii="Times New Roman" w:hAnsi="Times New Roman" w:cs="Times New Roman"/>
          <w:sz w:val="21"/>
          <w:szCs w:val="21"/>
        </w:rPr>
        <w:t>2024</w:t>
      </w:r>
      <w:r w:rsidRPr="00672DC8">
        <w:rPr>
          <w:rFonts w:ascii="Times New Roman" w:hAnsi="Times New Roman" w:cs="Times New Roman"/>
          <w:sz w:val="21"/>
          <w:szCs w:val="21"/>
        </w:rPr>
        <w:t>年度公司层面业绩考核未达标，第二个锁定期对应的标的股票权益不得解锁，由管理委员会收回。</w:t>
      </w:r>
    </w:p>
    <w:p w:rsidR="000C0769" w:rsidRPr="00672DC8" w:rsidRDefault="000C0769">
      <w:pPr>
        <w:pStyle w:val="a3"/>
        <w:spacing w:before="120" w:beforeAutospacing="0" w:after="120" w:afterAutospacing="0"/>
        <w:ind w:firstLine="420"/>
        <w:jc w:val="both"/>
        <w:divId w:val="1442996149"/>
        <w:rPr>
          <w:rFonts w:ascii="Times New Roman" w:hAnsi="Times New Roman" w:cs="Times New Roman"/>
        </w:rPr>
      </w:pPr>
      <w:r w:rsidRPr="00672DC8">
        <w:rPr>
          <w:rFonts w:ascii="Times New Roman" w:hAnsi="Times New Roman" w:cs="Times New Roman"/>
          <w:sz w:val="21"/>
          <w:szCs w:val="21"/>
        </w:rPr>
        <w:t>根据《管理办法》，持股计划管理委员会可择机出售上述未解锁股票，将交易所得以出资金额与售出收益孰低值返还持有人，剩余资金（如有）归属于公司。截至本报告期末，该部分股票尚未处置。</w:t>
      </w:r>
    </w:p>
    <w:p w:rsidR="003D2BA8" w:rsidRPr="00672DC8" w:rsidRDefault="000C0769">
      <w:pPr>
        <w:pStyle w:val="3"/>
        <w:spacing w:line="280" w:lineRule="exact"/>
        <w:jc w:val="left"/>
        <w:rPr>
          <w:rFonts w:ascii="Times New Roman" w:hAnsi="Times New Roman" w:cs="Times New Roman"/>
          <w:b/>
          <w:bCs/>
        </w:rPr>
      </w:pPr>
      <w:bookmarkStart w:id="64" w:name="_Toc988940"/>
      <w:r w:rsidRPr="00672DC8">
        <w:rPr>
          <w:rFonts w:ascii="Times New Roman" w:hAnsi="Times New Roman" w:cs="Times New Roman"/>
          <w:b/>
          <w:bCs/>
        </w:rPr>
        <w:t>3</w:t>
      </w:r>
      <w:r w:rsidRPr="00672DC8">
        <w:rPr>
          <w:rFonts w:ascii="Times New Roman" w:hAnsi="Times New Roman" w:cs="Times New Roman"/>
          <w:b/>
          <w:bCs/>
        </w:rPr>
        <w:t>、其他员工激励措施</w:t>
      </w:r>
      <w:bookmarkEnd w:id="6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5" w:name="_Toc988941"/>
      <w:r w:rsidRPr="00672DC8">
        <w:rPr>
          <w:rFonts w:ascii="Times New Roman" w:eastAsia="宋体" w:hAnsi="Times New Roman" w:cs="Times New Roman"/>
          <w:b/>
          <w:bCs/>
          <w:sz w:val="24"/>
          <w:szCs w:val="24"/>
        </w:rPr>
        <w:lastRenderedPageBreak/>
        <w:t>四、环境信息披露情况</w:t>
      </w:r>
      <w:bookmarkEnd w:id="6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上市公司及其主要子公司是否纳入环境信息依法披露企业名单</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6" w:name="_Toc988942"/>
      <w:r w:rsidRPr="00672DC8">
        <w:rPr>
          <w:rFonts w:ascii="Times New Roman" w:eastAsia="宋体" w:hAnsi="Times New Roman" w:cs="Times New Roman"/>
          <w:b/>
          <w:bCs/>
          <w:sz w:val="24"/>
          <w:szCs w:val="24"/>
        </w:rPr>
        <w:t>五、社会责任情况</w:t>
      </w:r>
      <w:bookmarkEnd w:id="66"/>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报告期内，公司认真遵守国家有关法律、法规及相关政策的要求，秉承</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技术缔造价值，服务成就未来</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的经营理念，专注智慧城市领域的业务发展，诚信经营，依法纳税，为股东创造价值，对员工、客户与供应商、社会等利益相关者承担责任。</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（一）股东权益保护</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公司遵照《公司法》《证券法》等法律法规、部门规章、规范性文件和《公司章程》的规定，依法召开股东大会，确保股东对公司重大事项的知情权、参与权和表决权，真实、准确、完整、及时、公平地向所有</w:t>
      </w:r>
      <w:r w:rsidRPr="00672DC8">
        <w:rPr>
          <w:rFonts w:ascii="Times New Roman" w:hAnsi="Times New Roman" w:cs="Times New Roman"/>
          <w:color w:val="000000"/>
          <w:sz w:val="21"/>
          <w:szCs w:val="21"/>
        </w:rPr>
        <w:t xml:space="preserve"> </w:t>
      </w:r>
      <w:r w:rsidRPr="00672DC8">
        <w:rPr>
          <w:rFonts w:ascii="Times New Roman" w:hAnsi="Times New Roman" w:cs="Times New Roman"/>
          <w:color w:val="000000"/>
          <w:sz w:val="21"/>
          <w:szCs w:val="21"/>
        </w:rPr>
        <w:t>股东披露信息，在经营决策中积极构建与股东的良好关系。</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（二）职工权益保护</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公司遵照《劳动法》《劳动合同法》等法律法规的要求，建立了完善的人力资源管理制度。在劳动安全、卫生制度、社会保障等方面严格执行国家规定和标准，保障职工合法权益，为职工提供健康、安全的工作环境和全面的福利待遇，包括不限于基本养老保险、基本医疗保险、工伤保险、生育保险、失业保险和住房公积金，法定公休假、婚假、产假、丧假等带薪假期。公司按照有关规定建立工会组织，支持工会依法开展工作，保障员工依法行使民主管理的权利。</w:t>
      </w:r>
      <w:r w:rsidRPr="00672DC8">
        <w:rPr>
          <w:rFonts w:ascii="Times New Roman" w:hAnsi="Times New Roman" w:cs="Times New Roman"/>
          <w:color w:val="000000"/>
          <w:sz w:val="21"/>
          <w:szCs w:val="21"/>
        </w:rPr>
        <w:t xml:space="preserve"> </w:t>
      </w:r>
      <w:r w:rsidRPr="00672DC8">
        <w:rPr>
          <w:rFonts w:ascii="Times New Roman" w:hAnsi="Times New Roman" w:cs="Times New Roman"/>
          <w:color w:val="000000"/>
          <w:sz w:val="21"/>
          <w:szCs w:val="21"/>
        </w:rPr>
        <w:t>公司重视人才培养，为员工提供行业知识、岗位能力、办公技能等丰富的课程和培训计划，为员工发展才能、提升自我提供条件，实现与公司共同成长。</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（三）客户权益保护</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公司坚持</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技术</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服务</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的经营理念，致力于为客户提供专业、全面、高效的服务。通过建立专业化的</w:t>
      </w:r>
      <w:r w:rsidRPr="00672DC8">
        <w:rPr>
          <w:rFonts w:ascii="Times New Roman" w:hAnsi="Times New Roman" w:cs="Times New Roman"/>
          <w:color w:val="000000"/>
          <w:sz w:val="21"/>
          <w:szCs w:val="21"/>
        </w:rPr>
        <w:t xml:space="preserve"> </w:t>
      </w:r>
      <w:r w:rsidRPr="00672DC8">
        <w:rPr>
          <w:rFonts w:ascii="Times New Roman" w:hAnsi="Times New Roman" w:cs="Times New Roman"/>
          <w:color w:val="000000"/>
          <w:sz w:val="21"/>
          <w:szCs w:val="21"/>
        </w:rPr>
        <w:t>项目实施和技术服务团队，打造全面的服务能力，建立标准化的服务体系，实现持续完善服务质量，提升客</w:t>
      </w:r>
      <w:r w:rsidRPr="00672DC8">
        <w:rPr>
          <w:rFonts w:ascii="Times New Roman" w:hAnsi="Times New Roman" w:cs="Times New Roman"/>
          <w:color w:val="000000"/>
          <w:sz w:val="21"/>
          <w:szCs w:val="21"/>
        </w:rPr>
        <w:t xml:space="preserve"> </w:t>
      </w:r>
      <w:r w:rsidRPr="00672DC8">
        <w:rPr>
          <w:rFonts w:ascii="Times New Roman" w:hAnsi="Times New Roman" w:cs="Times New Roman"/>
          <w:color w:val="000000"/>
          <w:sz w:val="21"/>
          <w:szCs w:val="21"/>
        </w:rPr>
        <w:t>户满意度，从而与客户建立长期、稳定的合作关系。</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（四）供应商权益保护</w:t>
      </w:r>
    </w:p>
    <w:p w:rsidR="000C0769" w:rsidRPr="00672DC8" w:rsidRDefault="000C0769">
      <w:pPr>
        <w:pStyle w:val="a3"/>
        <w:spacing w:before="156" w:beforeAutospacing="0" w:after="156" w:afterAutospacing="0"/>
        <w:ind w:firstLine="420"/>
        <w:jc w:val="both"/>
        <w:divId w:val="1007176728"/>
        <w:rPr>
          <w:rFonts w:ascii="Times New Roman" w:hAnsi="Times New Roman" w:cs="Times New Roman"/>
        </w:rPr>
      </w:pPr>
      <w:r w:rsidRPr="00672DC8">
        <w:rPr>
          <w:rFonts w:ascii="Times New Roman" w:hAnsi="Times New Roman" w:cs="Times New Roman"/>
          <w:color w:val="000000"/>
          <w:sz w:val="21"/>
          <w:szCs w:val="21"/>
        </w:rPr>
        <w:t>公司先后制定了《采购管理制度》《供应商管理流程》《合同评审管理制度》《工程项目采购管理制度》</w:t>
      </w:r>
      <w:r w:rsidRPr="00672DC8">
        <w:rPr>
          <w:rFonts w:ascii="Times New Roman" w:hAnsi="Times New Roman" w:cs="Times New Roman"/>
          <w:color w:val="000000"/>
          <w:sz w:val="21"/>
          <w:szCs w:val="21"/>
        </w:rPr>
        <w:t xml:space="preserve"> </w:t>
      </w:r>
      <w:r w:rsidRPr="00672DC8">
        <w:rPr>
          <w:rFonts w:ascii="Times New Roman" w:hAnsi="Times New Roman" w:cs="Times New Roman"/>
          <w:color w:val="000000"/>
          <w:sz w:val="21"/>
          <w:szCs w:val="21"/>
        </w:rPr>
        <w:t>等若干制度文件，依据市场化的定价原则和询价程序，采购相关劳务、服务的同时保证采购的公平性、公允性。</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67" w:name="_Toc238760459"/>
      <w:r w:rsidRPr="00672DC8">
        <w:rPr>
          <w:rFonts w:ascii="Times New Roman" w:eastAsia="宋体" w:hAnsi="Times New Roman" w:cs="Times New Roman"/>
          <w:b/>
          <w:bCs/>
          <w:sz w:val="32"/>
          <w:szCs w:val="32"/>
        </w:rPr>
        <w:lastRenderedPageBreak/>
        <w:t>第五节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重要事项</w:t>
      </w:r>
      <w:bookmarkEnd w:id="67"/>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8" w:name="_Toc988944"/>
      <w:r w:rsidRPr="00672DC8">
        <w:rPr>
          <w:rFonts w:ascii="Times New Roman" w:eastAsia="宋体" w:hAnsi="Times New Roman" w:cs="Times New Roman"/>
          <w:b/>
          <w:bCs/>
          <w:sz w:val="24"/>
          <w:szCs w:val="24"/>
        </w:rPr>
        <w:t>一、公司实际控制人、股东、关联方、收购人以及公司等承诺相关方在报告期内履行完毕及截至报告期末超期未履行完毕的承诺事项</w:t>
      </w:r>
      <w:bookmarkEnd w:id="6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公司报告期不存在由公司实际控制人、股东、关联方、收购人以及公司等承诺相关方在报告期内履行完毕及截至报告期末超期未履行完毕的承诺事项。</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69" w:name="_Toc988945"/>
      <w:r w:rsidRPr="00672DC8">
        <w:rPr>
          <w:rFonts w:ascii="Times New Roman" w:eastAsia="宋体" w:hAnsi="Times New Roman" w:cs="Times New Roman"/>
          <w:b/>
          <w:bCs/>
          <w:sz w:val="24"/>
          <w:szCs w:val="24"/>
        </w:rPr>
        <w:t>二、控股股东及其他关联方对上市公司的非经营性占用资金情况</w:t>
      </w:r>
      <w:bookmarkEnd w:id="6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公司报告期不存在上市公司发生控股股东及其他关联方非经营性占用资金情况。</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0" w:name="_Toc988946"/>
      <w:r w:rsidRPr="00672DC8">
        <w:rPr>
          <w:rFonts w:ascii="Times New Roman" w:eastAsia="宋体" w:hAnsi="Times New Roman" w:cs="Times New Roman"/>
          <w:b/>
          <w:bCs/>
          <w:sz w:val="24"/>
          <w:szCs w:val="24"/>
        </w:rPr>
        <w:t>三、违规对外担保情况</w:t>
      </w:r>
      <w:bookmarkEnd w:id="7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公司报告期无违规对外担保情况。</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1" w:name="_Toc988947"/>
      <w:r w:rsidRPr="00672DC8">
        <w:rPr>
          <w:rFonts w:ascii="Times New Roman" w:eastAsia="宋体" w:hAnsi="Times New Roman" w:cs="Times New Roman"/>
          <w:b/>
          <w:bCs/>
          <w:sz w:val="24"/>
          <w:szCs w:val="24"/>
        </w:rPr>
        <w:t>四、聘任、解聘会计师事务所情况</w:t>
      </w:r>
      <w:bookmarkEnd w:id="7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半年度财务报告是否已经审计</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公司半年度报告未经审计。</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2" w:name="_Toc988948"/>
      <w:r w:rsidRPr="00672DC8">
        <w:rPr>
          <w:rFonts w:ascii="Times New Roman" w:eastAsia="宋体" w:hAnsi="Times New Roman" w:cs="Times New Roman"/>
          <w:b/>
          <w:bCs/>
          <w:sz w:val="24"/>
          <w:szCs w:val="24"/>
        </w:rPr>
        <w:t>五、董事会、审计委员会对会计师事务所本报告期</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非标准审计报告</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的说明</w:t>
      </w:r>
      <w:bookmarkEnd w:id="7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3" w:name="_Toc988949"/>
      <w:r w:rsidRPr="00672DC8">
        <w:rPr>
          <w:rFonts w:ascii="Times New Roman" w:eastAsia="宋体" w:hAnsi="Times New Roman" w:cs="Times New Roman"/>
          <w:b/>
          <w:bCs/>
          <w:sz w:val="24"/>
          <w:szCs w:val="24"/>
        </w:rPr>
        <w:t>六、董事会对上年度</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非标准审计报告</w:t>
      </w:r>
      <w:r w:rsidRPr="00672DC8">
        <w:rPr>
          <w:rFonts w:ascii="Times New Roman" w:eastAsia="宋体" w:hAnsi="Times New Roman" w:cs="Times New Roman"/>
          <w:b/>
          <w:bCs/>
          <w:sz w:val="24"/>
          <w:szCs w:val="24"/>
        </w:rPr>
        <w:t>”</w:t>
      </w:r>
      <w:r w:rsidRPr="00672DC8">
        <w:rPr>
          <w:rFonts w:ascii="Times New Roman" w:eastAsia="宋体" w:hAnsi="Times New Roman" w:cs="Times New Roman"/>
          <w:b/>
          <w:bCs/>
          <w:sz w:val="24"/>
          <w:szCs w:val="24"/>
        </w:rPr>
        <w:t>相关情况的说明</w:t>
      </w:r>
      <w:bookmarkEnd w:id="7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4" w:name="_Toc988950"/>
      <w:r w:rsidRPr="00672DC8">
        <w:rPr>
          <w:rFonts w:ascii="Times New Roman" w:eastAsia="宋体" w:hAnsi="Times New Roman" w:cs="Times New Roman"/>
          <w:b/>
          <w:bCs/>
          <w:sz w:val="24"/>
          <w:szCs w:val="24"/>
        </w:rPr>
        <w:t>七、破产重整相关事项</w:t>
      </w:r>
      <w:bookmarkEnd w:id="7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公司报告期未发生破产重整相关事项。</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5" w:name="_Toc988951"/>
      <w:r w:rsidRPr="00672DC8">
        <w:rPr>
          <w:rFonts w:ascii="Times New Roman" w:eastAsia="宋体" w:hAnsi="Times New Roman" w:cs="Times New Roman"/>
          <w:b/>
          <w:bCs/>
          <w:sz w:val="24"/>
          <w:szCs w:val="24"/>
        </w:rPr>
        <w:t>八、诉讼事项</w:t>
      </w:r>
      <w:bookmarkEnd w:id="7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重大诉讼仲裁事项</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本报告期公司无重大诉讼、仲裁事项。</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其他诉讼事项</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3D2BA8" w:rsidRPr="00672DC8">
        <w:trPr>
          <w:trHeight w:val="240"/>
        </w:trPr>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诉讼</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仲裁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基本情况</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涉案金额（万元）</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是否形成预计负债</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诉讼</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仲裁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进展</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诉讼</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仲裁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审理结果及影响</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诉讼</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仲裁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判决执行情况</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披露日期</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披露索引</w:t>
            </w:r>
          </w:p>
        </w:tc>
      </w:tr>
      <w:tr w:rsidR="003D2BA8" w:rsidRPr="00672DC8">
        <w:trPr>
          <w:trHeight w:val="240"/>
        </w:trPr>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公司及子公司未达到重大诉讼披露标准的其他小额诉讼汇总情况</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694.1</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部分案件已结案</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达成调解</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撤诉，尚未结案案件按诉讼流程推进</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对公司经营和财务情况无重大影响，未结案案件按诉讼流程推进中</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按判决</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调解结果执行</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B568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6" w:name="_Toc988952"/>
      <w:r w:rsidRPr="00672DC8">
        <w:rPr>
          <w:rFonts w:ascii="Times New Roman" w:eastAsia="宋体" w:hAnsi="Times New Roman" w:cs="Times New Roman"/>
          <w:b/>
          <w:bCs/>
          <w:sz w:val="24"/>
          <w:szCs w:val="24"/>
        </w:rPr>
        <w:t>九、处罚及整改情况</w:t>
      </w:r>
      <w:bookmarkEnd w:id="76"/>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公司报告期不存在处罚及整改情况。</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7" w:name="_Toc988953"/>
      <w:r w:rsidRPr="00672DC8">
        <w:rPr>
          <w:rFonts w:ascii="Times New Roman" w:eastAsia="宋体" w:hAnsi="Times New Roman" w:cs="Times New Roman"/>
          <w:b/>
          <w:bCs/>
          <w:sz w:val="24"/>
          <w:szCs w:val="24"/>
        </w:rPr>
        <w:t>十、公司及其控股股东、实际控制人的诚信状况</w:t>
      </w:r>
      <w:bookmarkEnd w:id="77"/>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78" w:name="_Toc988954"/>
      <w:r w:rsidRPr="00672DC8">
        <w:rPr>
          <w:rFonts w:ascii="Times New Roman" w:eastAsia="宋体" w:hAnsi="Times New Roman" w:cs="Times New Roman"/>
          <w:b/>
          <w:bCs/>
          <w:sz w:val="24"/>
          <w:szCs w:val="24"/>
        </w:rPr>
        <w:t>十一、重大关联交易</w:t>
      </w:r>
      <w:bookmarkEnd w:id="78"/>
    </w:p>
    <w:p w:rsidR="003D2BA8" w:rsidRPr="00672DC8" w:rsidRDefault="000C0769">
      <w:pPr>
        <w:pStyle w:val="3"/>
        <w:spacing w:line="280" w:lineRule="exact"/>
        <w:jc w:val="left"/>
        <w:rPr>
          <w:rFonts w:ascii="Times New Roman" w:hAnsi="Times New Roman" w:cs="Times New Roman"/>
          <w:b/>
          <w:bCs/>
        </w:rPr>
      </w:pPr>
      <w:bookmarkStart w:id="79" w:name="_Toc988955"/>
      <w:r w:rsidRPr="00672DC8">
        <w:rPr>
          <w:rFonts w:ascii="Times New Roman" w:hAnsi="Times New Roman" w:cs="Times New Roman"/>
          <w:b/>
          <w:bCs/>
        </w:rPr>
        <w:t>1</w:t>
      </w:r>
      <w:r w:rsidRPr="00672DC8">
        <w:rPr>
          <w:rFonts w:ascii="Times New Roman" w:hAnsi="Times New Roman" w:cs="Times New Roman"/>
          <w:b/>
          <w:bCs/>
        </w:rPr>
        <w:t>、与日常经营相关的关联交易</w:t>
      </w:r>
      <w:bookmarkEnd w:id="7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公司报告期未发生与日常经营相关的关联交易。</w:t>
      </w:r>
    </w:p>
    <w:p w:rsidR="003D2BA8" w:rsidRPr="00672DC8" w:rsidRDefault="000C0769">
      <w:pPr>
        <w:pStyle w:val="3"/>
        <w:spacing w:line="280" w:lineRule="exact"/>
        <w:jc w:val="left"/>
        <w:rPr>
          <w:rFonts w:ascii="Times New Roman" w:hAnsi="Times New Roman" w:cs="Times New Roman"/>
          <w:b/>
          <w:bCs/>
        </w:rPr>
      </w:pPr>
      <w:bookmarkStart w:id="80" w:name="_Toc988956"/>
      <w:r w:rsidRPr="00672DC8">
        <w:rPr>
          <w:rFonts w:ascii="Times New Roman" w:hAnsi="Times New Roman" w:cs="Times New Roman"/>
          <w:b/>
          <w:bCs/>
        </w:rPr>
        <w:t>2</w:t>
      </w:r>
      <w:r w:rsidRPr="00672DC8">
        <w:rPr>
          <w:rFonts w:ascii="Times New Roman" w:hAnsi="Times New Roman" w:cs="Times New Roman"/>
          <w:b/>
          <w:bCs/>
        </w:rPr>
        <w:t>、资产或股权收购、出售发生的关联交易</w:t>
      </w:r>
      <w:bookmarkEnd w:id="8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公司报告期未发生资产或股权收购、出售的关联交易。</w:t>
      </w:r>
    </w:p>
    <w:p w:rsidR="003D2BA8" w:rsidRPr="00672DC8" w:rsidRDefault="000C0769">
      <w:pPr>
        <w:pStyle w:val="3"/>
        <w:spacing w:line="280" w:lineRule="exact"/>
        <w:jc w:val="left"/>
        <w:rPr>
          <w:rFonts w:ascii="Times New Roman" w:hAnsi="Times New Roman" w:cs="Times New Roman"/>
          <w:b/>
          <w:bCs/>
        </w:rPr>
      </w:pPr>
      <w:bookmarkStart w:id="81" w:name="_Toc988957"/>
      <w:r w:rsidRPr="00672DC8">
        <w:rPr>
          <w:rFonts w:ascii="Times New Roman" w:hAnsi="Times New Roman" w:cs="Times New Roman"/>
          <w:b/>
          <w:bCs/>
        </w:rPr>
        <w:t>3</w:t>
      </w:r>
      <w:r w:rsidRPr="00672DC8">
        <w:rPr>
          <w:rFonts w:ascii="Times New Roman" w:hAnsi="Times New Roman" w:cs="Times New Roman"/>
          <w:b/>
          <w:bCs/>
        </w:rPr>
        <w:t>、共同对外投资的关联交易</w:t>
      </w:r>
      <w:bookmarkEnd w:id="8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公司报告期未发生共同对外投资的关联交易。</w:t>
      </w:r>
    </w:p>
    <w:p w:rsidR="003D2BA8" w:rsidRPr="00672DC8" w:rsidRDefault="000C0769">
      <w:pPr>
        <w:pStyle w:val="3"/>
        <w:spacing w:line="280" w:lineRule="exact"/>
        <w:jc w:val="left"/>
        <w:rPr>
          <w:rFonts w:ascii="Times New Roman" w:hAnsi="Times New Roman" w:cs="Times New Roman"/>
          <w:b/>
          <w:bCs/>
        </w:rPr>
      </w:pPr>
      <w:bookmarkStart w:id="82" w:name="_Toc988958"/>
      <w:r w:rsidRPr="00672DC8">
        <w:rPr>
          <w:rFonts w:ascii="Times New Roman" w:hAnsi="Times New Roman" w:cs="Times New Roman"/>
          <w:b/>
          <w:bCs/>
        </w:rPr>
        <w:t>4</w:t>
      </w:r>
      <w:r w:rsidRPr="00672DC8">
        <w:rPr>
          <w:rFonts w:ascii="Times New Roman" w:hAnsi="Times New Roman" w:cs="Times New Roman"/>
          <w:b/>
          <w:bCs/>
        </w:rPr>
        <w:t>、关联债权债务往来</w:t>
      </w:r>
      <w:bookmarkEnd w:id="8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公司报告期不存在关联债权债务往来。</w:t>
      </w:r>
    </w:p>
    <w:p w:rsidR="003D2BA8" w:rsidRPr="00672DC8" w:rsidRDefault="000C0769">
      <w:pPr>
        <w:pStyle w:val="3"/>
        <w:spacing w:line="280" w:lineRule="exact"/>
        <w:jc w:val="left"/>
        <w:rPr>
          <w:rFonts w:ascii="Times New Roman" w:hAnsi="Times New Roman" w:cs="Times New Roman"/>
          <w:b/>
          <w:bCs/>
        </w:rPr>
      </w:pPr>
      <w:bookmarkStart w:id="83" w:name="_Toc988959"/>
      <w:r w:rsidRPr="00672DC8">
        <w:rPr>
          <w:rFonts w:ascii="Times New Roman" w:hAnsi="Times New Roman" w:cs="Times New Roman"/>
          <w:b/>
          <w:bCs/>
        </w:rPr>
        <w:t>5</w:t>
      </w:r>
      <w:r w:rsidRPr="00672DC8">
        <w:rPr>
          <w:rFonts w:ascii="Times New Roman" w:hAnsi="Times New Roman" w:cs="Times New Roman"/>
          <w:b/>
          <w:bCs/>
        </w:rPr>
        <w:t>、与存在关联关系的财务公司的往来情况</w:t>
      </w:r>
      <w:bookmarkEnd w:id="8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公司与存在关联关系的财务公司、公司控股的财务公司与关联方之间不存在存款、贷款、授信或其他金融业务。</w:t>
      </w:r>
    </w:p>
    <w:p w:rsidR="003D2BA8" w:rsidRPr="00672DC8" w:rsidRDefault="000C0769">
      <w:pPr>
        <w:pStyle w:val="3"/>
        <w:spacing w:line="280" w:lineRule="exact"/>
        <w:jc w:val="left"/>
        <w:rPr>
          <w:rFonts w:ascii="Times New Roman" w:hAnsi="Times New Roman" w:cs="Times New Roman"/>
          <w:b/>
          <w:bCs/>
        </w:rPr>
      </w:pPr>
      <w:bookmarkStart w:id="84" w:name="_Toc988960"/>
      <w:r w:rsidRPr="00672DC8">
        <w:rPr>
          <w:rFonts w:ascii="Times New Roman" w:hAnsi="Times New Roman" w:cs="Times New Roman"/>
          <w:b/>
          <w:bCs/>
        </w:rPr>
        <w:t>6</w:t>
      </w:r>
      <w:r w:rsidRPr="00672DC8">
        <w:rPr>
          <w:rFonts w:ascii="Times New Roman" w:hAnsi="Times New Roman" w:cs="Times New Roman"/>
          <w:b/>
          <w:bCs/>
        </w:rPr>
        <w:t>、公司控股的财务公司与关联方的往来情况</w:t>
      </w:r>
      <w:bookmarkEnd w:id="8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公司控股的财务公司与关联方之间不存在存款、贷款、授信或其他金融业务。</w:t>
      </w:r>
    </w:p>
    <w:p w:rsidR="003D2BA8" w:rsidRPr="00672DC8" w:rsidRDefault="000C0769">
      <w:pPr>
        <w:pStyle w:val="3"/>
        <w:spacing w:line="280" w:lineRule="exact"/>
        <w:jc w:val="left"/>
        <w:rPr>
          <w:rFonts w:ascii="Times New Roman" w:hAnsi="Times New Roman" w:cs="Times New Roman"/>
          <w:b/>
          <w:bCs/>
        </w:rPr>
      </w:pPr>
      <w:bookmarkStart w:id="85" w:name="_Toc988961"/>
      <w:r w:rsidRPr="00672DC8">
        <w:rPr>
          <w:rFonts w:ascii="Times New Roman" w:hAnsi="Times New Roman" w:cs="Times New Roman"/>
          <w:b/>
          <w:bCs/>
        </w:rPr>
        <w:lastRenderedPageBreak/>
        <w:t>7</w:t>
      </w:r>
      <w:r w:rsidRPr="00672DC8">
        <w:rPr>
          <w:rFonts w:ascii="Times New Roman" w:hAnsi="Times New Roman" w:cs="Times New Roman"/>
          <w:b/>
          <w:bCs/>
        </w:rPr>
        <w:t>、其他重大关联交易</w:t>
      </w:r>
      <w:bookmarkEnd w:id="8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公司报告期无其他重大关联交易。</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86" w:name="_Toc988962"/>
      <w:r w:rsidRPr="00672DC8">
        <w:rPr>
          <w:rFonts w:ascii="Times New Roman" w:eastAsia="宋体" w:hAnsi="Times New Roman" w:cs="Times New Roman"/>
          <w:b/>
          <w:bCs/>
          <w:sz w:val="24"/>
          <w:szCs w:val="24"/>
        </w:rPr>
        <w:t>十二、重大合同及其履行情况</w:t>
      </w:r>
      <w:bookmarkEnd w:id="86"/>
    </w:p>
    <w:p w:rsidR="003D2BA8" w:rsidRPr="00672DC8" w:rsidRDefault="000C0769">
      <w:pPr>
        <w:pStyle w:val="3"/>
        <w:spacing w:line="280" w:lineRule="exact"/>
        <w:jc w:val="left"/>
        <w:rPr>
          <w:rFonts w:ascii="Times New Roman" w:hAnsi="Times New Roman" w:cs="Times New Roman"/>
          <w:b/>
          <w:bCs/>
        </w:rPr>
      </w:pPr>
      <w:bookmarkStart w:id="87" w:name="_Toc988963"/>
      <w:r w:rsidRPr="00672DC8">
        <w:rPr>
          <w:rFonts w:ascii="Times New Roman" w:hAnsi="Times New Roman" w:cs="Times New Roman"/>
          <w:b/>
          <w:bCs/>
        </w:rPr>
        <w:t>1</w:t>
      </w:r>
      <w:r w:rsidRPr="00672DC8">
        <w:rPr>
          <w:rFonts w:ascii="Times New Roman" w:hAnsi="Times New Roman" w:cs="Times New Roman"/>
          <w:b/>
          <w:bCs/>
        </w:rPr>
        <w:t>、托管、承包、租赁事项情况</w:t>
      </w:r>
      <w:bookmarkEnd w:id="87"/>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88" w:name="_Toc988964"/>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托管情况</w:t>
      </w:r>
      <w:bookmarkEnd w:id="8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公司报告期不存在托管情况。</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89" w:name="_Toc988965"/>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承包情况</w:t>
      </w:r>
      <w:bookmarkEnd w:id="8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公司报告期不存在承包情况。</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90" w:name="_Toc988966"/>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租赁情况</w:t>
      </w:r>
      <w:bookmarkEnd w:id="9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公司报告期不存在租赁情况。</w:t>
      </w:r>
    </w:p>
    <w:p w:rsidR="003D2BA8" w:rsidRPr="00672DC8" w:rsidRDefault="000C0769">
      <w:pPr>
        <w:pStyle w:val="3"/>
        <w:spacing w:line="280" w:lineRule="exact"/>
        <w:jc w:val="left"/>
        <w:rPr>
          <w:rFonts w:ascii="Times New Roman" w:hAnsi="Times New Roman" w:cs="Times New Roman"/>
          <w:b/>
          <w:bCs/>
        </w:rPr>
      </w:pPr>
      <w:bookmarkStart w:id="91" w:name="_Toc988967"/>
      <w:r w:rsidRPr="00672DC8">
        <w:rPr>
          <w:rFonts w:ascii="Times New Roman" w:hAnsi="Times New Roman" w:cs="Times New Roman"/>
          <w:b/>
          <w:bCs/>
        </w:rPr>
        <w:t>2</w:t>
      </w:r>
      <w:r w:rsidRPr="00672DC8">
        <w:rPr>
          <w:rFonts w:ascii="Times New Roman" w:hAnsi="Times New Roman" w:cs="Times New Roman"/>
          <w:b/>
          <w:bCs/>
        </w:rPr>
        <w:t>、重大担保</w:t>
      </w:r>
      <w:bookmarkEnd w:id="9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单位：万元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7"/>
        <w:gridCol w:w="876"/>
        <w:gridCol w:w="877"/>
        <w:gridCol w:w="876"/>
        <w:gridCol w:w="877"/>
        <w:gridCol w:w="838"/>
        <w:gridCol w:w="914"/>
        <w:gridCol w:w="876"/>
        <w:gridCol w:w="876"/>
        <w:gridCol w:w="877"/>
      </w:tblGrid>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公司及其子公司对外担保情况（不包括对子公司的担保）</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担保对象名称</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担保额度相关公告披露日期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实际发生日期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实际担保金额</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担保类型</w:t>
            </w:r>
          </w:p>
        </w:tc>
        <w:tc>
          <w:tcPr>
            <w:tcW w:w="83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担保物（如有）</w:t>
            </w:r>
          </w:p>
        </w:tc>
        <w:tc>
          <w:tcPr>
            <w:tcW w:w="91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反担保情况（如有）</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是否履行完毕</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是否为关联方担保</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公司对子公司的担保情况</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担保对象名称</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担保额度相关公告披露日期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实际发生日期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实际担保金额</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担保类型</w:t>
            </w:r>
          </w:p>
        </w:tc>
        <w:tc>
          <w:tcPr>
            <w:tcW w:w="83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担保物（如有）</w:t>
            </w:r>
          </w:p>
        </w:tc>
        <w:tc>
          <w:tcPr>
            <w:tcW w:w="91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反担保情况（如有）</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是否履行完毕</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是否为关联方担保</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2023.12.18-2028.12.18</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湖南天晨新能源有限公司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5,922</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5,922</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2024.6.11-2036.12.31</w:t>
            </w:r>
            <w:r w:rsidRPr="00672DC8">
              <w:rPr>
                <w:rFonts w:ascii="Times New Roman" w:eastAsia="宋体" w:hAnsi="Times New Roman" w:cs="Times New Roman"/>
                <w:sz w:val="18"/>
                <w:szCs w:val="18"/>
              </w:rPr>
              <w:t>，履</w:t>
            </w:r>
            <w:r w:rsidRPr="00672DC8">
              <w:rPr>
                <w:rFonts w:ascii="Times New Roman" w:eastAsia="宋体" w:hAnsi="Times New Roman" w:cs="Times New Roman"/>
                <w:sz w:val="18"/>
                <w:szCs w:val="18"/>
              </w:rPr>
              <w:lastRenderedPageBreak/>
              <w:t>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桓台爱道光伏发电有限公司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2024</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17</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09</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2025.9.4-2030.12.31</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2,548</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2031.10.31</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2025.10.21-2026.7.30</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2023.12.27-2030.10.31</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04</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22</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27</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2026.3.3-2030.12.31</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广西亿泰新能源有限公司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844</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844</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2025.8.22-2043.6.30</w:t>
            </w:r>
            <w:r w:rsidRPr="00672DC8">
              <w:rPr>
                <w:rFonts w:ascii="Times New Roman" w:eastAsia="宋体" w:hAnsi="Times New Roman" w:cs="Times New Roman"/>
                <w:sz w:val="18"/>
                <w:szCs w:val="18"/>
              </w:rPr>
              <w:t>，履行</w:t>
            </w:r>
            <w:r w:rsidRPr="00672DC8">
              <w:rPr>
                <w:rFonts w:ascii="Times New Roman" w:eastAsia="宋体" w:hAnsi="Times New Roman" w:cs="Times New Roman"/>
                <w:sz w:val="18"/>
                <w:szCs w:val="18"/>
              </w:rPr>
              <w:lastRenderedPageBreak/>
              <w:t>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天亿马信息技术有限公司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09</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2025.11.26-2030.11.26</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09</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912.56</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连带责任担保</w:t>
            </w: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2023.12.27-2030.10.31</w:t>
            </w:r>
            <w:r w:rsidRPr="00672DC8">
              <w:rPr>
                <w:rFonts w:ascii="Times New Roman" w:eastAsia="宋体" w:hAnsi="Times New Roman" w:cs="Times New Roman"/>
                <w:sz w:val="18"/>
                <w:szCs w:val="18"/>
              </w:rPr>
              <w:t>，履行债务期限届满之日起三年</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3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91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8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4E02BA">
        <w:trPr>
          <w:trHeight w:val="240"/>
        </w:trPr>
        <w:tc>
          <w:tcPr>
            <w:tcW w:w="17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报告期内审批对子公司担保额度合计（</w:t>
            </w:r>
            <w:r w:rsidRPr="00672DC8">
              <w:rPr>
                <w:rFonts w:ascii="Times New Roman" w:eastAsia="宋体" w:hAnsi="Times New Roman" w:cs="Times New Roman"/>
                <w:sz w:val="18"/>
                <w:szCs w:val="18"/>
              </w:rPr>
              <w:t>B1</w:t>
            </w:r>
            <w:r w:rsidRPr="00672DC8">
              <w:rPr>
                <w:rFonts w:ascii="Times New Roman" w:eastAsia="宋体" w:hAnsi="Times New Roman" w:cs="Times New Roman"/>
                <w:sz w:val="18"/>
                <w:szCs w:val="18"/>
              </w:rPr>
              <w:t>）</w:t>
            </w:r>
          </w:p>
        </w:tc>
        <w:tc>
          <w:tcPr>
            <w:tcW w:w="1753"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报告期内对子公司担保实际发生额合计（</w:t>
            </w:r>
            <w:r w:rsidRPr="00672DC8">
              <w:rPr>
                <w:rFonts w:ascii="Times New Roman" w:eastAsia="宋体" w:hAnsi="Times New Roman" w:cs="Times New Roman"/>
                <w:sz w:val="18"/>
                <w:szCs w:val="18"/>
              </w:rPr>
              <w:t>B2</w:t>
            </w:r>
            <w:r w:rsidRPr="00672DC8">
              <w:rPr>
                <w:rFonts w:ascii="Times New Roman" w:eastAsia="宋体" w:hAnsi="Times New Roman" w:cs="Times New Roman"/>
                <w:sz w:val="18"/>
                <w:szCs w:val="18"/>
              </w:rPr>
              <w:t>）</w:t>
            </w:r>
          </w:p>
        </w:tc>
        <w:tc>
          <w:tcPr>
            <w:tcW w:w="4381"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8,012.56</w:t>
            </w:r>
          </w:p>
        </w:tc>
      </w:tr>
      <w:tr w:rsidR="003D2BA8" w:rsidRPr="00672DC8" w:rsidTr="004E02BA">
        <w:trPr>
          <w:trHeight w:val="240"/>
        </w:trPr>
        <w:tc>
          <w:tcPr>
            <w:tcW w:w="17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报告期末已审批的对子公司</w:t>
            </w:r>
            <w:bookmarkStart w:id="92" w:name="OLE_LINK10"/>
            <w:bookmarkStart w:id="93" w:name="OLE_LINK15"/>
            <w:r w:rsidR="00BF4931">
              <w:rPr>
                <w:rFonts w:ascii="Times New Roman" w:eastAsia="宋体" w:hAnsi="Times New Roman" w:cs="Times New Roman" w:hint="eastAsia"/>
                <w:sz w:val="18"/>
                <w:szCs w:val="18"/>
              </w:rPr>
              <w:t>有效</w:t>
            </w:r>
            <w:bookmarkEnd w:id="92"/>
            <w:bookmarkEnd w:id="93"/>
            <w:r w:rsidRPr="00672DC8">
              <w:rPr>
                <w:rFonts w:ascii="Times New Roman" w:eastAsia="宋体" w:hAnsi="Times New Roman" w:cs="Times New Roman"/>
                <w:sz w:val="18"/>
                <w:szCs w:val="18"/>
              </w:rPr>
              <w:t>担保额度合计（</w:t>
            </w:r>
            <w:r w:rsidRPr="00672DC8">
              <w:rPr>
                <w:rFonts w:ascii="Times New Roman" w:eastAsia="宋体" w:hAnsi="Times New Roman" w:cs="Times New Roman"/>
                <w:sz w:val="18"/>
                <w:szCs w:val="18"/>
              </w:rPr>
              <w:t>B3</w:t>
            </w:r>
            <w:r w:rsidRPr="00672DC8">
              <w:rPr>
                <w:rFonts w:ascii="Times New Roman" w:eastAsia="宋体" w:hAnsi="Times New Roman" w:cs="Times New Roman"/>
                <w:sz w:val="18"/>
                <w:szCs w:val="18"/>
              </w:rPr>
              <w:t>）</w:t>
            </w:r>
          </w:p>
        </w:tc>
        <w:tc>
          <w:tcPr>
            <w:tcW w:w="1753"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68,626.56</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报告期末对子公司担保余额合计（</w:t>
            </w:r>
            <w:r w:rsidRPr="00672DC8">
              <w:rPr>
                <w:rFonts w:ascii="Times New Roman" w:eastAsia="宋体" w:hAnsi="Times New Roman" w:cs="Times New Roman"/>
                <w:sz w:val="18"/>
                <w:szCs w:val="18"/>
              </w:rPr>
              <w:t>B4</w:t>
            </w:r>
            <w:r w:rsidRPr="00672DC8">
              <w:rPr>
                <w:rFonts w:ascii="Times New Roman" w:eastAsia="宋体" w:hAnsi="Times New Roman" w:cs="Times New Roman"/>
                <w:sz w:val="18"/>
                <w:szCs w:val="18"/>
              </w:rPr>
              <w:t>）</w:t>
            </w:r>
          </w:p>
        </w:tc>
        <w:tc>
          <w:tcPr>
            <w:tcW w:w="4381"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17,085.45</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子公司对子公司的担保情况</w:t>
            </w:r>
          </w:p>
        </w:tc>
      </w:tr>
      <w:tr w:rsidR="003D2BA8" w:rsidRPr="00672DC8" w:rsidTr="004E02BA">
        <w:trPr>
          <w:trHeight w:val="240"/>
        </w:trPr>
        <w:tc>
          <w:tcPr>
            <w:tcW w:w="87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担保对象名称</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担保额度相关公告披露日期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担保额度</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实际发生日期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实际担保金额</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担保类型</w:t>
            </w:r>
          </w:p>
        </w:tc>
        <w:tc>
          <w:tcPr>
            <w:tcW w:w="83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担保物（如有）</w:t>
            </w:r>
          </w:p>
        </w:tc>
        <w:tc>
          <w:tcPr>
            <w:tcW w:w="91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反担保情况（如有）</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担保期</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是否履行完毕</w:t>
            </w:r>
          </w:p>
        </w:tc>
        <w:tc>
          <w:tcPr>
            <w:tcW w:w="8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是否为关联方担保</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公司担保总额（即前三大项的合计）</w:t>
            </w:r>
          </w:p>
        </w:tc>
      </w:tr>
      <w:tr w:rsidR="003D2BA8" w:rsidRPr="00672DC8" w:rsidTr="004E02BA">
        <w:trPr>
          <w:trHeight w:val="240"/>
        </w:trPr>
        <w:tc>
          <w:tcPr>
            <w:tcW w:w="17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报告期内审批担保额度合计（</w:t>
            </w:r>
            <w:r w:rsidRPr="00672DC8">
              <w:rPr>
                <w:rFonts w:ascii="Times New Roman" w:eastAsia="宋体" w:hAnsi="Times New Roman" w:cs="Times New Roman"/>
                <w:sz w:val="18"/>
                <w:szCs w:val="18"/>
              </w:rPr>
              <w:t>A1+B1+C1</w:t>
            </w:r>
            <w:r w:rsidRPr="00672DC8">
              <w:rPr>
                <w:rFonts w:ascii="Times New Roman" w:eastAsia="宋体" w:hAnsi="Times New Roman" w:cs="Times New Roman"/>
                <w:sz w:val="18"/>
                <w:szCs w:val="18"/>
              </w:rPr>
              <w:t>）</w:t>
            </w:r>
          </w:p>
        </w:tc>
        <w:tc>
          <w:tcPr>
            <w:tcW w:w="1753"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报告期内担保实际发生额合计（</w:t>
            </w:r>
            <w:r w:rsidRPr="00672DC8">
              <w:rPr>
                <w:rFonts w:ascii="Times New Roman" w:eastAsia="宋体" w:hAnsi="Times New Roman" w:cs="Times New Roman"/>
                <w:sz w:val="18"/>
                <w:szCs w:val="18"/>
              </w:rPr>
              <w:t>A2+B2+C2</w:t>
            </w:r>
            <w:r w:rsidRPr="00672DC8">
              <w:rPr>
                <w:rFonts w:ascii="Times New Roman" w:eastAsia="宋体" w:hAnsi="Times New Roman" w:cs="Times New Roman"/>
                <w:sz w:val="18"/>
                <w:szCs w:val="18"/>
              </w:rPr>
              <w:t>）</w:t>
            </w:r>
          </w:p>
        </w:tc>
        <w:tc>
          <w:tcPr>
            <w:tcW w:w="4381"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8,012.56</w:t>
            </w:r>
          </w:p>
        </w:tc>
      </w:tr>
      <w:tr w:rsidR="003D2BA8" w:rsidRPr="00672DC8" w:rsidTr="004E02BA">
        <w:trPr>
          <w:trHeight w:val="240"/>
        </w:trPr>
        <w:tc>
          <w:tcPr>
            <w:tcW w:w="17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报告期末已审批的</w:t>
            </w:r>
            <w:r w:rsidR="00BF4931">
              <w:rPr>
                <w:rFonts w:ascii="Times New Roman" w:eastAsia="宋体" w:hAnsi="Times New Roman" w:cs="Times New Roman" w:hint="eastAsia"/>
                <w:sz w:val="18"/>
                <w:szCs w:val="18"/>
              </w:rPr>
              <w:t>有效</w:t>
            </w:r>
            <w:r w:rsidRPr="00672DC8">
              <w:rPr>
                <w:rFonts w:ascii="Times New Roman" w:eastAsia="宋体" w:hAnsi="Times New Roman" w:cs="Times New Roman"/>
                <w:sz w:val="18"/>
                <w:szCs w:val="18"/>
              </w:rPr>
              <w:t>担保额度合计（</w:t>
            </w:r>
            <w:r w:rsidRPr="00672DC8">
              <w:rPr>
                <w:rFonts w:ascii="Times New Roman" w:eastAsia="宋体" w:hAnsi="Times New Roman" w:cs="Times New Roman"/>
                <w:sz w:val="18"/>
                <w:szCs w:val="18"/>
              </w:rPr>
              <w:t>A3+B3+C3</w:t>
            </w:r>
            <w:r w:rsidRPr="00672DC8">
              <w:rPr>
                <w:rFonts w:ascii="Times New Roman" w:eastAsia="宋体" w:hAnsi="Times New Roman" w:cs="Times New Roman"/>
                <w:sz w:val="18"/>
                <w:szCs w:val="18"/>
              </w:rPr>
              <w:t>）</w:t>
            </w:r>
          </w:p>
        </w:tc>
        <w:tc>
          <w:tcPr>
            <w:tcW w:w="1753"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68,626.56</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报告期末全部担保余额合计（</w:t>
            </w:r>
            <w:r w:rsidRPr="00672DC8">
              <w:rPr>
                <w:rFonts w:ascii="Times New Roman" w:eastAsia="宋体" w:hAnsi="Times New Roman" w:cs="Times New Roman"/>
                <w:sz w:val="18"/>
                <w:szCs w:val="18"/>
              </w:rPr>
              <w:t>A4+B4+C4</w:t>
            </w:r>
            <w:r w:rsidRPr="00672DC8">
              <w:rPr>
                <w:rFonts w:ascii="Times New Roman" w:eastAsia="宋体" w:hAnsi="Times New Roman" w:cs="Times New Roman"/>
                <w:sz w:val="18"/>
                <w:szCs w:val="18"/>
              </w:rPr>
              <w:t>）</w:t>
            </w:r>
          </w:p>
        </w:tc>
        <w:tc>
          <w:tcPr>
            <w:tcW w:w="4381"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17,085.45</w:t>
            </w:r>
          </w:p>
        </w:tc>
      </w:tr>
      <w:tr w:rsidR="003D2BA8" w:rsidRPr="00672DC8">
        <w:trPr>
          <w:trHeight w:val="240"/>
        </w:trPr>
        <w:tc>
          <w:tcPr>
            <w:tcW w:w="3505"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全部担保余额（即</w:t>
            </w:r>
            <w:r w:rsidRPr="00672DC8">
              <w:rPr>
                <w:rFonts w:ascii="Times New Roman" w:eastAsia="宋体" w:hAnsi="Times New Roman" w:cs="Times New Roman"/>
                <w:sz w:val="18"/>
                <w:szCs w:val="18"/>
              </w:rPr>
              <w:t>A4+B4+C4</w:t>
            </w:r>
            <w:r w:rsidRPr="00672DC8">
              <w:rPr>
                <w:rFonts w:ascii="Times New Roman" w:eastAsia="宋体" w:hAnsi="Times New Roman" w:cs="Times New Roman"/>
                <w:sz w:val="18"/>
                <w:szCs w:val="18"/>
              </w:rPr>
              <w:t>）占公司净资产的比例</w:t>
            </w:r>
          </w:p>
        </w:tc>
        <w:tc>
          <w:tcPr>
            <w:tcW w:w="6134"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21.85%</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r>
      <w:tr w:rsidR="003D2BA8" w:rsidRPr="00672DC8">
        <w:trPr>
          <w:trHeight w:val="240"/>
        </w:trPr>
        <w:tc>
          <w:tcPr>
            <w:tcW w:w="3505"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直接或间接为资产负债率超过</w:t>
            </w:r>
            <w:r w:rsidRPr="00672DC8">
              <w:rPr>
                <w:rFonts w:ascii="Times New Roman" w:eastAsia="宋体" w:hAnsi="Times New Roman" w:cs="Times New Roman"/>
                <w:sz w:val="18"/>
                <w:szCs w:val="18"/>
              </w:rPr>
              <w:t>70%</w:t>
            </w:r>
            <w:r w:rsidRPr="00672DC8">
              <w:rPr>
                <w:rFonts w:ascii="Times New Roman" w:eastAsia="宋体" w:hAnsi="Times New Roman" w:cs="Times New Roman"/>
                <w:sz w:val="18"/>
                <w:szCs w:val="18"/>
              </w:rPr>
              <w:t>的被担保对象提供的债务担保余额（</w:t>
            </w:r>
            <w:r w:rsidRPr="00672DC8">
              <w:rPr>
                <w:rFonts w:ascii="Times New Roman" w:eastAsia="宋体" w:hAnsi="Times New Roman" w:cs="Times New Roman"/>
                <w:sz w:val="18"/>
                <w:szCs w:val="18"/>
              </w:rPr>
              <w:t>E</w:t>
            </w:r>
            <w:r w:rsidRPr="00672DC8">
              <w:rPr>
                <w:rFonts w:ascii="Times New Roman" w:eastAsia="宋体" w:hAnsi="Times New Roman" w:cs="Times New Roman"/>
                <w:sz w:val="18"/>
                <w:szCs w:val="18"/>
              </w:rPr>
              <w:t>）</w:t>
            </w:r>
          </w:p>
        </w:tc>
        <w:tc>
          <w:tcPr>
            <w:tcW w:w="6134"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13,185.21</w:t>
            </w:r>
          </w:p>
        </w:tc>
      </w:tr>
      <w:tr w:rsidR="003D2BA8" w:rsidRPr="00672DC8">
        <w:trPr>
          <w:trHeight w:val="240"/>
        </w:trPr>
        <w:tc>
          <w:tcPr>
            <w:tcW w:w="3505"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上述三项担保金额合计（</w:t>
            </w:r>
            <w:r w:rsidRPr="00672DC8">
              <w:rPr>
                <w:rFonts w:ascii="Times New Roman" w:eastAsia="宋体" w:hAnsi="Times New Roman" w:cs="Times New Roman"/>
                <w:sz w:val="18"/>
                <w:szCs w:val="18"/>
              </w:rPr>
              <w:t>D+E+F</w:t>
            </w:r>
            <w:r w:rsidRPr="00672DC8">
              <w:rPr>
                <w:rFonts w:ascii="Times New Roman" w:eastAsia="宋体" w:hAnsi="Times New Roman" w:cs="Times New Roman"/>
                <w:sz w:val="18"/>
                <w:szCs w:val="18"/>
              </w:rPr>
              <w:t>）</w:t>
            </w:r>
          </w:p>
        </w:tc>
        <w:tc>
          <w:tcPr>
            <w:tcW w:w="6134"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13,185.21</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采用复合方式担保的具体情况说明</w:t>
      </w:r>
    </w:p>
    <w:p w:rsidR="000C0769" w:rsidRPr="00672DC8" w:rsidRDefault="000C0769" w:rsidP="000955F1">
      <w:pPr>
        <w:pStyle w:val="a3"/>
        <w:spacing w:beforeLines="50" w:before="156" w:beforeAutospacing="0" w:afterLines="50" w:after="156" w:afterAutospacing="0" w:line="288" w:lineRule="auto"/>
        <w:divId w:val="1472821903"/>
        <w:rPr>
          <w:rFonts w:ascii="Times New Roman" w:hAnsi="Times New Roman" w:cs="Times New Roman"/>
          <w:sz w:val="18"/>
          <w:szCs w:val="18"/>
        </w:rPr>
      </w:pPr>
      <w:r w:rsidRPr="00672DC8">
        <w:rPr>
          <w:rFonts w:ascii="Times New Roman" w:hAnsi="Times New Roman" w:cs="Times New Roman"/>
          <w:sz w:val="21"/>
          <w:szCs w:val="21"/>
        </w:rPr>
        <w:t>1.</w:t>
      </w:r>
      <w:r w:rsidRPr="00672DC8">
        <w:rPr>
          <w:rFonts w:ascii="Times New Roman" w:hAnsi="Times New Roman" w:cs="Times New Roman"/>
          <w:sz w:val="21"/>
          <w:szCs w:val="21"/>
        </w:rPr>
        <w:t>湖南天晨向中国银行股份有限公司娄底分行固定资产贷款，由公司和其他股东湖南宝田实业有限公司共同提供连带责任保证担保，并以湖南天晨应收账款</w:t>
      </w:r>
      <w:r w:rsidRPr="00672DC8">
        <w:rPr>
          <w:rFonts w:ascii="Times New Roman" w:hAnsi="Times New Roman" w:cs="Times New Roman"/>
          <w:sz w:val="21"/>
          <w:szCs w:val="21"/>
        </w:rPr>
        <w:t>-</w:t>
      </w:r>
      <w:r w:rsidRPr="00672DC8">
        <w:rPr>
          <w:rFonts w:ascii="Times New Roman" w:hAnsi="Times New Roman" w:cs="Times New Roman"/>
          <w:sz w:val="21"/>
          <w:szCs w:val="21"/>
        </w:rPr>
        <w:t>售电收费权提供质押担保。</w:t>
      </w:r>
    </w:p>
    <w:p w:rsidR="000C0769" w:rsidRPr="00672DC8" w:rsidRDefault="000C0769" w:rsidP="000955F1">
      <w:pPr>
        <w:pStyle w:val="a3"/>
        <w:spacing w:beforeLines="50" w:before="156" w:beforeAutospacing="0" w:afterLines="50" w:after="156" w:afterAutospacing="0" w:line="288" w:lineRule="auto"/>
        <w:divId w:val="1472821903"/>
        <w:rPr>
          <w:rFonts w:ascii="Times New Roman" w:hAnsi="Times New Roman" w:cs="Times New Roman"/>
          <w:sz w:val="18"/>
          <w:szCs w:val="18"/>
        </w:rPr>
      </w:pPr>
      <w:r w:rsidRPr="00672DC8">
        <w:rPr>
          <w:rFonts w:ascii="Times New Roman" w:hAnsi="Times New Roman" w:cs="Times New Roman"/>
          <w:sz w:val="21"/>
          <w:szCs w:val="21"/>
        </w:rPr>
        <w:t>2.</w:t>
      </w:r>
      <w:r w:rsidRPr="00672DC8">
        <w:rPr>
          <w:rFonts w:ascii="Times New Roman" w:hAnsi="Times New Roman" w:cs="Times New Roman"/>
          <w:sz w:val="21"/>
          <w:szCs w:val="21"/>
        </w:rPr>
        <w:t>桓台爱道向华润融资租赁有限公司申请综合授信，由公司提供连带责任保证担保，并以桓台爱道应收账款</w:t>
      </w:r>
      <w:r w:rsidRPr="00672DC8">
        <w:rPr>
          <w:rFonts w:ascii="Times New Roman" w:hAnsi="Times New Roman" w:cs="Times New Roman"/>
          <w:sz w:val="21"/>
          <w:szCs w:val="21"/>
        </w:rPr>
        <w:t>-</w:t>
      </w:r>
      <w:r w:rsidRPr="00672DC8">
        <w:rPr>
          <w:rFonts w:ascii="Times New Roman" w:hAnsi="Times New Roman" w:cs="Times New Roman"/>
          <w:sz w:val="21"/>
          <w:szCs w:val="21"/>
        </w:rPr>
        <w:t>售电收费权提供质押担保。</w:t>
      </w:r>
    </w:p>
    <w:p w:rsidR="000C0769" w:rsidRPr="00672DC8" w:rsidRDefault="000C0769" w:rsidP="000955F1">
      <w:pPr>
        <w:pStyle w:val="a3"/>
        <w:spacing w:beforeLines="50" w:before="156" w:beforeAutospacing="0" w:afterLines="50" w:after="156" w:afterAutospacing="0" w:line="288" w:lineRule="auto"/>
        <w:divId w:val="1472821903"/>
        <w:rPr>
          <w:rFonts w:ascii="Times New Roman" w:hAnsi="Times New Roman" w:cs="Times New Roman"/>
          <w:sz w:val="18"/>
          <w:szCs w:val="18"/>
        </w:rPr>
      </w:pPr>
      <w:r w:rsidRPr="00672DC8">
        <w:rPr>
          <w:rFonts w:ascii="Times New Roman" w:hAnsi="Times New Roman" w:cs="Times New Roman"/>
          <w:sz w:val="21"/>
          <w:szCs w:val="21"/>
        </w:rPr>
        <w:t>3.</w:t>
      </w:r>
      <w:r w:rsidRPr="00672DC8">
        <w:rPr>
          <w:rFonts w:ascii="Times New Roman" w:hAnsi="Times New Roman" w:cs="Times New Roman"/>
          <w:sz w:val="21"/>
          <w:szCs w:val="21"/>
        </w:rPr>
        <w:t>广西亿泰向中航国际融资租赁有限公司以售后回租申请融资租赁，由公司和其他股东广东后洋投资有限公司提供连带责任保证担保，以广西亿泰应收账款</w:t>
      </w:r>
      <w:r w:rsidRPr="00672DC8">
        <w:rPr>
          <w:rFonts w:ascii="Times New Roman" w:hAnsi="Times New Roman" w:cs="Times New Roman"/>
          <w:sz w:val="21"/>
          <w:szCs w:val="21"/>
        </w:rPr>
        <w:t>-</w:t>
      </w:r>
      <w:r w:rsidRPr="00672DC8">
        <w:rPr>
          <w:rFonts w:ascii="Times New Roman" w:hAnsi="Times New Roman" w:cs="Times New Roman"/>
          <w:sz w:val="21"/>
          <w:szCs w:val="21"/>
        </w:rPr>
        <w:t>电费收费权提供质押担保。</w:t>
      </w:r>
    </w:p>
    <w:p w:rsidR="000C0769" w:rsidRPr="00672DC8" w:rsidRDefault="000C0769" w:rsidP="000955F1">
      <w:pPr>
        <w:pStyle w:val="a3"/>
        <w:spacing w:beforeLines="50" w:before="156" w:beforeAutospacing="0" w:afterLines="50" w:after="156" w:afterAutospacing="0" w:line="288" w:lineRule="auto"/>
        <w:divId w:val="1472821903"/>
        <w:rPr>
          <w:rFonts w:ascii="Times New Roman" w:hAnsi="Times New Roman" w:cs="Times New Roman"/>
          <w:sz w:val="18"/>
          <w:szCs w:val="18"/>
        </w:rPr>
      </w:pPr>
      <w:r w:rsidRPr="00672DC8">
        <w:rPr>
          <w:rFonts w:ascii="Times New Roman" w:hAnsi="Times New Roman" w:cs="Times New Roman"/>
          <w:sz w:val="21"/>
          <w:szCs w:val="21"/>
        </w:rPr>
        <w:t>4.</w:t>
      </w:r>
      <w:r w:rsidRPr="00672DC8">
        <w:rPr>
          <w:rFonts w:ascii="Times New Roman" w:hAnsi="Times New Roman" w:cs="Times New Roman"/>
          <w:sz w:val="21"/>
          <w:szCs w:val="21"/>
        </w:rPr>
        <w:t>天亿马信息技术向中国银行股份有限公司汕头分行贷款，由公司提供连带责任保证担保，并以天亿马信息技术应收账款提供质押担保。</w:t>
      </w:r>
    </w:p>
    <w:p w:rsidR="000C0769" w:rsidRPr="00672DC8" w:rsidRDefault="000C0769" w:rsidP="000955F1">
      <w:pPr>
        <w:pStyle w:val="a3"/>
        <w:spacing w:beforeLines="50" w:before="156" w:beforeAutospacing="0" w:afterLines="50" w:after="156" w:afterAutospacing="0" w:line="288" w:lineRule="auto"/>
        <w:divId w:val="1472821903"/>
        <w:rPr>
          <w:rFonts w:ascii="Times New Roman" w:hAnsi="Times New Roman" w:cs="Times New Roman"/>
          <w:sz w:val="18"/>
          <w:szCs w:val="18"/>
        </w:rPr>
      </w:pPr>
      <w:r w:rsidRPr="00672DC8">
        <w:rPr>
          <w:rFonts w:ascii="Times New Roman" w:hAnsi="Times New Roman" w:cs="Times New Roman"/>
          <w:sz w:val="21"/>
          <w:szCs w:val="21"/>
        </w:rPr>
        <w:t>5.</w:t>
      </w:r>
      <w:r w:rsidRPr="00672DC8">
        <w:rPr>
          <w:rFonts w:ascii="Times New Roman" w:hAnsi="Times New Roman" w:cs="Times New Roman"/>
          <w:sz w:val="21"/>
          <w:szCs w:val="21"/>
        </w:rPr>
        <w:t>天亿马信息技术向南洋商业银行（中国）有限公司汕头分行贷款，由公司提供连带责任保证担保，并以天亿马信息技术应收账款提供质押担保。</w:t>
      </w:r>
    </w:p>
    <w:p w:rsidR="003D2BA8" w:rsidRPr="00672DC8" w:rsidRDefault="000C0769">
      <w:pPr>
        <w:pStyle w:val="3"/>
        <w:spacing w:line="280" w:lineRule="exact"/>
        <w:jc w:val="left"/>
        <w:rPr>
          <w:rFonts w:ascii="Times New Roman" w:hAnsi="Times New Roman" w:cs="Times New Roman"/>
          <w:b/>
          <w:bCs/>
        </w:rPr>
      </w:pPr>
      <w:bookmarkStart w:id="94" w:name="_Toc988968"/>
      <w:r w:rsidRPr="00672DC8">
        <w:rPr>
          <w:rFonts w:ascii="Times New Roman" w:hAnsi="Times New Roman" w:cs="Times New Roman"/>
          <w:b/>
          <w:bCs/>
        </w:rPr>
        <w:t>3</w:t>
      </w:r>
      <w:r w:rsidRPr="00672DC8">
        <w:rPr>
          <w:rFonts w:ascii="Times New Roman" w:hAnsi="Times New Roman" w:cs="Times New Roman"/>
          <w:b/>
          <w:bCs/>
        </w:rPr>
        <w:t>、日常经营重大合同</w:t>
      </w:r>
      <w:bookmarkEnd w:id="9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合同订立公司方名称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合同订立对方名称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合同总金额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合同履行的进度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本期确认的销售收入金额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累计确认的销售收入金额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应收账款回款情况</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影响重大合同履行的各项条件是否发生重大变化</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是否存在合同无法履行的重大风险</w:t>
            </w:r>
          </w:p>
        </w:tc>
      </w:tr>
    </w:tbl>
    <w:p w:rsidR="003D2BA8" w:rsidRPr="00672DC8" w:rsidRDefault="000C0769">
      <w:pPr>
        <w:pStyle w:val="3"/>
        <w:spacing w:line="280" w:lineRule="exact"/>
        <w:jc w:val="left"/>
        <w:rPr>
          <w:rFonts w:ascii="Times New Roman" w:hAnsi="Times New Roman" w:cs="Times New Roman"/>
          <w:b/>
          <w:bCs/>
        </w:rPr>
      </w:pPr>
      <w:bookmarkStart w:id="95" w:name="_Toc988969"/>
      <w:r w:rsidRPr="00672DC8">
        <w:rPr>
          <w:rFonts w:ascii="Times New Roman" w:hAnsi="Times New Roman" w:cs="Times New Roman"/>
          <w:b/>
          <w:bCs/>
        </w:rPr>
        <w:t>4</w:t>
      </w:r>
      <w:r w:rsidRPr="00672DC8">
        <w:rPr>
          <w:rFonts w:ascii="Times New Roman" w:hAnsi="Times New Roman" w:cs="Times New Roman"/>
          <w:b/>
          <w:bCs/>
        </w:rPr>
        <w:t>、其他重大合同</w:t>
      </w:r>
      <w:bookmarkEnd w:id="9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公司报告期不存在其他重大合同。</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96" w:name="_Toc988970"/>
      <w:r w:rsidRPr="00672DC8">
        <w:rPr>
          <w:rFonts w:ascii="Times New Roman" w:eastAsia="宋体" w:hAnsi="Times New Roman" w:cs="Times New Roman"/>
          <w:b/>
          <w:bCs/>
          <w:sz w:val="24"/>
          <w:szCs w:val="24"/>
        </w:rPr>
        <w:lastRenderedPageBreak/>
        <w:t>十三、其他重大事项的说明</w:t>
      </w:r>
      <w:bookmarkEnd w:id="9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b/>
        </w:rPr>
      </w:pPr>
      <w:r w:rsidRPr="00672DC8">
        <w:rPr>
          <w:rFonts w:ascii="Times New Roman" w:hAnsi="Times New Roman" w:cs="Times New Roman"/>
          <w:b/>
          <w:color w:val="000000"/>
          <w:sz w:val="21"/>
          <w:szCs w:val="21"/>
        </w:rPr>
        <w:t>（一）对外投资事项</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1.</w:t>
      </w:r>
      <w:r w:rsidRPr="00672DC8">
        <w:rPr>
          <w:rFonts w:ascii="Times New Roman" w:hAnsi="Times New Roman" w:cs="Times New Roman"/>
          <w:color w:val="000000"/>
          <w:sz w:val="21"/>
          <w:szCs w:val="21"/>
        </w:rPr>
        <w:t>设立人工智能子公司</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根据公司落实</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人工智能</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行动战略规划，公司报告期内设立了上海天亿马人工智能科技有限公司、北京天亿马人工智能科技有限公司、广东天亿马人工智能科技有限公司，重点布局算力设备、人工智能应用研发项目，聚焦人工智能技术在各行业的场落地，强化核心技术研发。</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上海天亿马人工智能科技有限公司注册地为上海市，注册资本</w:t>
      </w:r>
      <w:r w:rsidRPr="00672DC8">
        <w:rPr>
          <w:rFonts w:ascii="Times New Roman" w:hAnsi="Times New Roman" w:cs="Times New Roman"/>
          <w:color w:val="000000"/>
          <w:sz w:val="21"/>
          <w:szCs w:val="21"/>
        </w:rPr>
        <w:t>2,000</w:t>
      </w:r>
      <w:r w:rsidRPr="00672DC8">
        <w:rPr>
          <w:rFonts w:ascii="Times New Roman" w:hAnsi="Times New Roman" w:cs="Times New Roman"/>
          <w:color w:val="000000"/>
          <w:sz w:val="21"/>
          <w:szCs w:val="21"/>
        </w:rPr>
        <w:t>万元人民币，上市公司出资</w:t>
      </w:r>
      <w:r w:rsidRPr="00672DC8">
        <w:rPr>
          <w:rFonts w:ascii="Times New Roman" w:hAnsi="Times New Roman" w:cs="Times New Roman"/>
          <w:color w:val="000000"/>
          <w:sz w:val="21"/>
          <w:szCs w:val="21"/>
        </w:rPr>
        <w:t>1,020</w:t>
      </w:r>
      <w:r w:rsidRPr="00672DC8">
        <w:rPr>
          <w:rFonts w:ascii="Times New Roman" w:hAnsi="Times New Roman" w:cs="Times New Roman"/>
          <w:color w:val="000000"/>
          <w:sz w:val="21"/>
          <w:szCs w:val="21"/>
        </w:rPr>
        <w:t>万元，占比</w:t>
      </w:r>
      <w:r w:rsidRPr="00672DC8">
        <w:rPr>
          <w:rFonts w:ascii="Times New Roman" w:hAnsi="Times New Roman" w:cs="Times New Roman"/>
          <w:color w:val="000000"/>
          <w:sz w:val="21"/>
          <w:szCs w:val="21"/>
        </w:rPr>
        <w:t>51%</w:t>
      </w:r>
      <w:r w:rsidRPr="00672DC8">
        <w:rPr>
          <w:rFonts w:ascii="Times New Roman" w:hAnsi="Times New Roman" w:cs="Times New Roman"/>
          <w:color w:val="000000"/>
          <w:sz w:val="21"/>
          <w:szCs w:val="21"/>
        </w:rPr>
        <w:t>；非关联方李德出资</w:t>
      </w:r>
      <w:r w:rsidRPr="00672DC8">
        <w:rPr>
          <w:rFonts w:ascii="Times New Roman" w:hAnsi="Times New Roman" w:cs="Times New Roman"/>
          <w:color w:val="000000"/>
          <w:sz w:val="21"/>
          <w:szCs w:val="21"/>
        </w:rPr>
        <w:t>980</w:t>
      </w:r>
      <w:r w:rsidRPr="00672DC8">
        <w:rPr>
          <w:rFonts w:ascii="Times New Roman" w:hAnsi="Times New Roman" w:cs="Times New Roman"/>
          <w:color w:val="000000"/>
          <w:sz w:val="21"/>
          <w:szCs w:val="21"/>
        </w:rPr>
        <w:t>万元，占比</w:t>
      </w:r>
      <w:r w:rsidRPr="00672DC8">
        <w:rPr>
          <w:rFonts w:ascii="Times New Roman" w:hAnsi="Times New Roman" w:cs="Times New Roman"/>
          <w:color w:val="000000"/>
          <w:sz w:val="21"/>
          <w:szCs w:val="21"/>
        </w:rPr>
        <w:t>49%</w:t>
      </w:r>
      <w:r w:rsidRPr="00672DC8">
        <w:rPr>
          <w:rFonts w:ascii="Times New Roman" w:hAnsi="Times New Roman" w:cs="Times New Roman"/>
          <w:color w:val="000000"/>
          <w:sz w:val="21"/>
          <w:szCs w:val="21"/>
        </w:rPr>
        <w:t>。该公司于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日完成设立。</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北京天亿马人工智能科技有限公司注册地为北京市，注册资本</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万元人民币，上市公司出资</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万元，占比</w:t>
      </w:r>
      <w:r w:rsidRPr="00672DC8">
        <w:rPr>
          <w:rFonts w:ascii="Times New Roman" w:hAnsi="Times New Roman" w:cs="Times New Roman"/>
          <w:color w:val="000000"/>
          <w:sz w:val="21"/>
          <w:szCs w:val="21"/>
        </w:rPr>
        <w:t>100%</w:t>
      </w:r>
      <w:r w:rsidRPr="00672DC8">
        <w:rPr>
          <w:rFonts w:ascii="Times New Roman" w:hAnsi="Times New Roman" w:cs="Times New Roman"/>
          <w:color w:val="000000"/>
          <w:sz w:val="21"/>
          <w:szCs w:val="21"/>
        </w:rPr>
        <w:t>。该公司于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24</w:t>
      </w:r>
      <w:r w:rsidRPr="00672DC8">
        <w:rPr>
          <w:rFonts w:ascii="Times New Roman" w:hAnsi="Times New Roman" w:cs="Times New Roman"/>
          <w:color w:val="000000"/>
          <w:sz w:val="21"/>
          <w:szCs w:val="21"/>
        </w:rPr>
        <w:t>日完成设立。</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广东天亿马人工智能科技有限公司注册地为广东省汕头市，注册资本为</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万元人民币，上市公司出资</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万元，占比</w:t>
      </w:r>
      <w:r w:rsidRPr="00672DC8">
        <w:rPr>
          <w:rFonts w:ascii="Times New Roman" w:hAnsi="Times New Roman" w:cs="Times New Roman"/>
          <w:color w:val="000000"/>
          <w:sz w:val="21"/>
          <w:szCs w:val="21"/>
        </w:rPr>
        <w:t>100%</w:t>
      </w:r>
      <w:r w:rsidRPr="00672DC8">
        <w:rPr>
          <w:rFonts w:ascii="Times New Roman" w:hAnsi="Times New Roman" w:cs="Times New Roman"/>
          <w:color w:val="000000"/>
          <w:sz w:val="21"/>
          <w:szCs w:val="21"/>
        </w:rPr>
        <w:t>。该公司于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27</w:t>
      </w:r>
      <w:r w:rsidRPr="00672DC8">
        <w:rPr>
          <w:rFonts w:ascii="Times New Roman" w:hAnsi="Times New Roman" w:cs="Times New Roman"/>
          <w:color w:val="000000"/>
          <w:sz w:val="21"/>
          <w:szCs w:val="21"/>
        </w:rPr>
        <w:t>日完成设立。</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以上公司设立后纳入上市公司合并报表范围。设立新公司的资金来源均为自有资金，不会影响上市公司正常经营，不会对上市公司未来财务状况和经营发展产生重大不利影响。</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2.</w:t>
      </w:r>
      <w:r w:rsidRPr="00672DC8">
        <w:rPr>
          <w:rFonts w:ascii="Times New Roman" w:hAnsi="Times New Roman" w:cs="Times New Roman"/>
          <w:color w:val="000000"/>
          <w:sz w:val="21"/>
          <w:szCs w:val="21"/>
        </w:rPr>
        <w:t>合资设立子公司</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5</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21</w:t>
      </w:r>
      <w:r w:rsidRPr="00672DC8">
        <w:rPr>
          <w:rFonts w:ascii="Times New Roman" w:hAnsi="Times New Roman" w:cs="Times New Roman"/>
          <w:color w:val="000000"/>
          <w:sz w:val="21"/>
          <w:szCs w:val="21"/>
        </w:rPr>
        <w:t>日召开第四届董事会第七次会议，审议通过了《关于拟对外投资设立控股子公司的议案》。依据公司</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人工智能</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行动部署和经营规划，公司与非关联方汕头市东海岸投资建设有限公司（以下简称</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东海岸投资公司</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）共同投资设立广东天亿马数据产业有限公司。天亿马数据产业注册资本</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万元。天亿马认缴</w:t>
      </w:r>
      <w:r w:rsidRPr="00672DC8">
        <w:rPr>
          <w:rFonts w:ascii="Times New Roman" w:hAnsi="Times New Roman" w:cs="Times New Roman"/>
          <w:color w:val="000000"/>
          <w:sz w:val="21"/>
          <w:szCs w:val="21"/>
        </w:rPr>
        <w:t>800</w:t>
      </w:r>
      <w:r w:rsidRPr="00672DC8">
        <w:rPr>
          <w:rFonts w:ascii="Times New Roman" w:hAnsi="Times New Roman" w:cs="Times New Roman"/>
          <w:color w:val="000000"/>
          <w:sz w:val="21"/>
          <w:szCs w:val="21"/>
        </w:rPr>
        <w:t>万元，持股</w:t>
      </w:r>
      <w:r w:rsidRPr="00672DC8">
        <w:rPr>
          <w:rFonts w:ascii="Times New Roman" w:hAnsi="Times New Roman" w:cs="Times New Roman"/>
          <w:color w:val="000000"/>
          <w:sz w:val="21"/>
          <w:szCs w:val="21"/>
        </w:rPr>
        <w:t>80%</w:t>
      </w:r>
      <w:r w:rsidRPr="00672DC8">
        <w:rPr>
          <w:rFonts w:ascii="Times New Roman" w:hAnsi="Times New Roman" w:cs="Times New Roman"/>
          <w:color w:val="000000"/>
          <w:sz w:val="21"/>
          <w:szCs w:val="21"/>
        </w:rPr>
        <w:t>；非关联方东海岸投资公司认缴</w:t>
      </w:r>
      <w:r w:rsidRPr="00672DC8">
        <w:rPr>
          <w:rFonts w:ascii="Times New Roman" w:hAnsi="Times New Roman" w:cs="Times New Roman"/>
          <w:color w:val="000000"/>
          <w:sz w:val="21"/>
          <w:szCs w:val="21"/>
        </w:rPr>
        <w:t>200</w:t>
      </w:r>
      <w:r w:rsidRPr="00672DC8">
        <w:rPr>
          <w:rFonts w:ascii="Times New Roman" w:hAnsi="Times New Roman" w:cs="Times New Roman"/>
          <w:color w:val="000000"/>
          <w:sz w:val="21"/>
          <w:szCs w:val="21"/>
        </w:rPr>
        <w:t>万元，持股</w:t>
      </w:r>
      <w:r w:rsidRPr="00672DC8">
        <w:rPr>
          <w:rFonts w:ascii="Times New Roman" w:hAnsi="Times New Roman" w:cs="Times New Roman"/>
          <w:color w:val="000000"/>
          <w:sz w:val="21"/>
          <w:szCs w:val="21"/>
        </w:rPr>
        <w:t>20%</w:t>
      </w:r>
      <w:r w:rsidRPr="00672DC8">
        <w:rPr>
          <w:rFonts w:ascii="Times New Roman" w:hAnsi="Times New Roman" w:cs="Times New Roman"/>
          <w:color w:val="000000"/>
          <w:sz w:val="21"/>
          <w:szCs w:val="21"/>
        </w:rPr>
        <w:t>。本次对外投资不构成关联交易，不构成《上市公司重大资产重组管理办法》规定的重大资产重组事项。根据《公司章程》等有关规定，上述投资事项属于公司董事会审议权限，无需提交股东会审议。</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天亿马数据产业于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05</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27</w:t>
      </w:r>
      <w:r w:rsidRPr="00672DC8">
        <w:rPr>
          <w:rFonts w:ascii="Times New Roman" w:hAnsi="Times New Roman" w:cs="Times New Roman"/>
          <w:color w:val="000000"/>
          <w:sz w:val="21"/>
          <w:szCs w:val="21"/>
        </w:rPr>
        <w:t>日完成设立登记，设立后纳入上市公司合并报表范围。</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子公司增资扩股并引入外部投资者</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5</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21</w:t>
      </w:r>
      <w:r w:rsidRPr="00672DC8">
        <w:rPr>
          <w:rFonts w:ascii="Times New Roman" w:hAnsi="Times New Roman" w:cs="Times New Roman"/>
          <w:color w:val="000000"/>
          <w:sz w:val="21"/>
          <w:szCs w:val="21"/>
        </w:rPr>
        <w:t>日召开第四届董事会第七次会议，审议通过了《关于子公司拟增资扩股并引入外部投资者的议案》。依据经营规划，公司同意广东天亿马数字产业有限公司增资扩股并引入新股东非关联方广东省粤财产业科技股权投资基金合伙企业（有限合伙）（以下简称</w:t>
      </w:r>
      <w:r w:rsidR="00A45857">
        <w:rPr>
          <w:rFonts w:ascii="Times New Roman" w:hAnsi="Times New Roman" w:cs="Times New Roman" w:hint="eastAsia"/>
          <w:color w:val="000000"/>
          <w:sz w:val="21"/>
          <w:szCs w:val="21"/>
        </w:rPr>
        <w:t>“</w:t>
      </w:r>
      <w:r w:rsidRPr="00672DC8">
        <w:rPr>
          <w:rFonts w:ascii="Times New Roman" w:hAnsi="Times New Roman" w:cs="Times New Roman"/>
          <w:color w:val="000000"/>
          <w:sz w:val="21"/>
          <w:szCs w:val="21"/>
        </w:rPr>
        <w:t>粤财产投基金</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）。天亿马数字产业注册资本由</w:t>
      </w:r>
      <w:r w:rsidRPr="00672DC8">
        <w:rPr>
          <w:rFonts w:ascii="Times New Roman" w:hAnsi="Times New Roman" w:cs="Times New Roman"/>
          <w:color w:val="000000"/>
          <w:sz w:val="21"/>
          <w:szCs w:val="21"/>
        </w:rPr>
        <w:t>1,000</w:t>
      </w:r>
      <w:r w:rsidRPr="00672DC8">
        <w:rPr>
          <w:rFonts w:ascii="Times New Roman" w:hAnsi="Times New Roman" w:cs="Times New Roman"/>
          <w:color w:val="000000"/>
          <w:sz w:val="21"/>
          <w:szCs w:val="21"/>
        </w:rPr>
        <w:t>万元增加至</w:t>
      </w:r>
      <w:r w:rsidRPr="00672DC8">
        <w:rPr>
          <w:rFonts w:ascii="Times New Roman" w:hAnsi="Times New Roman" w:cs="Times New Roman"/>
          <w:color w:val="000000"/>
          <w:sz w:val="21"/>
          <w:szCs w:val="21"/>
        </w:rPr>
        <w:t>17,000</w:t>
      </w:r>
      <w:r w:rsidRPr="00672DC8">
        <w:rPr>
          <w:rFonts w:ascii="Times New Roman" w:hAnsi="Times New Roman" w:cs="Times New Roman"/>
          <w:color w:val="000000"/>
          <w:sz w:val="21"/>
          <w:szCs w:val="21"/>
        </w:rPr>
        <w:t>万元，由公司以自有资金增资</w:t>
      </w:r>
      <w:r w:rsidRPr="00672DC8">
        <w:rPr>
          <w:rFonts w:ascii="Times New Roman" w:hAnsi="Times New Roman" w:cs="Times New Roman"/>
          <w:color w:val="000000"/>
          <w:sz w:val="21"/>
          <w:szCs w:val="21"/>
        </w:rPr>
        <w:t>8,000</w:t>
      </w:r>
      <w:r w:rsidRPr="00672DC8">
        <w:rPr>
          <w:rFonts w:ascii="Times New Roman" w:hAnsi="Times New Roman" w:cs="Times New Roman"/>
          <w:color w:val="000000"/>
          <w:sz w:val="21"/>
          <w:szCs w:val="21"/>
        </w:rPr>
        <w:t>万元，新股东粤财产投基金以自有资金出资</w:t>
      </w:r>
      <w:r w:rsidRPr="00672DC8">
        <w:rPr>
          <w:rFonts w:ascii="Times New Roman" w:hAnsi="Times New Roman" w:cs="Times New Roman"/>
          <w:color w:val="000000"/>
          <w:sz w:val="21"/>
          <w:szCs w:val="21"/>
        </w:rPr>
        <w:t xml:space="preserve">8,000 </w:t>
      </w:r>
      <w:r w:rsidRPr="00672DC8">
        <w:rPr>
          <w:rFonts w:ascii="Times New Roman" w:hAnsi="Times New Roman" w:cs="Times New Roman"/>
          <w:color w:val="000000"/>
          <w:sz w:val="21"/>
          <w:szCs w:val="21"/>
        </w:rPr>
        <w:t>万元。增资后，公司持股比例由</w:t>
      </w:r>
      <w:r w:rsidRPr="00672DC8">
        <w:rPr>
          <w:rFonts w:ascii="Times New Roman" w:hAnsi="Times New Roman" w:cs="Times New Roman"/>
          <w:color w:val="000000"/>
          <w:sz w:val="21"/>
          <w:szCs w:val="21"/>
        </w:rPr>
        <w:t>100%</w:t>
      </w:r>
      <w:r w:rsidRPr="00672DC8">
        <w:rPr>
          <w:rFonts w:ascii="Times New Roman" w:hAnsi="Times New Roman" w:cs="Times New Roman"/>
          <w:color w:val="000000"/>
          <w:sz w:val="21"/>
          <w:szCs w:val="21"/>
        </w:rPr>
        <w:t>变更为</w:t>
      </w:r>
      <w:r w:rsidRPr="00672DC8">
        <w:rPr>
          <w:rFonts w:ascii="Times New Roman" w:hAnsi="Times New Roman" w:cs="Times New Roman"/>
          <w:color w:val="000000"/>
          <w:sz w:val="21"/>
          <w:szCs w:val="21"/>
        </w:rPr>
        <w:t>52.94%</w:t>
      </w:r>
      <w:r w:rsidRPr="00672DC8">
        <w:rPr>
          <w:rFonts w:ascii="Times New Roman" w:hAnsi="Times New Roman" w:cs="Times New Roman"/>
          <w:color w:val="000000"/>
          <w:sz w:val="21"/>
          <w:szCs w:val="21"/>
        </w:rPr>
        <w:t>，粤财产投基金持股</w:t>
      </w:r>
      <w:r w:rsidRPr="00672DC8">
        <w:rPr>
          <w:rFonts w:ascii="Times New Roman" w:hAnsi="Times New Roman" w:cs="Times New Roman"/>
          <w:color w:val="000000"/>
          <w:sz w:val="21"/>
          <w:szCs w:val="21"/>
        </w:rPr>
        <w:t>47.06%</w:t>
      </w:r>
      <w:r w:rsidRPr="00672DC8">
        <w:rPr>
          <w:rFonts w:ascii="Times New Roman" w:hAnsi="Times New Roman" w:cs="Times New Roman"/>
          <w:color w:val="000000"/>
          <w:sz w:val="21"/>
          <w:szCs w:val="21"/>
        </w:rPr>
        <w:t>。</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天亿马数字产业于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10</w:t>
      </w:r>
      <w:r w:rsidRPr="00672DC8">
        <w:rPr>
          <w:rFonts w:ascii="Times New Roman" w:hAnsi="Times New Roman" w:cs="Times New Roman"/>
          <w:color w:val="000000"/>
          <w:sz w:val="21"/>
          <w:szCs w:val="21"/>
        </w:rPr>
        <w:t>日完成了增资相关的工商登记备案事项。</w:t>
      </w:r>
    </w:p>
    <w:p w:rsidR="000C0769" w:rsidRPr="00672DC8" w:rsidRDefault="000C0769" w:rsidP="00201DE8">
      <w:pPr>
        <w:pStyle w:val="a3"/>
        <w:spacing w:beforeLines="50" w:before="156" w:beforeAutospacing="0" w:afterLines="50" w:after="156" w:afterAutospacing="0" w:line="288" w:lineRule="auto"/>
        <w:ind w:firstLine="420"/>
        <w:divId w:val="1644969120"/>
        <w:rPr>
          <w:rFonts w:ascii="Times New Roman" w:hAnsi="Times New Roman" w:cs="Times New Roman"/>
          <w:b/>
        </w:rPr>
      </w:pPr>
      <w:r w:rsidRPr="00672DC8">
        <w:rPr>
          <w:rFonts w:ascii="Times New Roman" w:hAnsi="Times New Roman" w:cs="Times New Roman"/>
          <w:b/>
          <w:color w:val="000000"/>
          <w:sz w:val="21"/>
          <w:szCs w:val="21"/>
        </w:rPr>
        <w:lastRenderedPageBreak/>
        <w:t>（二）年度权益分派实施情况</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30</w:t>
      </w:r>
      <w:r w:rsidRPr="00672DC8">
        <w:rPr>
          <w:rFonts w:ascii="Times New Roman" w:hAnsi="Times New Roman" w:cs="Times New Roman"/>
          <w:color w:val="000000"/>
          <w:sz w:val="21"/>
          <w:szCs w:val="21"/>
        </w:rPr>
        <w:t>日召开第四届董事会第五次会议，另于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21</w:t>
      </w:r>
      <w:r w:rsidRPr="00672DC8">
        <w:rPr>
          <w:rFonts w:ascii="Times New Roman" w:hAnsi="Times New Roman" w:cs="Times New Roman"/>
          <w:color w:val="000000"/>
          <w:sz w:val="21"/>
          <w:szCs w:val="21"/>
        </w:rPr>
        <w:t>日召开</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年年度股东会，审议通过了《关于</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年度利润分配预案的议案》，同意以</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12</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 xml:space="preserve"> 31</w:t>
      </w:r>
      <w:r w:rsidRPr="00672DC8">
        <w:rPr>
          <w:rFonts w:ascii="Times New Roman" w:hAnsi="Times New Roman" w:cs="Times New Roman"/>
          <w:color w:val="000000"/>
          <w:sz w:val="21"/>
          <w:szCs w:val="21"/>
        </w:rPr>
        <w:t>日的总股本扣除回购账户所持有股份后的</w:t>
      </w:r>
      <w:r w:rsidRPr="00672DC8">
        <w:rPr>
          <w:rFonts w:ascii="Times New Roman" w:hAnsi="Times New Roman" w:cs="Times New Roman"/>
          <w:color w:val="000000"/>
          <w:sz w:val="21"/>
          <w:szCs w:val="21"/>
        </w:rPr>
        <w:t xml:space="preserve"> 65,628,660</w:t>
      </w:r>
      <w:r w:rsidRPr="00672DC8">
        <w:rPr>
          <w:rFonts w:ascii="Times New Roman" w:hAnsi="Times New Roman" w:cs="Times New Roman"/>
          <w:color w:val="000000"/>
          <w:sz w:val="21"/>
          <w:szCs w:val="21"/>
        </w:rPr>
        <w:t>股为基数，每</w:t>
      </w:r>
      <w:r w:rsidRPr="00672DC8">
        <w:rPr>
          <w:rFonts w:ascii="Times New Roman" w:hAnsi="Times New Roman" w:cs="Times New Roman"/>
          <w:color w:val="000000"/>
          <w:sz w:val="21"/>
          <w:szCs w:val="21"/>
        </w:rPr>
        <w:t xml:space="preserve"> 10</w:t>
      </w:r>
      <w:r w:rsidRPr="00672DC8">
        <w:rPr>
          <w:rFonts w:ascii="Times New Roman" w:hAnsi="Times New Roman" w:cs="Times New Roman"/>
          <w:color w:val="000000"/>
          <w:sz w:val="21"/>
          <w:szCs w:val="21"/>
        </w:rPr>
        <w:t>股派发现金</w:t>
      </w:r>
      <w:r w:rsidRPr="00672DC8">
        <w:rPr>
          <w:rFonts w:ascii="Times New Roman" w:hAnsi="Times New Roman" w:cs="Times New Roman"/>
          <w:color w:val="000000"/>
          <w:sz w:val="21"/>
          <w:szCs w:val="21"/>
        </w:rPr>
        <w:t xml:space="preserve"> 0.5</w:t>
      </w:r>
      <w:r w:rsidRPr="00672DC8">
        <w:rPr>
          <w:rFonts w:ascii="Times New Roman" w:hAnsi="Times New Roman" w:cs="Times New Roman"/>
          <w:color w:val="000000"/>
          <w:sz w:val="21"/>
          <w:szCs w:val="21"/>
        </w:rPr>
        <w:t>元，以资本公积金每</w:t>
      </w:r>
      <w:r w:rsidRPr="00672DC8">
        <w:rPr>
          <w:rFonts w:ascii="Times New Roman" w:hAnsi="Times New Roman" w:cs="Times New Roman"/>
          <w:color w:val="000000"/>
          <w:sz w:val="21"/>
          <w:szCs w:val="21"/>
        </w:rPr>
        <w:t>10</w:t>
      </w:r>
      <w:r w:rsidRPr="00672DC8">
        <w:rPr>
          <w:rFonts w:ascii="Times New Roman" w:hAnsi="Times New Roman" w:cs="Times New Roman"/>
          <w:color w:val="000000"/>
          <w:sz w:val="21"/>
          <w:szCs w:val="21"/>
        </w:rPr>
        <w:t>股转增</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股，不送红股。本次预计现金分红总额</w:t>
      </w:r>
      <w:r w:rsidRPr="00672DC8">
        <w:rPr>
          <w:rFonts w:ascii="Times New Roman" w:hAnsi="Times New Roman" w:cs="Times New Roman"/>
          <w:color w:val="000000"/>
          <w:sz w:val="21"/>
          <w:szCs w:val="21"/>
        </w:rPr>
        <w:t>3,281,433.00</w:t>
      </w:r>
      <w:r w:rsidRPr="00672DC8">
        <w:rPr>
          <w:rFonts w:ascii="Times New Roman" w:hAnsi="Times New Roman" w:cs="Times New Roman"/>
          <w:color w:val="000000"/>
          <w:sz w:val="21"/>
          <w:szCs w:val="21"/>
        </w:rPr>
        <w:t>元（含税）；资本公积金转增后，公司总股本将由</w:t>
      </w:r>
      <w:r w:rsidRPr="00672DC8">
        <w:rPr>
          <w:rFonts w:ascii="Times New Roman" w:hAnsi="Times New Roman" w:cs="Times New Roman"/>
          <w:color w:val="000000"/>
          <w:sz w:val="21"/>
          <w:szCs w:val="21"/>
        </w:rPr>
        <w:t xml:space="preserve"> 66,852,800</w:t>
      </w:r>
      <w:r w:rsidRPr="00672DC8">
        <w:rPr>
          <w:rFonts w:ascii="Times New Roman" w:hAnsi="Times New Roman" w:cs="Times New Roman"/>
          <w:color w:val="000000"/>
          <w:sz w:val="21"/>
          <w:szCs w:val="21"/>
        </w:rPr>
        <w:t>股增加至</w:t>
      </w:r>
      <w:r w:rsidRPr="00672DC8">
        <w:rPr>
          <w:rFonts w:ascii="Times New Roman" w:hAnsi="Times New Roman" w:cs="Times New Roman"/>
          <w:color w:val="000000"/>
          <w:sz w:val="21"/>
          <w:szCs w:val="21"/>
        </w:rPr>
        <w:t xml:space="preserve"> 93,104,264</w:t>
      </w:r>
      <w:r w:rsidRPr="00672DC8">
        <w:rPr>
          <w:rFonts w:ascii="Times New Roman" w:hAnsi="Times New Roman" w:cs="Times New Roman"/>
          <w:color w:val="000000"/>
          <w:sz w:val="21"/>
          <w:szCs w:val="21"/>
        </w:rPr>
        <w:t>股。若在利润分配方案公告后至实施前，公司出现股权激励行权、股份回购等股本总额发生变动情形时，将按照</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现金分红总额、资本公积金转增股本总额固定不变</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的原则对分配比例进行调整。</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本次利润分配已于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15</w:t>
      </w:r>
      <w:r w:rsidRPr="00672DC8">
        <w:rPr>
          <w:rFonts w:ascii="Times New Roman" w:hAnsi="Times New Roman" w:cs="Times New Roman"/>
          <w:color w:val="000000"/>
          <w:sz w:val="21"/>
          <w:szCs w:val="21"/>
        </w:rPr>
        <w:t>日实施完成。本次现金分红总额</w:t>
      </w:r>
      <w:r w:rsidRPr="00672DC8">
        <w:rPr>
          <w:rFonts w:ascii="Times New Roman" w:hAnsi="Times New Roman" w:cs="Times New Roman"/>
          <w:color w:val="000000"/>
          <w:sz w:val="21"/>
          <w:szCs w:val="21"/>
        </w:rPr>
        <w:t>3,281,433.00</w:t>
      </w:r>
      <w:r w:rsidRPr="00672DC8">
        <w:rPr>
          <w:rFonts w:ascii="Times New Roman" w:hAnsi="Times New Roman" w:cs="Times New Roman"/>
          <w:color w:val="000000"/>
          <w:sz w:val="21"/>
          <w:szCs w:val="21"/>
        </w:rPr>
        <w:t>元（含税），本次利润分配实施后，公司总股本由</w:t>
      </w:r>
      <w:r w:rsidRPr="00672DC8">
        <w:rPr>
          <w:rFonts w:ascii="Times New Roman" w:hAnsi="Times New Roman" w:cs="Times New Roman"/>
          <w:color w:val="000000"/>
          <w:sz w:val="21"/>
          <w:szCs w:val="21"/>
        </w:rPr>
        <w:t>66,852,800</w:t>
      </w:r>
      <w:r w:rsidRPr="00672DC8">
        <w:rPr>
          <w:rFonts w:ascii="Times New Roman" w:hAnsi="Times New Roman" w:cs="Times New Roman"/>
          <w:color w:val="000000"/>
          <w:sz w:val="21"/>
          <w:szCs w:val="21"/>
        </w:rPr>
        <w:t>股增加至</w:t>
      </w:r>
      <w:r w:rsidRPr="00672DC8">
        <w:rPr>
          <w:rFonts w:ascii="Times New Roman" w:hAnsi="Times New Roman" w:cs="Times New Roman"/>
          <w:color w:val="000000"/>
          <w:sz w:val="21"/>
          <w:szCs w:val="21"/>
        </w:rPr>
        <w:t>93,104,264</w:t>
      </w:r>
      <w:r w:rsidRPr="00672DC8">
        <w:rPr>
          <w:rFonts w:ascii="Times New Roman" w:hAnsi="Times New Roman" w:cs="Times New Roman"/>
          <w:color w:val="000000"/>
          <w:sz w:val="21"/>
          <w:szCs w:val="21"/>
        </w:rPr>
        <w:t>股。</w:t>
      </w:r>
    </w:p>
    <w:p w:rsidR="000C0769" w:rsidRPr="00672DC8" w:rsidRDefault="000C0769" w:rsidP="00201DE8">
      <w:pPr>
        <w:pStyle w:val="a3"/>
        <w:spacing w:beforeLines="50" w:before="156" w:beforeAutospacing="0" w:afterLines="50" w:after="156" w:afterAutospacing="0" w:line="288" w:lineRule="auto"/>
        <w:ind w:firstLine="420"/>
        <w:divId w:val="1644969120"/>
        <w:rPr>
          <w:rFonts w:ascii="Times New Roman" w:hAnsi="Times New Roman" w:cs="Times New Roman"/>
          <w:b/>
        </w:rPr>
      </w:pPr>
      <w:r w:rsidRPr="00672DC8">
        <w:rPr>
          <w:rFonts w:ascii="Times New Roman" w:hAnsi="Times New Roman" w:cs="Times New Roman"/>
          <w:b/>
          <w:color w:val="000000"/>
          <w:sz w:val="21"/>
          <w:szCs w:val="21"/>
        </w:rPr>
        <w:t>（三）关于发行股份及支付现金购买资产并募集配套资金暨关联交易事项</w:t>
      </w:r>
    </w:p>
    <w:p w:rsidR="000C0769" w:rsidRPr="00672DC8" w:rsidRDefault="000C0769" w:rsidP="00201DE8">
      <w:pPr>
        <w:pStyle w:val="a3"/>
        <w:spacing w:beforeLines="50" w:before="156" w:beforeAutospacing="0" w:afterLines="50" w:after="156" w:afterAutospacing="0" w:line="288" w:lineRule="auto"/>
        <w:ind w:firstLine="420"/>
        <w:divId w:val="1644969120"/>
        <w:rPr>
          <w:rFonts w:ascii="Times New Roman" w:hAnsi="Times New Roman" w:cs="Times New Roman"/>
        </w:rPr>
      </w:pPr>
      <w:r w:rsidRPr="00672DC8">
        <w:rPr>
          <w:rFonts w:ascii="Times New Roman" w:hAnsi="Times New Roman" w:cs="Times New Roman"/>
          <w:color w:val="000000"/>
          <w:sz w:val="21"/>
          <w:szCs w:val="21"/>
        </w:rPr>
        <w:t>公司筹划并实施通过发行股份及支付现金的方式购买广东星云开物科技股份有限公司</w:t>
      </w:r>
      <w:r w:rsidRPr="00672DC8">
        <w:rPr>
          <w:rFonts w:ascii="Times New Roman" w:hAnsi="Times New Roman" w:cs="Times New Roman"/>
          <w:color w:val="000000"/>
          <w:sz w:val="21"/>
          <w:szCs w:val="21"/>
        </w:rPr>
        <w:t>98.5632%</w:t>
      </w:r>
      <w:r w:rsidRPr="00672DC8">
        <w:rPr>
          <w:rFonts w:ascii="Times New Roman" w:hAnsi="Times New Roman" w:cs="Times New Roman"/>
          <w:color w:val="000000"/>
          <w:sz w:val="21"/>
          <w:szCs w:val="21"/>
        </w:rPr>
        <w:t>股权（以下简称</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本次交易</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），并向实际控制人之一马学沛先生发行股份募集配套资金不超过</w:t>
      </w:r>
      <w:r w:rsidRPr="00672DC8">
        <w:rPr>
          <w:rFonts w:ascii="Times New Roman" w:hAnsi="Times New Roman" w:cs="Times New Roman"/>
          <w:color w:val="000000"/>
          <w:sz w:val="21"/>
          <w:szCs w:val="21"/>
        </w:rPr>
        <w:t xml:space="preserve">1.55 </w:t>
      </w:r>
      <w:r w:rsidRPr="00672DC8">
        <w:rPr>
          <w:rFonts w:ascii="Times New Roman" w:hAnsi="Times New Roman" w:cs="Times New Roman"/>
          <w:color w:val="000000"/>
          <w:sz w:val="21"/>
          <w:szCs w:val="21"/>
        </w:rPr>
        <w:t>亿元。根据《上市公司重大资产重组管理办法》相关规定，本次交易构成重大资产重组，构成关联交易，不构成重组上市。经公司第三届董事会第三十二次会议、第四届董事会第三次会议，并经</w:t>
      </w:r>
      <w:r w:rsidRPr="00672DC8">
        <w:rPr>
          <w:rFonts w:ascii="Times New Roman" w:hAnsi="Times New Roman" w:cs="Times New Roman"/>
          <w:color w:val="000000"/>
          <w:sz w:val="21"/>
          <w:szCs w:val="21"/>
        </w:rPr>
        <w:t xml:space="preserve"> 2025</w:t>
      </w:r>
      <w:r w:rsidRPr="00672DC8">
        <w:rPr>
          <w:rFonts w:ascii="Times New Roman" w:hAnsi="Times New Roman" w:cs="Times New Roman"/>
          <w:color w:val="000000"/>
          <w:sz w:val="21"/>
          <w:szCs w:val="21"/>
        </w:rPr>
        <w:t>年第三次临时股东会决议，公司审议通过了本次交易方案（草案）并予以披露。</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30</w:t>
      </w:r>
      <w:r w:rsidRPr="00672DC8">
        <w:rPr>
          <w:rFonts w:ascii="Times New Roman" w:hAnsi="Times New Roman" w:cs="Times New Roman"/>
          <w:color w:val="000000"/>
          <w:sz w:val="21"/>
          <w:szCs w:val="21"/>
        </w:rPr>
        <w:t>日，公司召开第四届董事会第五次会议，审议通过了《关于〈广东天亿马信息产业股份有限公司发行股份及支付现金购买资产并募集配套资金报告书（草案）（二次修订稿）〉及其摘要的议案》等与本次</w:t>
      </w:r>
      <w:r w:rsidRPr="00672DC8">
        <w:rPr>
          <w:rFonts w:ascii="Times New Roman" w:hAnsi="Times New Roman" w:cs="Times New Roman"/>
          <w:sz w:val="21"/>
          <w:szCs w:val="21"/>
        </w:rPr>
        <w:t>交易相关的议案，鉴于本次交易审计基准日更新为</w:t>
      </w:r>
      <w:r w:rsidRPr="00672DC8">
        <w:rPr>
          <w:rFonts w:ascii="Times New Roman" w:hAnsi="Times New Roman" w:cs="Times New Roman"/>
          <w:sz w:val="21"/>
          <w:szCs w:val="21"/>
        </w:rPr>
        <w:t>2025</w:t>
      </w:r>
      <w:r w:rsidRPr="00672DC8">
        <w:rPr>
          <w:rFonts w:ascii="Times New Roman" w:hAnsi="Times New Roman" w:cs="Times New Roman"/>
          <w:sz w:val="21"/>
          <w:szCs w:val="21"/>
        </w:rPr>
        <w:t>年</w:t>
      </w:r>
      <w:r w:rsidRPr="00672DC8">
        <w:rPr>
          <w:rFonts w:ascii="Times New Roman" w:hAnsi="Times New Roman" w:cs="Times New Roman"/>
          <w:sz w:val="21"/>
          <w:szCs w:val="21"/>
        </w:rPr>
        <w:t>12</w:t>
      </w:r>
      <w:r w:rsidRPr="00672DC8">
        <w:rPr>
          <w:rFonts w:ascii="Times New Roman" w:hAnsi="Times New Roman" w:cs="Times New Roman"/>
          <w:sz w:val="21"/>
          <w:szCs w:val="21"/>
        </w:rPr>
        <w:t>月</w:t>
      </w:r>
      <w:r w:rsidRPr="00672DC8">
        <w:rPr>
          <w:rFonts w:ascii="Times New Roman" w:hAnsi="Times New Roman" w:cs="Times New Roman"/>
          <w:sz w:val="21"/>
          <w:szCs w:val="21"/>
        </w:rPr>
        <w:t>31</w:t>
      </w:r>
      <w:r w:rsidRPr="00672DC8">
        <w:rPr>
          <w:rFonts w:ascii="Times New Roman" w:hAnsi="Times New Roman" w:cs="Times New Roman"/>
          <w:sz w:val="21"/>
          <w:szCs w:val="21"/>
        </w:rPr>
        <w:t>日，公司对重组报告书进行了相应修订与更新。</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30</w:t>
      </w:r>
      <w:r w:rsidRPr="00672DC8">
        <w:rPr>
          <w:rFonts w:ascii="Times New Roman" w:hAnsi="Times New Roman" w:cs="Times New Roman"/>
          <w:color w:val="000000"/>
          <w:sz w:val="21"/>
          <w:szCs w:val="21"/>
        </w:rPr>
        <w:t>日，公司召开第四届董事会审计委员会第八次会议、第四届董事会第三次独立董事专门会议和第四届董事会第九次会议，审议通过了《关于〈广东天亿马信息产业股份有限公司发行股份及支付现金购买资产并募集配套资金报告书（草案）（三次修订稿）〉及其摘要的议案》等与本次交易相关的议案。报告期内公司实施完成</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年年度权益分派，根据本次交易方案，公司对本次发行股份及支付现金购买资产的股份发行价格进行除权除息，发行价格及发行数量相应调整。同时，鉴于金证（上海）资产评估有限公司出具的以</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30</w:t>
      </w:r>
      <w:r w:rsidRPr="00672DC8">
        <w:rPr>
          <w:rFonts w:ascii="Times New Roman" w:hAnsi="Times New Roman" w:cs="Times New Roman"/>
          <w:color w:val="000000"/>
          <w:sz w:val="21"/>
          <w:szCs w:val="21"/>
        </w:rPr>
        <w:t>日为评估基准日的资产评估报告即将超过一年有效期，为保持深圳证券交易所审查期间评估资料的有效性，维护上市公司及全体股东的利益，公司委托金证评估以</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12</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31</w:t>
      </w:r>
      <w:r w:rsidRPr="00672DC8">
        <w:rPr>
          <w:rFonts w:ascii="Times New Roman" w:hAnsi="Times New Roman" w:cs="Times New Roman"/>
          <w:color w:val="000000"/>
          <w:sz w:val="21"/>
          <w:szCs w:val="21"/>
        </w:rPr>
        <w:t>日为基准日，对星云开物进行了加期评估。</w:t>
      </w:r>
    </w:p>
    <w:p w:rsidR="000C0769" w:rsidRPr="00672DC8" w:rsidRDefault="000C0769" w:rsidP="00201DE8">
      <w:pPr>
        <w:pStyle w:val="a3"/>
        <w:spacing w:beforeLines="50" w:before="156" w:beforeAutospacing="0" w:afterLines="50" w:after="156" w:afterAutospacing="0" w:line="288" w:lineRule="auto"/>
        <w:ind w:firstLine="420"/>
        <w:jc w:val="both"/>
        <w:divId w:val="1644969120"/>
        <w:rPr>
          <w:rFonts w:ascii="Times New Roman" w:hAnsi="Times New Roman" w:cs="Times New Roman"/>
        </w:rPr>
      </w:pPr>
      <w:r w:rsidRPr="00672DC8">
        <w:rPr>
          <w:rFonts w:ascii="Times New Roman" w:hAnsi="Times New Roman" w:cs="Times New Roman"/>
          <w:color w:val="000000"/>
          <w:sz w:val="21"/>
          <w:szCs w:val="21"/>
        </w:rPr>
        <w:t>本次交易尚需深圳证券交易所审核通过以及中国证券监督管理委员会同意注册后方可实施。本次交易能否取得相关部门的审核或注册，以及最终取得审核或注册的时间均存在不确定性。截至本报告出具之日，该项目尚在推进中，敬请广大投资者注意风险。</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97" w:name="_Toc988971"/>
      <w:r w:rsidRPr="00672DC8">
        <w:rPr>
          <w:rFonts w:ascii="Times New Roman" w:eastAsia="宋体" w:hAnsi="Times New Roman" w:cs="Times New Roman"/>
          <w:b/>
          <w:bCs/>
          <w:sz w:val="24"/>
          <w:szCs w:val="24"/>
        </w:rPr>
        <w:t>十四、公司子公司重大事项</w:t>
      </w:r>
      <w:bookmarkEnd w:id="97"/>
    </w:p>
    <w:p w:rsidR="003D2BA8" w:rsidRPr="00672DC8" w:rsidRDefault="000C0769" w:rsidP="001723AB">
      <w:pPr>
        <w:spacing w:before="40" w:after="40" w:line="240" w:lineRule="exact"/>
        <w:rPr>
          <w:rFonts w:ascii="Times New Roman" w:hAnsi="Times New Roman" w:cs="Times New Roman"/>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98" w:name="_Toc238760460"/>
      <w:r w:rsidRPr="00672DC8">
        <w:rPr>
          <w:rFonts w:ascii="Times New Roman" w:eastAsia="宋体" w:hAnsi="Times New Roman" w:cs="Times New Roman"/>
          <w:b/>
          <w:bCs/>
          <w:sz w:val="32"/>
          <w:szCs w:val="32"/>
        </w:rPr>
        <w:lastRenderedPageBreak/>
        <w:t>第六节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股份变动及股东情况</w:t>
      </w:r>
      <w:bookmarkEnd w:id="98"/>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99" w:name="_Toc988973"/>
      <w:r w:rsidRPr="00672DC8">
        <w:rPr>
          <w:rFonts w:ascii="Times New Roman" w:eastAsia="宋体" w:hAnsi="Times New Roman" w:cs="Times New Roman"/>
          <w:b/>
          <w:bCs/>
          <w:sz w:val="24"/>
          <w:szCs w:val="24"/>
        </w:rPr>
        <w:t>一、股份变动情况</w:t>
      </w:r>
      <w:bookmarkEnd w:id="99"/>
    </w:p>
    <w:p w:rsidR="003D2BA8" w:rsidRPr="00672DC8" w:rsidRDefault="000C0769">
      <w:pPr>
        <w:pStyle w:val="3"/>
        <w:spacing w:line="280" w:lineRule="exact"/>
        <w:jc w:val="left"/>
        <w:rPr>
          <w:rFonts w:ascii="Times New Roman" w:hAnsi="Times New Roman" w:cs="Times New Roman"/>
          <w:b/>
          <w:bCs/>
        </w:rPr>
      </w:pPr>
      <w:bookmarkStart w:id="100" w:name="_Toc988974"/>
      <w:r w:rsidRPr="00672DC8">
        <w:rPr>
          <w:rFonts w:ascii="Times New Roman" w:hAnsi="Times New Roman" w:cs="Times New Roman"/>
          <w:b/>
          <w:bCs/>
        </w:rPr>
        <w:t>1</w:t>
      </w:r>
      <w:r w:rsidRPr="00672DC8">
        <w:rPr>
          <w:rFonts w:ascii="Times New Roman" w:hAnsi="Times New Roman" w:cs="Times New Roman"/>
          <w:b/>
          <w:bCs/>
        </w:rPr>
        <w:t>、股份变动情况</w:t>
      </w:r>
      <w:bookmarkEnd w:id="10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单位：股</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756"/>
        <w:gridCol w:w="1251"/>
        <w:gridCol w:w="861"/>
        <w:gridCol w:w="651"/>
        <w:gridCol w:w="749"/>
        <w:gridCol w:w="1251"/>
        <w:gridCol w:w="749"/>
        <w:gridCol w:w="1251"/>
        <w:gridCol w:w="1251"/>
        <w:gridCol w:w="861"/>
      </w:tblGrid>
      <w:tr w:rsidR="003D2BA8" w:rsidRPr="00672DC8" w:rsidTr="006F5775">
        <w:trPr>
          <w:trHeight w:val="240"/>
          <w:tblHeader/>
        </w:trPr>
        <w:tc>
          <w:tcPr>
            <w:tcW w:w="500"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00"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本次变动前</w:t>
            </w:r>
          </w:p>
        </w:tc>
        <w:tc>
          <w:tcPr>
            <w:tcW w:w="2500" w:type="pct"/>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本次变动增减（＋，－）</w:t>
            </w:r>
          </w:p>
        </w:tc>
        <w:tc>
          <w:tcPr>
            <w:tcW w:w="1000"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本次变动后</w:t>
            </w:r>
          </w:p>
        </w:tc>
      </w:tr>
      <w:tr w:rsidR="003D2BA8" w:rsidRPr="00672DC8" w:rsidTr="006F5775">
        <w:trPr>
          <w:trHeight w:val="240"/>
          <w:tblHeader/>
        </w:trPr>
        <w:tc>
          <w:tcPr>
            <w:tcW w:w="500"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数量</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发行新股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送股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公积金转股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小计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数量</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一、有限售条件股份</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17,376,458.00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25.99%</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24,416,642.00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26.23%</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、国家持股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、国有法人持股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、其他内资持股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17,376,458.00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25.99%</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24,416,642.00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26.23%</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其中：境内法人持股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17,376,458.00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25.99%</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7,040,184.00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24,416,642.00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26.23%</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、外资持股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其中：境外法人持股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境外自然人持股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二、无限售条件股份</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49,476,342.00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74.01%</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19,211,280.00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19,211,280.00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68,687,622.00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73.77%</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、人民币普通股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49,476,342.00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74.01%</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19,211,280.00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19,211,280.00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68,687,622.00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73.77%</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、境内上市的外资股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3</w:t>
            </w:r>
            <w:r w:rsidRPr="00672DC8">
              <w:rPr>
                <w:rFonts w:ascii="Times New Roman" w:eastAsia="宋体" w:hAnsi="Times New Roman" w:cs="Times New Roman"/>
                <w:sz w:val="18"/>
                <w:szCs w:val="18"/>
              </w:rPr>
              <w:t>、境外上市的外资股</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6F5775">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三、股份总数</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股份变动的原因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0C0769" w:rsidRPr="00672DC8" w:rsidRDefault="000C0769" w:rsidP="006F5775">
      <w:pPr>
        <w:pStyle w:val="a3"/>
        <w:spacing w:before="0" w:beforeAutospacing="0" w:after="0" w:afterAutospacing="0" w:line="288" w:lineRule="auto"/>
        <w:ind w:firstLine="420"/>
        <w:jc w:val="both"/>
        <w:divId w:val="1632518578"/>
        <w:rPr>
          <w:rFonts w:ascii="Times New Roman" w:hAnsi="Times New Roman" w:cs="Times New Roman"/>
        </w:rPr>
      </w:pPr>
      <w:r w:rsidRPr="00672DC8">
        <w:rPr>
          <w:rFonts w:ascii="Times New Roman" w:hAnsi="Times New Roman" w:cs="Times New Roman"/>
          <w:color w:val="000000"/>
          <w:sz w:val="21"/>
          <w:szCs w:val="21"/>
        </w:rPr>
        <w:t>公司于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3</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30</w:t>
      </w:r>
      <w:r w:rsidRPr="00672DC8">
        <w:rPr>
          <w:rFonts w:ascii="Times New Roman" w:hAnsi="Times New Roman" w:cs="Times New Roman"/>
          <w:color w:val="000000"/>
          <w:sz w:val="21"/>
          <w:szCs w:val="21"/>
        </w:rPr>
        <w:t>日召开第四届董事会第五次会议，另于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21</w:t>
      </w:r>
      <w:r w:rsidRPr="00672DC8">
        <w:rPr>
          <w:rFonts w:ascii="Times New Roman" w:hAnsi="Times New Roman" w:cs="Times New Roman"/>
          <w:color w:val="000000"/>
          <w:sz w:val="21"/>
          <w:szCs w:val="21"/>
        </w:rPr>
        <w:t>日召开</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年年度股东会，审议通过了《关于</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年度利润分配预案的议案》，同意以</w:t>
      </w:r>
      <w:r w:rsidRPr="00672DC8">
        <w:rPr>
          <w:rFonts w:ascii="Times New Roman" w:hAnsi="Times New Roman" w:cs="Times New Roman"/>
          <w:color w:val="000000"/>
          <w:sz w:val="21"/>
          <w:szCs w:val="21"/>
        </w:rPr>
        <w:t>2025</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12</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31</w:t>
      </w:r>
      <w:r w:rsidRPr="00672DC8">
        <w:rPr>
          <w:rFonts w:ascii="Times New Roman" w:hAnsi="Times New Roman" w:cs="Times New Roman"/>
          <w:color w:val="000000"/>
          <w:sz w:val="21"/>
          <w:szCs w:val="21"/>
        </w:rPr>
        <w:t>日的总股本扣除回购账户所持有股份后的</w:t>
      </w:r>
      <w:r w:rsidRPr="00672DC8">
        <w:rPr>
          <w:rFonts w:ascii="Times New Roman" w:hAnsi="Times New Roman" w:cs="Times New Roman"/>
          <w:color w:val="000000"/>
          <w:sz w:val="21"/>
          <w:szCs w:val="21"/>
        </w:rPr>
        <w:t>65,628,660</w:t>
      </w:r>
      <w:r w:rsidRPr="00672DC8">
        <w:rPr>
          <w:rFonts w:ascii="Times New Roman" w:hAnsi="Times New Roman" w:cs="Times New Roman"/>
          <w:color w:val="000000"/>
          <w:sz w:val="21"/>
          <w:szCs w:val="21"/>
        </w:rPr>
        <w:t>股为基数，每</w:t>
      </w:r>
      <w:r w:rsidRPr="00672DC8">
        <w:rPr>
          <w:rFonts w:ascii="Times New Roman" w:hAnsi="Times New Roman" w:cs="Times New Roman"/>
          <w:color w:val="000000"/>
          <w:sz w:val="21"/>
          <w:szCs w:val="21"/>
        </w:rPr>
        <w:t>10</w:t>
      </w:r>
      <w:r w:rsidRPr="00672DC8">
        <w:rPr>
          <w:rFonts w:ascii="Times New Roman" w:hAnsi="Times New Roman" w:cs="Times New Roman"/>
          <w:color w:val="000000"/>
          <w:sz w:val="21"/>
          <w:szCs w:val="21"/>
        </w:rPr>
        <w:t>股派发现金</w:t>
      </w:r>
      <w:r w:rsidRPr="00672DC8">
        <w:rPr>
          <w:rFonts w:ascii="Times New Roman" w:hAnsi="Times New Roman" w:cs="Times New Roman"/>
          <w:color w:val="000000"/>
          <w:sz w:val="21"/>
          <w:szCs w:val="21"/>
        </w:rPr>
        <w:t>0.5</w:t>
      </w:r>
      <w:r w:rsidRPr="00672DC8">
        <w:rPr>
          <w:rFonts w:ascii="Times New Roman" w:hAnsi="Times New Roman" w:cs="Times New Roman"/>
          <w:color w:val="000000"/>
          <w:sz w:val="21"/>
          <w:szCs w:val="21"/>
        </w:rPr>
        <w:t>元，以资本公积金每</w:t>
      </w:r>
      <w:r w:rsidRPr="00672DC8">
        <w:rPr>
          <w:rFonts w:ascii="Times New Roman" w:hAnsi="Times New Roman" w:cs="Times New Roman"/>
          <w:color w:val="000000"/>
          <w:sz w:val="21"/>
          <w:szCs w:val="21"/>
        </w:rPr>
        <w:t>10</w:t>
      </w:r>
      <w:r w:rsidRPr="00672DC8">
        <w:rPr>
          <w:rFonts w:ascii="Times New Roman" w:hAnsi="Times New Roman" w:cs="Times New Roman"/>
          <w:color w:val="000000"/>
          <w:sz w:val="21"/>
          <w:szCs w:val="21"/>
        </w:rPr>
        <w:t>股转增</w:t>
      </w:r>
      <w:r w:rsidRPr="00672DC8">
        <w:rPr>
          <w:rFonts w:ascii="Times New Roman" w:hAnsi="Times New Roman" w:cs="Times New Roman"/>
          <w:color w:val="000000"/>
          <w:sz w:val="21"/>
          <w:szCs w:val="21"/>
        </w:rPr>
        <w:t>4</w:t>
      </w:r>
      <w:r w:rsidRPr="00672DC8">
        <w:rPr>
          <w:rFonts w:ascii="Times New Roman" w:hAnsi="Times New Roman" w:cs="Times New Roman"/>
          <w:color w:val="000000"/>
          <w:sz w:val="21"/>
          <w:szCs w:val="21"/>
        </w:rPr>
        <w:t>股，不送红股。本次预计现金分红总额</w:t>
      </w:r>
      <w:r w:rsidRPr="00672DC8">
        <w:rPr>
          <w:rFonts w:ascii="Times New Roman" w:hAnsi="Times New Roman" w:cs="Times New Roman"/>
          <w:color w:val="000000"/>
          <w:sz w:val="21"/>
          <w:szCs w:val="21"/>
        </w:rPr>
        <w:t>3,281,433.00</w:t>
      </w:r>
      <w:r w:rsidRPr="00672DC8">
        <w:rPr>
          <w:rFonts w:ascii="Times New Roman" w:hAnsi="Times New Roman" w:cs="Times New Roman"/>
          <w:color w:val="000000"/>
          <w:sz w:val="21"/>
          <w:szCs w:val="21"/>
        </w:rPr>
        <w:t>元（含税）；资本公积金转增后，公司总股本将由</w:t>
      </w:r>
      <w:r w:rsidRPr="00672DC8">
        <w:rPr>
          <w:rFonts w:ascii="Times New Roman" w:hAnsi="Times New Roman" w:cs="Times New Roman"/>
          <w:color w:val="000000"/>
          <w:sz w:val="21"/>
          <w:szCs w:val="21"/>
        </w:rPr>
        <w:t>66,852,800</w:t>
      </w:r>
      <w:r w:rsidRPr="00672DC8">
        <w:rPr>
          <w:rFonts w:ascii="Times New Roman" w:hAnsi="Times New Roman" w:cs="Times New Roman"/>
          <w:color w:val="000000"/>
          <w:sz w:val="21"/>
          <w:szCs w:val="21"/>
        </w:rPr>
        <w:t>股增加至</w:t>
      </w:r>
      <w:r w:rsidRPr="00672DC8">
        <w:rPr>
          <w:rFonts w:ascii="Times New Roman" w:hAnsi="Times New Roman" w:cs="Times New Roman"/>
          <w:color w:val="000000"/>
          <w:sz w:val="21"/>
          <w:szCs w:val="21"/>
        </w:rPr>
        <w:t xml:space="preserve"> 93,104,264</w:t>
      </w:r>
      <w:r w:rsidRPr="00672DC8">
        <w:rPr>
          <w:rFonts w:ascii="Times New Roman" w:hAnsi="Times New Roman" w:cs="Times New Roman"/>
          <w:color w:val="000000"/>
          <w:sz w:val="21"/>
          <w:szCs w:val="21"/>
        </w:rPr>
        <w:t>股。若在利润分配方案公告后至实施前，公司出现股权激励行权、股份回购等股本总额发生变动情形时，将按照</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现金分红总额、资本公积金转增股本总额固定不变</w:t>
      </w:r>
      <w:r w:rsidRPr="00672DC8">
        <w:rPr>
          <w:rFonts w:ascii="Times New Roman" w:hAnsi="Times New Roman" w:cs="Times New Roman"/>
          <w:color w:val="000000"/>
          <w:sz w:val="21"/>
          <w:szCs w:val="21"/>
        </w:rPr>
        <w:t>”</w:t>
      </w:r>
      <w:r w:rsidRPr="00672DC8">
        <w:rPr>
          <w:rFonts w:ascii="Times New Roman" w:hAnsi="Times New Roman" w:cs="Times New Roman"/>
          <w:color w:val="000000"/>
          <w:sz w:val="21"/>
          <w:szCs w:val="21"/>
        </w:rPr>
        <w:t>的原则对分配比例进行调整。</w:t>
      </w:r>
    </w:p>
    <w:p w:rsidR="000C0769" w:rsidRPr="00672DC8" w:rsidRDefault="000C0769" w:rsidP="006F5775">
      <w:pPr>
        <w:pStyle w:val="a3"/>
        <w:spacing w:before="0" w:beforeAutospacing="0" w:after="0" w:afterAutospacing="0" w:line="288" w:lineRule="auto"/>
        <w:ind w:firstLine="420"/>
        <w:jc w:val="both"/>
        <w:divId w:val="1632518578"/>
        <w:rPr>
          <w:rFonts w:ascii="Times New Roman" w:hAnsi="Times New Roman" w:cs="Times New Roman"/>
        </w:rPr>
      </w:pPr>
      <w:r w:rsidRPr="00672DC8">
        <w:rPr>
          <w:rFonts w:ascii="Times New Roman" w:hAnsi="Times New Roman" w:cs="Times New Roman"/>
          <w:color w:val="000000"/>
          <w:sz w:val="21"/>
          <w:szCs w:val="21"/>
        </w:rPr>
        <w:t>本次利润分配已于</w:t>
      </w:r>
      <w:r w:rsidRPr="00672DC8">
        <w:rPr>
          <w:rFonts w:ascii="Times New Roman" w:hAnsi="Times New Roman" w:cs="Times New Roman"/>
          <w:color w:val="000000"/>
          <w:sz w:val="21"/>
          <w:szCs w:val="21"/>
        </w:rPr>
        <w:t>2026</w:t>
      </w:r>
      <w:r w:rsidRPr="00672DC8">
        <w:rPr>
          <w:rFonts w:ascii="Times New Roman" w:hAnsi="Times New Roman" w:cs="Times New Roman"/>
          <w:color w:val="000000"/>
          <w:sz w:val="21"/>
          <w:szCs w:val="21"/>
        </w:rPr>
        <w:t>年</w:t>
      </w:r>
      <w:r w:rsidRPr="00672DC8">
        <w:rPr>
          <w:rFonts w:ascii="Times New Roman" w:hAnsi="Times New Roman" w:cs="Times New Roman"/>
          <w:color w:val="000000"/>
          <w:sz w:val="21"/>
          <w:szCs w:val="21"/>
        </w:rPr>
        <w:t>6</w:t>
      </w:r>
      <w:r w:rsidRPr="00672DC8">
        <w:rPr>
          <w:rFonts w:ascii="Times New Roman" w:hAnsi="Times New Roman" w:cs="Times New Roman"/>
          <w:color w:val="000000"/>
          <w:sz w:val="21"/>
          <w:szCs w:val="21"/>
        </w:rPr>
        <w:t>月</w:t>
      </w:r>
      <w:r w:rsidRPr="00672DC8">
        <w:rPr>
          <w:rFonts w:ascii="Times New Roman" w:hAnsi="Times New Roman" w:cs="Times New Roman"/>
          <w:color w:val="000000"/>
          <w:sz w:val="21"/>
          <w:szCs w:val="21"/>
        </w:rPr>
        <w:t>15</w:t>
      </w:r>
      <w:r w:rsidRPr="00672DC8">
        <w:rPr>
          <w:rFonts w:ascii="Times New Roman" w:hAnsi="Times New Roman" w:cs="Times New Roman"/>
          <w:color w:val="000000"/>
          <w:sz w:val="21"/>
          <w:szCs w:val="21"/>
        </w:rPr>
        <w:t>日实施完成。利润分配实施后，公司总股本由</w:t>
      </w:r>
      <w:r w:rsidRPr="00672DC8">
        <w:rPr>
          <w:rFonts w:ascii="Times New Roman" w:hAnsi="Times New Roman" w:cs="Times New Roman"/>
          <w:color w:val="000000"/>
          <w:sz w:val="21"/>
          <w:szCs w:val="21"/>
        </w:rPr>
        <w:t>66,852,800</w:t>
      </w:r>
      <w:r w:rsidRPr="00672DC8">
        <w:rPr>
          <w:rFonts w:ascii="Times New Roman" w:hAnsi="Times New Roman" w:cs="Times New Roman"/>
          <w:color w:val="000000"/>
          <w:sz w:val="21"/>
          <w:szCs w:val="21"/>
        </w:rPr>
        <w:t>股增加至</w:t>
      </w:r>
      <w:r w:rsidRPr="00672DC8">
        <w:rPr>
          <w:rFonts w:ascii="Times New Roman" w:hAnsi="Times New Roman" w:cs="Times New Roman"/>
          <w:color w:val="000000"/>
          <w:sz w:val="21"/>
          <w:szCs w:val="21"/>
        </w:rPr>
        <w:t>93,104,264</w:t>
      </w:r>
      <w:r w:rsidRPr="00672DC8">
        <w:rPr>
          <w:rFonts w:ascii="Times New Roman" w:hAnsi="Times New Roman" w:cs="Times New Roman"/>
          <w:color w:val="000000"/>
          <w:sz w:val="21"/>
          <w:szCs w:val="21"/>
        </w:rPr>
        <w:t>股。</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股份变动的批准情况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股份变动的过户情况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股份回购的实施进展情况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采用集中竞价方式减持回购股份的实施进展情况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股份变动对最近一年和最近一期基本每股收益和稀释每股收益、归属于公司普通股股东的每股净资产等财务指标的影响</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0C0769" w:rsidRPr="00672DC8" w:rsidRDefault="000C0769">
      <w:pPr>
        <w:pStyle w:val="a3"/>
        <w:divId w:val="1658537144"/>
        <w:rPr>
          <w:rFonts w:ascii="Times New Roman" w:hAnsi="Times New Roman" w:cs="Times New Roman"/>
          <w:sz w:val="18"/>
          <w:szCs w:val="18"/>
        </w:rPr>
      </w:pPr>
      <w:r w:rsidRPr="00672DC8">
        <w:rPr>
          <w:rFonts w:ascii="Times New Roman" w:hAnsi="Times New Roman" w:cs="Times New Roman"/>
          <w:sz w:val="21"/>
          <w:szCs w:val="21"/>
        </w:rPr>
        <w:t>报告期内，股份变动对最近一年和最近一期基本每股收益和稀释每股收益、归属于公司普通股股东的每股净资产等财务指标参见</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第二节</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公司简介和主要财务指标</w:t>
      </w:r>
      <w:r w:rsidRPr="00672DC8">
        <w:rPr>
          <w:rFonts w:ascii="Times New Roman" w:hAnsi="Times New Roman" w:cs="Times New Roman"/>
          <w:sz w:val="21"/>
          <w:szCs w:val="21"/>
        </w:rPr>
        <w:t>”</w:t>
      </w:r>
      <w:r w:rsidRPr="00672DC8">
        <w:rPr>
          <w:rFonts w:ascii="Times New Roman" w:hAnsi="Times New Roman" w:cs="Times New Roman"/>
          <w:sz w:val="21"/>
          <w:szCs w:val="21"/>
        </w:rPr>
        <w:t>之</w:t>
      </w:r>
      <w:r w:rsidRPr="00672DC8">
        <w:rPr>
          <w:rFonts w:ascii="Times New Roman" w:hAnsi="Times New Roman" w:cs="Times New Roman"/>
          <w:sz w:val="21"/>
          <w:szCs w:val="21"/>
        </w:rPr>
        <w:t>“</w:t>
      </w:r>
      <w:r w:rsidRPr="00672DC8">
        <w:rPr>
          <w:rFonts w:ascii="Times New Roman" w:hAnsi="Times New Roman" w:cs="Times New Roman"/>
          <w:sz w:val="21"/>
          <w:szCs w:val="21"/>
        </w:rPr>
        <w:t>四、主要会计数据和财务指标</w:t>
      </w:r>
      <w:r w:rsidRPr="00672DC8">
        <w:rPr>
          <w:rFonts w:ascii="Times New Roman" w:hAnsi="Times New Roman" w:cs="Times New Roman"/>
          <w:sz w:val="21"/>
          <w:szCs w:val="21"/>
        </w:rPr>
        <w:t>”</w:t>
      </w:r>
      <w:r w:rsidRPr="00672DC8">
        <w:rPr>
          <w:rFonts w:ascii="Times New Roman" w:hAnsi="Times New Roman" w:cs="Times New Roman"/>
          <w:sz w:val="21"/>
          <w:szCs w:val="21"/>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公司认为必要或证券监管机构要求披露的其他内容</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101" w:name="_Toc988975"/>
      <w:r w:rsidRPr="00672DC8">
        <w:rPr>
          <w:rFonts w:ascii="Times New Roman" w:hAnsi="Times New Roman" w:cs="Times New Roman"/>
          <w:b/>
          <w:bCs/>
        </w:rPr>
        <w:t>2</w:t>
      </w:r>
      <w:r w:rsidRPr="00672DC8">
        <w:rPr>
          <w:rFonts w:ascii="Times New Roman" w:hAnsi="Times New Roman" w:cs="Times New Roman"/>
          <w:b/>
          <w:bCs/>
        </w:rPr>
        <w:t>、限售股份变动情况</w:t>
      </w:r>
      <w:bookmarkEnd w:id="10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09"/>
        <w:gridCol w:w="1418"/>
        <w:gridCol w:w="992"/>
        <w:gridCol w:w="1417"/>
        <w:gridCol w:w="1418"/>
        <w:gridCol w:w="1984"/>
        <w:gridCol w:w="1701"/>
      </w:tblGrid>
      <w:tr w:rsidR="003D2BA8" w:rsidRPr="00672DC8" w:rsidTr="00723202">
        <w:trPr>
          <w:trHeight w:val="240"/>
        </w:trPr>
        <w:tc>
          <w:tcPr>
            <w:tcW w:w="7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股东名称</w:t>
            </w:r>
          </w:p>
        </w:tc>
        <w:tc>
          <w:tcPr>
            <w:tcW w:w="141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期初限售股数</w:t>
            </w: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本期解除限售股数</w:t>
            </w:r>
          </w:p>
        </w:tc>
        <w:tc>
          <w:tcPr>
            <w:tcW w:w="141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本期增加限售股数</w:t>
            </w:r>
          </w:p>
        </w:tc>
        <w:tc>
          <w:tcPr>
            <w:tcW w:w="141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期末限售股数</w:t>
            </w:r>
          </w:p>
        </w:tc>
        <w:tc>
          <w:tcPr>
            <w:tcW w:w="198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限售原因</w:t>
            </w:r>
          </w:p>
        </w:tc>
        <w:tc>
          <w:tcPr>
            <w:tcW w:w="170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拟解除限售日期</w:t>
            </w:r>
          </w:p>
        </w:tc>
      </w:tr>
      <w:tr w:rsidR="003D2BA8" w:rsidRPr="00672DC8" w:rsidTr="00723202">
        <w:trPr>
          <w:trHeight w:val="240"/>
        </w:trPr>
        <w:tc>
          <w:tcPr>
            <w:tcW w:w="70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14,399,868.00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141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5,759,948.00</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20,159,816.00</w:t>
            </w:r>
          </w:p>
        </w:tc>
        <w:tc>
          <w:tcPr>
            <w:tcW w:w="1984"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高管锁定股：</w:t>
            </w:r>
            <w:r w:rsidRPr="00672DC8">
              <w:rPr>
                <w:rFonts w:ascii="Times New Roman" w:eastAsia="宋体" w:hAnsi="Times New Roman" w:cs="Times New Roman"/>
                <w:sz w:val="18"/>
                <w:szCs w:val="18"/>
              </w:rPr>
              <w:t>19,532,616</w:t>
            </w:r>
            <w:r w:rsidRPr="00672DC8">
              <w:rPr>
                <w:rFonts w:ascii="Times New Roman" w:eastAsia="宋体" w:hAnsi="Times New Roman" w:cs="Times New Roman"/>
                <w:sz w:val="18"/>
                <w:szCs w:val="18"/>
              </w:rPr>
              <w:t>股</w:t>
            </w:r>
            <w:r w:rsidR="00723202" w:rsidRPr="00672DC8">
              <w:rPr>
                <w:rFonts w:ascii="Times New Roman" w:eastAsia="宋体" w:hAnsi="Times New Roman" w:cs="Times New Roman"/>
                <w:sz w:val="18"/>
                <w:szCs w:val="18"/>
              </w:rPr>
              <w:t>；</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股权激励限售股</w:t>
            </w:r>
            <w:r w:rsidRPr="00672DC8">
              <w:rPr>
                <w:rFonts w:ascii="Times New Roman" w:eastAsia="宋体" w:hAnsi="Times New Roman" w:cs="Times New Roman"/>
                <w:sz w:val="18"/>
                <w:szCs w:val="18"/>
              </w:rPr>
              <w:t>:</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627</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200</w:t>
            </w:r>
            <w:r w:rsidRPr="00672DC8">
              <w:rPr>
                <w:rFonts w:ascii="Times New Roman" w:eastAsia="宋体" w:hAnsi="Times New Roman" w:cs="Times New Roman"/>
                <w:sz w:val="18"/>
                <w:szCs w:val="18"/>
              </w:rPr>
              <w:t>股；</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日，公司实施了</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年度权益分派，每</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股派现金红利</w:t>
            </w:r>
            <w:r w:rsidRPr="00672DC8">
              <w:rPr>
                <w:rFonts w:ascii="Times New Roman" w:eastAsia="宋体" w:hAnsi="Times New Roman" w:cs="Times New Roman"/>
                <w:sz w:val="18"/>
                <w:szCs w:val="18"/>
              </w:rPr>
              <w:t>0.5</w:t>
            </w:r>
            <w:r w:rsidRPr="00672DC8">
              <w:rPr>
                <w:rFonts w:ascii="Times New Roman" w:eastAsia="宋体" w:hAnsi="Times New Roman" w:cs="Times New Roman"/>
                <w:sz w:val="18"/>
                <w:szCs w:val="18"/>
              </w:rPr>
              <w:t>元，每</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股转增股份</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股。本期限售股数相应增加。</w:t>
            </w: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高管锁定股：公司董事、高级管理人员在任期间，每年按上年末持有股份数的</w:t>
            </w:r>
            <w:r w:rsidRPr="00672DC8">
              <w:rPr>
                <w:rFonts w:ascii="Times New Roman" w:eastAsia="宋体" w:hAnsi="Times New Roman" w:cs="Times New Roman"/>
                <w:sz w:val="18"/>
                <w:szCs w:val="18"/>
              </w:rPr>
              <w:t>75%</w:t>
            </w:r>
            <w:r w:rsidRPr="00672DC8">
              <w:rPr>
                <w:rFonts w:ascii="Times New Roman" w:eastAsia="宋体" w:hAnsi="Times New Roman" w:cs="Times New Roman"/>
                <w:sz w:val="18"/>
                <w:szCs w:val="18"/>
              </w:rPr>
              <w:t>锁定；</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股权激励限售股</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如解锁条件达成，预计将于</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年解锁</w:t>
            </w:r>
            <w:r w:rsidRPr="00672DC8">
              <w:rPr>
                <w:rFonts w:ascii="Times New Roman" w:eastAsia="宋体" w:hAnsi="Times New Roman" w:cs="Times New Roman"/>
                <w:sz w:val="18"/>
                <w:szCs w:val="18"/>
              </w:rPr>
              <w:t>268,800</w:t>
            </w:r>
            <w:r w:rsidRPr="00672DC8">
              <w:rPr>
                <w:rFonts w:ascii="Times New Roman" w:eastAsia="宋体" w:hAnsi="Times New Roman" w:cs="Times New Roman"/>
                <w:sz w:val="18"/>
                <w:szCs w:val="18"/>
              </w:rPr>
              <w:t>股，于</w:t>
            </w:r>
            <w:r w:rsidRPr="00672DC8">
              <w:rPr>
                <w:rFonts w:ascii="Times New Roman" w:eastAsia="宋体" w:hAnsi="Times New Roman" w:cs="Times New Roman"/>
                <w:sz w:val="18"/>
                <w:szCs w:val="18"/>
              </w:rPr>
              <w:t>2027</w:t>
            </w:r>
            <w:r w:rsidRPr="00672DC8">
              <w:rPr>
                <w:rFonts w:ascii="Times New Roman" w:eastAsia="宋体" w:hAnsi="Times New Roman" w:cs="Times New Roman"/>
                <w:sz w:val="18"/>
                <w:szCs w:val="18"/>
              </w:rPr>
              <w:t>年解锁</w:t>
            </w:r>
            <w:r w:rsidRPr="00672DC8">
              <w:rPr>
                <w:rFonts w:ascii="Times New Roman" w:eastAsia="宋体" w:hAnsi="Times New Roman" w:cs="Times New Roman"/>
                <w:sz w:val="18"/>
                <w:szCs w:val="18"/>
              </w:rPr>
              <w:t>358,400</w:t>
            </w:r>
            <w:r w:rsidRPr="00672DC8">
              <w:rPr>
                <w:rFonts w:ascii="Times New Roman" w:eastAsia="宋体" w:hAnsi="Times New Roman" w:cs="Times New Roman"/>
                <w:sz w:val="18"/>
                <w:szCs w:val="18"/>
              </w:rPr>
              <w:t>股。</w:t>
            </w:r>
          </w:p>
        </w:tc>
      </w:tr>
      <w:tr w:rsidR="003D2BA8" w:rsidRPr="00672DC8" w:rsidTr="00723202">
        <w:trPr>
          <w:trHeight w:val="240"/>
        </w:trPr>
        <w:tc>
          <w:tcPr>
            <w:tcW w:w="70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3,040,590.00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141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1,216,236.00</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4,256,826.00</w:t>
            </w:r>
          </w:p>
        </w:tc>
        <w:tc>
          <w:tcPr>
            <w:tcW w:w="1984"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高管锁定股：</w:t>
            </w:r>
            <w:r w:rsidRPr="00672DC8">
              <w:rPr>
                <w:rFonts w:ascii="Times New Roman" w:eastAsia="宋体" w:hAnsi="Times New Roman" w:cs="Times New Roman"/>
                <w:sz w:val="18"/>
                <w:szCs w:val="18"/>
              </w:rPr>
              <w:t>3,629,626</w:t>
            </w:r>
            <w:r w:rsidRPr="00672DC8">
              <w:rPr>
                <w:rFonts w:ascii="Times New Roman" w:eastAsia="宋体" w:hAnsi="Times New Roman" w:cs="Times New Roman"/>
                <w:sz w:val="18"/>
                <w:szCs w:val="18"/>
              </w:rPr>
              <w:t>股</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股权激励限售股</w:t>
            </w:r>
            <w:r w:rsidRPr="00672DC8">
              <w:rPr>
                <w:rFonts w:ascii="Times New Roman" w:eastAsia="宋体" w:hAnsi="Times New Roman" w:cs="Times New Roman"/>
                <w:sz w:val="18"/>
                <w:szCs w:val="18"/>
              </w:rPr>
              <w:t>627,200</w:t>
            </w:r>
            <w:r w:rsidRPr="00672DC8">
              <w:rPr>
                <w:rFonts w:ascii="Times New Roman" w:eastAsia="宋体" w:hAnsi="Times New Roman" w:cs="Times New Roman"/>
                <w:sz w:val="18"/>
                <w:szCs w:val="18"/>
              </w:rPr>
              <w:t>股</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③</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日，公司实施了</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年度权益分派，每</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股派现金红利</w:t>
            </w:r>
            <w:r w:rsidRPr="00672DC8">
              <w:rPr>
                <w:rFonts w:ascii="Times New Roman" w:eastAsia="宋体" w:hAnsi="Times New Roman" w:cs="Times New Roman"/>
                <w:sz w:val="18"/>
                <w:szCs w:val="18"/>
              </w:rPr>
              <w:t>0.5</w:t>
            </w:r>
            <w:r w:rsidRPr="00672DC8">
              <w:rPr>
                <w:rFonts w:ascii="Times New Roman" w:eastAsia="宋体" w:hAnsi="Times New Roman" w:cs="Times New Roman"/>
                <w:sz w:val="18"/>
                <w:szCs w:val="18"/>
              </w:rPr>
              <w:t>元，每</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股转增股份</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股。本期限售股数相应增加。</w:t>
            </w: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高管锁定股：公司董事、高级管理人员在任期间，每年按上年末持有股份数的</w:t>
            </w:r>
            <w:r w:rsidRPr="00672DC8">
              <w:rPr>
                <w:rFonts w:ascii="Times New Roman" w:eastAsia="宋体" w:hAnsi="Times New Roman" w:cs="Times New Roman"/>
                <w:sz w:val="18"/>
                <w:szCs w:val="18"/>
              </w:rPr>
              <w:t>75%</w:t>
            </w:r>
            <w:r w:rsidRPr="00672DC8">
              <w:rPr>
                <w:rFonts w:ascii="Times New Roman" w:eastAsia="宋体" w:hAnsi="Times New Roman" w:cs="Times New Roman"/>
                <w:sz w:val="18"/>
                <w:szCs w:val="18"/>
              </w:rPr>
              <w:t>锁定；</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股权激励限售股</w:t>
            </w:r>
          </w:p>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如解锁条件达成，预计将于</w:t>
            </w: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年解锁</w:t>
            </w:r>
            <w:r w:rsidRPr="00672DC8">
              <w:rPr>
                <w:rFonts w:ascii="Times New Roman" w:eastAsia="宋体" w:hAnsi="Times New Roman" w:cs="Times New Roman"/>
                <w:sz w:val="18"/>
                <w:szCs w:val="18"/>
              </w:rPr>
              <w:t>268,800</w:t>
            </w:r>
            <w:r w:rsidRPr="00672DC8">
              <w:rPr>
                <w:rFonts w:ascii="Times New Roman" w:eastAsia="宋体" w:hAnsi="Times New Roman" w:cs="Times New Roman"/>
                <w:sz w:val="18"/>
                <w:szCs w:val="18"/>
              </w:rPr>
              <w:t>股，于</w:t>
            </w:r>
            <w:r w:rsidRPr="00672DC8">
              <w:rPr>
                <w:rFonts w:ascii="Times New Roman" w:eastAsia="宋体" w:hAnsi="Times New Roman" w:cs="Times New Roman"/>
                <w:sz w:val="18"/>
                <w:szCs w:val="18"/>
              </w:rPr>
              <w:t>2027</w:t>
            </w:r>
            <w:r w:rsidRPr="00672DC8">
              <w:rPr>
                <w:rFonts w:ascii="Times New Roman" w:eastAsia="宋体" w:hAnsi="Times New Roman" w:cs="Times New Roman"/>
                <w:sz w:val="18"/>
                <w:szCs w:val="18"/>
              </w:rPr>
              <w:t>年解锁</w:t>
            </w:r>
            <w:r w:rsidRPr="00672DC8">
              <w:rPr>
                <w:rFonts w:ascii="Times New Roman" w:eastAsia="宋体" w:hAnsi="Times New Roman" w:cs="Times New Roman"/>
                <w:sz w:val="18"/>
                <w:szCs w:val="18"/>
              </w:rPr>
              <w:t>358,400</w:t>
            </w:r>
            <w:r w:rsidRPr="00672DC8">
              <w:rPr>
                <w:rFonts w:ascii="Times New Roman" w:eastAsia="宋体" w:hAnsi="Times New Roman" w:cs="Times New Roman"/>
                <w:sz w:val="18"/>
                <w:szCs w:val="18"/>
              </w:rPr>
              <w:t>股。</w:t>
            </w:r>
          </w:p>
        </w:tc>
      </w:tr>
      <w:tr w:rsidR="003D2BA8" w:rsidRPr="00672DC8" w:rsidTr="00723202">
        <w:trPr>
          <w:trHeight w:val="240"/>
        </w:trPr>
        <w:tc>
          <w:tcPr>
            <w:tcW w:w="7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17,440,458.00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141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6,976,184.00</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723202">
            <w:pPr>
              <w:spacing w:line="288" w:lineRule="auto"/>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24,416,642.00</w:t>
            </w:r>
          </w:p>
        </w:tc>
        <w:tc>
          <w:tcPr>
            <w:tcW w:w="198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70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723202">
            <w:pPr>
              <w:spacing w:line="288" w:lineRule="auto"/>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2" w:name="_Toc988976"/>
      <w:r w:rsidRPr="00672DC8">
        <w:rPr>
          <w:rFonts w:ascii="Times New Roman" w:eastAsia="宋体" w:hAnsi="Times New Roman" w:cs="Times New Roman"/>
          <w:b/>
          <w:bCs/>
          <w:sz w:val="24"/>
          <w:szCs w:val="24"/>
        </w:rPr>
        <w:t>二、证券发行与上市情况</w:t>
      </w:r>
      <w:bookmarkEnd w:id="10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3" w:name="_Toc988977"/>
      <w:r w:rsidRPr="00672DC8">
        <w:rPr>
          <w:rFonts w:ascii="Times New Roman" w:eastAsia="宋体" w:hAnsi="Times New Roman" w:cs="Times New Roman"/>
          <w:b/>
          <w:bCs/>
          <w:sz w:val="24"/>
          <w:szCs w:val="24"/>
        </w:rPr>
        <w:t>三、公司股东数量及持股情况</w:t>
      </w:r>
      <w:bookmarkEnd w:id="103"/>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685"/>
        <w:gridCol w:w="850"/>
        <w:gridCol w:w="1418"/>
        <w:gridCol w:w="1275"/>
        <w:gridCol w:w="1276"/>
        <w:gridCol w:w="1276"/>
        <w:gridCol w:w="992"/>
        <w:gridCol w:w="992"/>
      </w:tblGrid>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报告期末普通股股东总数</w:t>
            </w:r>
          </w:p>
        </w:tc>
        <w:tc>
          <w:tcPr>
            <w:tcW w:w="2268"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13,530</w:t>
            </w:r>
          </w:p>
        </w:tc>
        <w:tc>
          <w:tcPr>
            <w:tcW w:w="2551"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报告期末表决权恢复的优先股股东总数（如有）（参见注</w:t>
            </w:r>
            <w:r w:rsidRPr="00672DC8">
              <w:rPr>
                <w:rFonts w:ascii="Times New Roman" w:eastAsia="宋体" w:hAnsi="Times New Roman" w:cs="Times New Roman"/>
                <w:sz w:val="18"/>
                <w:szCs w:val="18"/>
              </w:rPr>
              <w:t>8</w:t>
            </w:r>
            <w:r w:rsidRPr="00672DC8">
              <w:rPr>
                <w:rFonts w:ascii="Times New Roman" w:eastAsia="宋体" w:hAnsi="Times New Roman" w:cs="Times New Roman"/>
                <w:sz w:val="18"/>
                <w:szCs w:val="18"/>
              </w:rPr>
              <w:t>）</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持有特别表决权股份的股东总数（如有）</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trPr>
          <w:trHeight w:val="240"/>
        </w:trPr>
        <w:tc>
          <w:tcPr>
            <w:tcW w:w="9639" w:type="dxa"/>
            <w:gridSpan w:val="9"/>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持股</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以上的股东或前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名股东持股情况（不含通过转融通出借股份）</w:t>
            </w:r>
          </w:p>
        </w:tc>
      </w:tr>
      <w:tr w:rsidR="003D2BA8" w:rsidRPr="00672DC8" w:rsidTr="003B7D80">
        <w:trPr>
          <w:trHeight w:val="240"/>
        </w:trPr>
        <w:tc>
          <w:tcPr>
            <w:tcW w:w="87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股东名称</w:t>
            </w:r>
          </w:p>
        </w:tc>
        <w:tc>
          <w:tcPr>
            <w:tcW w:w="68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股东性质</w:t>
            </w:r>
          </w:p>
        </w:tc>
        <w:tc>
          <w:tcPr>
            <w:tcW w:w="85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持股比例</w:t>
            </w:r>
          </w:p>
        </w:tc>
        <w:tc>
          <w:tcPr>
            <w:tcW w:w="141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报告期末持股数量</w:t>
            </w:r>
          </w:p>
        </w:tc>
        <w:tc>
          <w:tcPr>
            <w:tcW w:w="127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报告期内增减变动情况</w:t>
            </w:r>
          </w:p>
        </w:tc>
        <w:tc>
          <w:tcPr>
            <w:tcW w:w="12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持有有限售条件的股份数量</w:t>
            </w:r>
          </w:p>
        </w:tc>
        <w:tc>
          <w:tcPr>
            <w:tcW w:w="12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持有无限售条件的股份数量</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质押、标记或冻结情况</w:t>
            </w:r>
          </w:p>
        </w:tc>
      </w:tr>
      <w:tr w:rsidR="003D2BA8" w:rsidRPr="00672DC8" w:rsidTr="003B7D80">
        <w:trPr>
          <w:trHeight w:val="240"/>
        </w:trPr>
        <w:tc>
          <w:tcPr>
            <w:tcW w:w="875"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85"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5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41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75"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股份状态</w:t>
            </w: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数量</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bookmarkStart w:id="104" w:name="_Hlk239432540"/>
            <w:r w:rsidRPr="00672DC8">
              <w:rPr>
                <w:rFonts w:ascii="Times New Roman" w:eastAsia="宋体" w:hAnsi="Times New Roman" w:cs="Times New Roman"/>
                <w:sz w:val="18"/>
                <w:szCs w:val="18"/>
              </w:rPr>
              <w:t>林明玲</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28.87%</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26,879,754.00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7,679,930.00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20,159,816.00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6,719,938.00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质押</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7,469,000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6.10%</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5,675,768.00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1,621,648.00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4,256,826.00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1,418,942.00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质押</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2,590,000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南京优志投资</w:t>
            </w:r>
            <w:r w:rsidRPr="00672DC8">
              <w:rPr>
                <w:rFonts w:ascii="Times New Roman" w:eastAsia="宋体" w:hAnsi="Times New Roman" w:cs="Times New Roman"/>
                <w:sz w:val="18"/>
                <w:szCs w:val="18"/>
              </w:rPr>
              <w:lastRenderedPageBreak/>
              <w:t>管理合伙企业（有限合伙）</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其他</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2,823,800.00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806,800.00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2,823,800.00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宁琛</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1.23%</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1,143,520.00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1,143,520.00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1,143,520.00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徐静娴</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0.96%</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889,177.00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431,677.00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889,177.00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王松</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0.94%</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878,669.00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251,048.00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878,669.00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w:t>
            </w: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年员工持股计划</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0.71%</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661,360.00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188,960.00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661,360.00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戈长弓</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0.56%</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524,180.00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151,180.00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524,180.00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张艳銮</w:t>
            </w:r>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境内自然人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0.49%</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454,272.00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129,792.00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454,272.00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tr w:rsidR="003D2BA8" w:rsidRPr="00672DC8" w:rsidTr="003B7D80">
        <w:trPr>
          <w:trHeight w:val="240"/>
        </w:trPr>
        <w:tc>
          <w:tcPr>
            <w:tcW w:w="8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bookmarkStart w:id="105" w:name="_GoBack"/>
            <w:r w:rsidRPr="00672DC8">
              <w:rPr>
                <w:rFonts w:ascii="Times New Roman" w:eastAsia="宋体" w:hAnsi="Times New Roman" w:cs="Times New Roman"/>
                <w:sz w:val="18"/>
                <w:szCs w:val="18"/>
              </w:rPr>
              <w:t>UBS</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AG</w:t>
            </w:r>
            <w:bookmarkEnd w:id="105"/>
          </w:p>
        </w:tc>
        <w:tc>
          <w:tcPr>
            <w:tcW w:w="68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境外法人</w:t>
            </w:r>
          </w:p>
        </w:tc>
        <w:tc>
          <w:tcPr>
            <w:tcW w:w="85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0.48%</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448,617.00</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175,984.00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2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240F8F">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448,617.00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r>
      <w:bookmarkEnd w:id="104"/>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战略投资者或一般法人因配售新股成为前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名股东的情况（如有）（参见注</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r>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上述股东关联关系或一致行动的说明</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上述股东之间，马学沛与林明玲系夫妻关系，马学沛为南京优志投资管理合伙企业（有限合伙）的有限合伙人。此外，上述其他股东之间未知是否存在关联关系或属于一致行动人。</w:t>
            </w:r>
          </w:p>
        </w:tc>
      </w:tr>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上述股东涉及委托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受托表决权、放弃表决权情况的说明</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r>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名股东中存在回购专户的特别说明（参见注</w:t>
            </w:r>
            <w:r w:rsidRPr="00672DC8">
              <w:rPr>
                <w:rFonts w:ascii="Times New Roman" w:eastAsia="宋体" w:hAnsi="Times New Roman" w:cs="Times New Roman"/>
                <w:sz w:val="18"/>
                <w:szCs w:val="18"/>
              </w:rPr>
              <w:t>11</w:t>
            </w:r>
            <w:r w:rsidRPr="00672DC8">
              <w:rPr>
                <w:rFonts w:ascii="Times New Roman" w:eastAsia="宋体" w:hAnsi="Times New Roman" w:cs="Times New Roman"/>
                <w:sz w:val="18"/>
                <w:szCs w:val="18"/>
              </w:rPr>
              <w:t>）</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报告期末，公司回购专户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广东天亿马信息产业股份有限公司回购专用证券账户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持有公司股票</w:t>
            </w:r>
            <w:r w:rsidRPr="00672DC8">
              <w:rPr>
                <w:rFonts w:ascii="Times New Roman" w:eastAsia="宋体" w:hAnsi="Times New Roman" w:cs="Times New Roman"/>
                <w:sz w:val="18"/>
                <w:szCs w:val="18"/>
              </w:rPr>
              <w:t>1,224,140</w:t>
            </w:r>
            <w:r w:rsidRPr="00672DC8">
              <w:rPr>
                <w:rFonts w:ascii="Times New Roman" w:eastAsia="宋体" w:hAnsi="Times New Roman" w:cs="Times New Roman"/>
                <w:sz w:val="18"/>
                <w:szCs w:val="18"/>
              </w:rPr>
              <w:t>股，占公司报告期末总股本的</w:t>
            </w:r>
            <w:r w:rsidRPr="00672DC8">
              <w:rPr>
                <w:rFonts w:ascii="Times New Roman" w:eastAsia="宋体" w:hAnsi="Times New Roman" w:cs="Times New Roman"/>
                <w:sz w:val="18"/>
                <w:szCs w:val="18"/>
              </w:rPr>
              <w:t>1.31%</w:t>
            </w:r>
            <w:r w:rsidRPr="00672DC8">
              <w:rPr>
                <w:rFonts w:ascii="Times New Roman" w:eastAsia="宋体" w:hAnsi="Times New Roman" w:cs="Times New Roman"/>
                <w:sz w:val="18"/>
                <w:szCs w:val="18"/>
              </w:rPr>
              <w:t>。</w:t>
            </w:r>
          </w:p>
        </w:tc>
      </w:tr>
      <w:tr w:rsidR="003D2BA8" w:rsidRPr="00672DC8">
        <w:trPr>
          <w:trHeight w:val="240"/>
        </w:trPr>
        <w:tc>
          <w:tcPr>
            <w:tcW w:w="9639" w:type="dxa"/>
            <w:gridSpan w:val="9"/>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名无限售条件股东持股情况（不含通过转融通出借股份、高管锁定股）</w:t>
            </w:r>
          </w:p>
        </w:tc>
      </w:tr>
      <w:tr w:rsidR="003D2BA8" w:rsidRPr="00672DC8" w:rsidTr="003B7D80">
        <w:trPr>
          <w:trHeight w:val="240"/>
        </w:trPr>
        <w:tc>
          <w:tcPr>
            <w:tcW w:w="1560"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股东名称</w:t>
            </w:r>
          </w:p>
        </w:tc>
        <w:tc>
          <w:tcPr>
            <w:tcW w:w="6095" w:type="dxa"/>
            <w:gridSpan w:val="5"/>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报告期末持有无限售条件股份数量</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股份种类</w:t>
            </w:r>
          </w:p>
        </w:tc>
      </w:tr>
      <w:tr w:rsidR="003D2BA8" w:rsidRPr="00672DC8" w:rsidTr="003B7D80">
        <w:trPr>
          <w:trHeight w:val="240"/>
        </w:trPr>
        <w:tc>
          <w:tcPr>
            <w:tcW w:w="1560"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095" w:type="dxa"/>
            <w:gridSpan w:val="5"/>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股份种类</w:t>
            </w:r>
          </w:p>
        </w:tc>
        <w:tc>
          <w:tcPr>
            <w:tcW w:w="992"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数量</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6,719,938.00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6,719,938.00</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南京优志投资管理合伙企业（有限合伙）</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2,823,800.00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2,823,800</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1,418,942.00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w:t>
            </w:r>
            <w:r w:rsidRPr="00672DC8">
              <w:rPr>
                <w:rFonts w:ascii="Times New Roman" w:eastAsia="宋体" w:hAnsi="Times New Roman" w:cs="Times New Roman"/>
                <w:sz w:val="18"/>
                <w:szCs w:val="18"/>
              </w:rPr>
              <w:lastRenderedPageBreak/>
              <w:t>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1,418,942</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宁琛</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1,143,520.00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1,143,520</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徐静娴</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889,177.00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889,177</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王松</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878,669.00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878,669</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w:t>
            </w: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年员工持股计划</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661,360.00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661,360</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戈长弓</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524,180.00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524,180</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张艳銮</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454,272.00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454,272</w:t>
            </w:r>
          </w:p>
        </w:tc>
      </w:tr>
      <w:tr w:rsidR="003D2BA8" w:rsidRPr="00672DC8" w:rsidTr="003B7D80">
        <w:trPr>
          <w:trHeight w:val="240"/>
        </w:trPr>
        <w:tc>
          <w:tcPr>
            <w:tcW w:w="1560" w:type="dxa"/>
            <w:gridSpan w:val="2"/>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UBS AG</w:t>
            </w:r>
          </w:p>
        </w:tc>
        <w:tc>
          <w:tcPr>
            <w:tcW w:w="6095" w:type="dxa"/>
            <w:gridSpan w:val="5"/>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448,617.00</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3B7D80">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人民币普通股</w:t>
            </w:r>
          </w:p>
        </w:tc>
        <w:tc>
          <w:tcPr>
            <w:tcW w:w="99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448,617</w:t>
            </w:r>
          </w:p>
        </w:tc>
      </w:tr>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名无限售条件股东之间，以及前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名无限售条件股东和前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名股东之间关联关系或一致行动的说明</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上述股东之间，马学沛与林明玲系夫妻关系，马学沛为南京优志投资管理合伙企业（有限合伙）的有限合伙人。此外，上述其他股东之间未知是否存在关联关系或属于一致行动人。</w:t>
            </w:r>
          </w:p>
        </w:tc>
      </w:tr>
      <w:tr w:rsidR="003D2BA8" w:rsidRPr="00672DC8" w:rsidTr="00240F8F">
        <w:trPr>
          <w:trHeight w:val="240"/>
        </w:trPr>
        <w:tc>
          <w:tcPr>
            <w:tcW w:w="156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名普通股股东参与融资融券业务股东情况说明（如有）（参见注</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w:t>
            </w:r>
          </w:p>
        </w:tc>
        <w:tc>
          <w:tcPr>
            <w:tcW w:w="8079" w:type="dxa"/>
            <w:gridSpan w:val="7"/>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①</w:t>
            </w:r>
            <w:r w:rsidRPr="00672DC8">
              <w:rPr>
                <w:rFonts w:ascii="Times New Roman" w:eastAsia="宋体" w:hAnsi="Times New Roman" w:cs="Times New Roman"/>
                <w:sz w:val="18"/>
                <w:szCs w:val="18"/>
              </w:rPr>
              <w:t>自然人股东宁琛通过普通证券账户持有公司股份</w:t>
            </w:r>
            <w:r w:rsidRPr="00672DC8">
              <w:rPr>
                <w:rFonts w:ascii="Times New Roman" w:eastAsia="宋体" w:hAnsi="Times New Roman" w:cs="Times New Roman"/>
                <w:sz w:val="18"/>
                <w:szCs w:val="18"/>
              </w:rPr>
              <w:t>0</w:t>
            </w:r>
            <w:r w:rsidRPr="00672DC8">
              <w:rPr>
                <w:rFonts w:ascii="Times New Roman" w:eastAsia="宋体" w:hAnsi="Times New Roman" w:cs="Times New Roman"/>
                <w:sz w:val="18"/>
                <w:szCs w:val="18"/>
              </w:rPr>
              <w:t>股，通过投资者信用证券账户持有公司股份</w:t>
            </w:r>
            <w:r w:rsidRPr="00672DC8">
              <w:rPr>
                <w:rFonts w:ascii="Times New Roman" w:eastAsia="宋体" w:hAnsi="Times New Roman" w:cs="Times New Roman"/>
                <w:sz w:val="18"/>
                <w:szCs w:val="18"/>
              </w:rPr>
              <w:t>1,143,520</w:t>
            </w:r>
            <w:r w:rsidRPr="00672DC8">
              <w:rPr>
                <w:rFonts w:ascii="Times New Roman" w:eastAsia="宋体" w:hAnsi="Times New Roman" w:cs="Times New Roman"/>
                <w:sz w:val="18"/>
                <w:szCs w:val="18"/>
              </w:rPr>
              <w:t>股，合计持有公司股份</w:t>
            </w:r>
            <w:r w:rsidRPr="00672DC8">
              <w:rPr>
                <w:rFonts w:ascii="Times New Roman" w:eastAsia="宋体" w:hAnsi="Times New Roman" w:cs="Times New Roman"/>
                <w:sz w:val="18"/>
                <w:szCs w:val="18"/>
              </w:rPr>
              <w:t>1,143,520</w:t>
            </w:r>
            <w:r w:rsidRPr="00672DC8">
              <w:rPr>
                <w:rFonts w:ascii="Times New Roman" w:eastAsia="宋体" w:hAnsi="Times New Roman" w:cs="Times New Roman"/>
                <w:sz w:val="18"/>
                <w:szCs w:val="18"/>
              </w:rPr>
              <w:t>股；</w:t>
            </w:r>
          </w:p>
          <w:p w:rsidR="003D2BA8" w:rsidRPr="00672DC8" w:rsidRDefault="000C0769">
            <w:pPr>
              <w:spacing w:line="240" w:lineRule="exact"/>
              <w:rPr>
                <w:rFonts w:ascii="Times New Roman" w:eastAsia="宋体" w:hAnsi="Times New Roman" w:cs="Times New Roman"/>
                <w:sz w:val="18"/>
                <w:szCs w:val="18"/>
              </w:rPr>
            </w:pPr>
            <w:r w:rsidRPr="00672DC8">
              <w:rPr>
                <w:rFonts w:ascii="宋体" w:eastAsia="宋体" w:hAnsi="宋体" w:cs="宋体" w:hint="eastAsia"/>
                <w:sz w:val="18"/>
                <w:szCs w:val="18"/>
              </w:rPr>
              <w:t>②</w:t>
            </w:r>
            <w:r w:rsidRPr="00672DC8">
              <w:rPr>
                <w:rFonts w:ascii="Times New Roman" w:eastAsia="宋体" w:hAnsi="Times New Roman" w:cs="Times New Roman"/>
                <w:sz w:val="18"/>
                <w:szCs w:val="18"/>
              </w:rPr>
              <w:t>自然人股东王松通过普通证券账户持有公司股份</w:t>
            </w:r>
            <w:r w:rsidRPr="00672DC8">
              <w:rPr>
                <w:rFonts w:ascii="Times New Roman" w:eastAsia="宋体" w:hAnsi="Times New Roman" w:cs="Times New Roman"/>
                <w:sz w:val="18"/>
                <w:szCs w:val="18"/>
              </w:rPr>
              <w:t>25,060</w:t>
            </w:r>
            <w:r w:rsidRPr="00672DC8">
              <w:rPr>
                <w:rFonts w:ascii="Times New Roman" w:eastAsia="宋体" w:hAnsi="Times New Roman" w:cs="Times New Roman"/>
                <w:sz w:val="18"/>
                <w:szCs w:val="18"/>
              </w:rPr>
              <w:t>股，通过投资者信用证券账户持有公司股份</w:t>
            </w:r>
            <w:r w:rsidRPr="00672DC8">
              <w:rPr>
                <w:rFonts w:ascii="Times New Roman" w:eastAsia="宋体" w:hAnsi="Times New Roman" w:cs="Times New Roman"/>
                <w:sz w:val="18"/>
                <w:szCs w:val="18"/>
              </w:rPr>
              <w:t>853,609</w:t>
            </w:r>
            <w:r w:rsidRPr="00672DC8">
              <w:rPr>
                <w:rFonts w:ascii="Times New Roman" w:eastAsia="宋体" w:hAnsi="Times New Roman" w:cs="Times New Roman"/>
                <w:sz w:val="18"/>
                <w:szCs w:val="18"/>
              </w:rPr>
              <w:t>股，合计持有公司股份</w:t>
            </w:r>
            <w:r w:rsidRPr="00672DC8">
              <w:rPr>
                <w:rFonts w:ascii="Times New Roman" w:eastAsia="宋体" w:hAnsi="Times New Roman" w:cs="Times New Roman"/>
                <w:sz w:val="18"/>
                <w:szCs w:val="18"/>
              </w:rPr>
              <w:t>878,669</w:t>
            </w:r>
            <w:r w:rsidRPr="00672DC8">
              <w:rPr>
                <w:rFonts w:ascii="Times New Roman" w:eastAsia="宋体" w:hAnsi="Times New Roman" w:cs="Times New Roman"/>
                <w:sz w:val="18"/>
                <w:szCs w:val="18"/>
              </w:rPr>
              <w:t>股。</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持股</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以上股东、前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名股东及前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名无限售流通股股东参与转融通业务出借股份情况</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名股东及前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名无限售流通股股东因转融通出借</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归还原因导致较上期发生变化</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公司是否具有表决权差异安排</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名普通股股东、前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名无限售条件普通股股东在报告期内是否进行约定购回交易</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名普通股股东、前</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名无限售条件普通股股东在报告期内未进行约定购回交易。</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6" w:name="_Toc988978"/>
      <w:r w:rsidRPr="00672DC8">
        <w:rPr>
          <w:rFonts w:ascii="Times New Roman" w:eastAsia="宋体" w:hAnsi="Times New Roman" w:cs="Times New Roman"/>
          <w:b/>
          <w:bCs/>
          <w:sz w:val="24"/>
          <w:szCs w:val="24"/>
        </w:rPr>
        <w:t>四、董事和高级管理人员持股变动</w:t>
      </w:r>
      <w:bookmarkEnd w:id="106"/>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756"/>
        <w:gridCol w:w="756"/>
        <w:gridCol w:w="756"/>
        <w:gridCol w:w="1251"/>
        <w:gridCol w:w="1161"/>
        <w:gridCol w:w="756"/>
        <w:gridCol w:w="1251"/>
        <w:gridCol w:w="1026"/>
        <w:gridCol w:w="757"/>
        <w:gridCol w:w="1161"/>
      </w:tblGrid>
      <w:tr w:rsidR="003D2BA8" w:rsidRPr="00672DC8" w:rsidTr="00E11DC8">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姓名</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职务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任职状态</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期初持股数（股）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本期增持股份数量（股）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本期减持股份数量（股）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期末持股数（股）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期初被授予的限制性股票数量（股）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本期被授予的限制性股票数量（股）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期末被授予的限制性股票数量（股）</w:t>
            </w:r>
          </w:p>
        </w:tc>
      </w:tr>
      <w:tr w:rsidR="003D2BA8" w:rsidRPr="00672DC8" w:rsidTr="00E11DC8">
        <w:trPr>
          <w:trHeight w:val="240"/>
        </w:trPr>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董事长</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现任</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19,199,824</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7,679,930.00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26,879,754.00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627,200</w:t>
            </w:r>
          </w:p>
        </w:tc>
      </w:tr>
      <w:tr w:rsidR="003D2BA8" w:rsidRPr="00672DC8" w:rsidTr="00E11DC8">
        <w:trPr>
          <w:trHeight w:val="240"/>
        </w:trPr>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副董事长、总经理</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现任</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4,054,120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1,621,648.00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5,675,768.00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627,200</w:t>
            </w:r>
          </w:p>
        </w:tc>
      </w:tr>
      <w:tr w:rsidR="003D2BA8" w:rsidRPr="00672DC8" w:rsidTr="00E11DC8">
        <w:trPr>
          <w:trHeight w:val="240"/>
        </w:trPr>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合计</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23,253,944.00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9,301,578.00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32,555,522.00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896,000.00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w:t>
            </w:r>
          </w:p>
        </w:tc>
        <w:tc>
          <w:tcPr>
            <w:tcW w:w="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1,254,400.00</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7" w:name="_Toc988979"/>
      <w:r w:rsidRPr="00672DC8">
        <w:rPr>
          <w:rFonts w:ascii="Times New Roman" w:eastAsia="宋体" w:hAnsi="Times New Roman" w:cs="Times New Roman"/>
          <w:b/>
          <w:bCs/>
          <w:sz w:val="24"/>
          <w:szCs w:val="24"/>
        </w:rPr>
        <w:t>五、控股股东或实际控制人变更情况</w:t>
      </w:r>
      <w:bookmarkEnd w:id="107"/>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公司前期已披露实际控制人筹划控制权变更但尚未完成的，请说明控制权变更进展情况。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控股股东报告期内变更</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公司报告期控股股东未发生变更。</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实际控制人报告期内变更</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公司报告期实际控制人未发生变更。</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08" w:name="_Toc988980"/>
      <w:r w:rsidRPr="00672DC8">
        <w:rPr>
          <w:rFonts w:ascii="Times New Roman" w:eastAsia="宋体" w:hAnsi="Times New Roman" w:cs="Times New Roman"/>
          <w:b/>
          <w:bCs/>
          <w:sz w:val="24"/>
          <w:szCs w:val="24"/>
        </w:rPr>
        <w:lastRenderedPageBreak/>
        <w:t>六、优先股相关情况</w:t>
      </w:r>
      <w:bookmarkEnd w:id="10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报告期公司不存在优先股。</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109" w:name="_Toc238760461"/>
      <w:r w:rsidRPr="00672DC8">
        <w:rPr>
          <w:rFonts w:ascii="Times New Roman" w:eastAsia="宋体" w:hAnsi="Times New Roman" w:cs="Times New Roman"/>
          <w:b/>
          <w:bCs/>
          <w:sz w:val="32"/>
          <w:szCs w:val="32"/>
        </w:rPr>
        <w:lastRenderedPageBreak/>
        <w:t>第七节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债券相关情况</w:t>
      </w:r>
      <w:bookmarkEnd w:id="10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rPr>
          <w:rFonts w:ascii="Times New Roman" w:hAnsi="Times New Roman" w:cs="Times New Roman"/>
        </w:rPr>
      </w:pPr>
      <w:r w:rsidRPr="00672DC8">
        <w:rPr>
          <w:rFonts w:ascii="Times New Roman" w:hAnsi="Times New Roman" w:cs="Times New Roman"/>
        </w:rPr>
        <w:br w:type="page"/>
      </w:r>
    </w:p>
    <w:p w:rsidR="003D2BA8" w:rsidRPr="00672DC8" w:rsidRDefault="000C0769">
      <w:pPr>
        <w:pStyle w:val="headingh1"/>
        <w:spacing w:before="340" w:after="330" w:line="773" w:lineRule="exact"/>
        <w:jc w:val="center"/>
        <w:rPr>
          <w:rFonts w:ascii="Times New Roman" w:eastAsia="宋体" w:hAnsi="Times New Roman" w:cs="Times New Roman"/>
          <w:b/>
          <w:bCs/>
          <w:sz w:val="32"/>
          <w:szCs w:val="32"/>
        </w:rPr>
      </w:pPr>
      <w:bookmarkStart w:id="110" w:name="_Toc238760462"/>
      <w:r w:rsidRPr="00672DC8">
        <w:rPr>
          <w:rFonts w:ascii="Times New Roman" w:eastAsia="宋体" w:hAnsi="Times New Roman" w:cs="Times New Roman"/>
          <w:b/>
          <w:bCs/>
          <w:sz w:val="32"/>
          <w:szCs w:val="32"/>
        </w:rPr>
        <w:lastRenderedPageBreak/>
        <w:t>第八节</w:t>
      </w:r>
      <w:r w:rsidRPr="00672DC8">
        <w:rPr>
          <w:rFonts w:ascii="Times New Roman" w:eastAsia="宋体" w:hAnsi="Times New Roman" w:cs="Times New Roman"/>
          <w:b/>
          <w:bCs/>
          <w:sz w:val="32"/>
          <w:szCs w:val="32"/>
        </w:rPr>
        <w:t xml:space="preserve"> </w:t>
      </w:r>
      <w:r w:rsidRPr="00672DC8">
        <w:rPr>
          <w:rFonts w:ascii="Times New Roman" w:eastAsia="宋体" w:hAnsi="Times New Roman" w:cs="Times New Roman"/>
          <w:b/>
          <w:bCs/>
          <w:sz w:val="32"/>
          <w:szCs w:val="32"/>
        </w:rPr>
        <w:t>财务报告</w:t>
      </w:r>
      <w:bookmarkEnd w:id="110"/>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11" w:name="_Toc988983"/>
      <w:r w:rsidRPr="00672DC8">
        <w:rPr>
          <w:rFonts w:ascii="Times New Roman" w:eastAsia="宋体" w:hAnsi="Times New Roman" w:cs="Times New Roman"/>
          <w:b/>
          <w:bCs/>
          <w:sz w:val="24"/>
          <w:szCs w:val="24"/>
        </w:rPr>
        <w:t>一、审计报告</w:t>
      </w:r>
      <w:bookmarkEnd w:id="11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半年度报告是否经过审计</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公司半年度财务报告未经审计。</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12" w:name="_Toc988984"/>
      <w:r w:rsidRPr="00672DC8">
        <w:rPr>
          <w:rFonts w:ascii="Times New Roman" w:eastAsia="宋体" w:hAnsi="Times New Roman" w:cs="Times New Roman"/>
          <w:b/>
          <w:bCs/>
          <w:sz w:val="24"/>
          <w:szCs w:val="24"/>
        </w:rPr>
        <w:t>二、财务报表</w:t>
      </w:r>
      <w:bookmarkEnd w:id="112"/>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财务附注中报表的单位为：元</w:t>
      </w:r>
    </w:p>
    <w:p w:rsidR="003D2BA8" w:rsidRPr="00672DC8" w:rsidRDefault="000C0769">
      <w:pPr>
        <w:pStyle w:val="3"/>
        <w:spacing w:line="280" w:lineRule="exact"/>
        <w:jc w:val="left"/>
        <w:rPr>
          <w:rFonts w:ascii="Times New Roman" w:hAnsi="Times New Roman" w:cs="Times New Roman"/>
          <w:b/>
          <w:bCs/>
        </w:rPr>
      </w:pPr>
      <w:bookmarkStart w:id="113" w:name="_Toc988985"/>
      <w:r w:rsidRPr="00672DC8">
        <w:rPr>
          <w:rFonts w:ascii="Times New Roman" w:hAnsi="Times New Roman" w:cs="Times New Roman"/>
          <w:b/>
          <w:bCs/>
        </w:rPr>
        <w:t>1</w:t>
      </w:r>
      <w:r w:rsidRPr="00672DC8">
        <w:rPr>
          <w:rFonts w:ascii="Times New Roman" w:hAnsi="Times New Roman" w:cs="Times New Roman"/>
          <w:b/>
          <w:bCs/>
        </w:rPr>
        <w:t>、合并资产负债表</w:t>
      </w:r>
      <w:bookmarkEnd w:id="113"/>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编制单位：广东天亿马信息产业股份有限公司</w:t>
      </w:r>
    </w:p>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w:t>
      </w:r>
    </w:p>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E91F5B">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367,489,644.01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307,384,611.49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结算备付金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拆出资金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衍生金融资产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2,371,621.43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293,368,429.05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289,612,998.20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应收款项融资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预付款项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22,794,606.87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6,987,182.86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应收保费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应收分保账款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应收分保合同准备金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7,855,084.00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7,465,404.60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其中：应收利息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买入返售金融资产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85,702,664.12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89,756,796.04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合同资产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持有待售资产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37,281,092.46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36,242,782.56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58,085,743.89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68,862,211.96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875,491,617.45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807,470,799.33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发放贷款和垫款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43,343,563.65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53,778,811.37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长期股权投资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投资性房地产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425,171,636.12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513,494,392.57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生产性生物资产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油气资产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使用权资产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9,913,089.35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14,586,503.66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228,744.78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248,957.94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88,571.23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99,642.61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开发支出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商誉</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1,875,454.05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1,875,454.05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长期待摊费用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4,027,686.11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4,457,795.81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34,881,179.17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44,826,320.91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1,828,001.78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949,249.94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543,846,648.51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638,300,886.25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资产总计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1,419,338,265.96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1,445,771,685.58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短期借款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95,579,180.54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75,386,370.12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向中央银行借款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拆入资金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交易性金融负债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衍生金融负债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3,295,561.50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70,225,512.03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104,486,315.75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预收款项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合同负债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51,541,859.32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42,612,287.12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卖出回购金融资产款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吸收存款及同业存放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代理买卖证券款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代理承销证券款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6,359,177.19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10,926,423.76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应交税费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47,839,827.46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50,637,804.85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22,932,919.83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24,285,873.06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其中：应付利息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应付股利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应付手续费及佣金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应付分保账款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持有待售负债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69,449,246.54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67,978,622.47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367,301,184.41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376,473,697.13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保险合同准备金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191,589,643.18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213,518,051.31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应付债券</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租赁负债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6,115,001.64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11,001,175.61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57,256,210.23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39,040,839.35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预计负债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5,233,192.82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16,234,111.29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260,194,047.87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279,794,177.56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627,495,232.28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656,267,874.69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585,280,534.08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605,848,079.63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-908,372.38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-698,067.46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一般风险准备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127,105,452.16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127,798,551.42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归属于母公司所有者权益合计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781,837,906.12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777,012,591.85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少数股东权益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10,005,127.56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12,491,219.04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791,843,033.68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789,503,810.89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负债和所有者权益总计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1,419,338,265.96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1,445,771,685.58</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sidR="00E91F5B" w:rsidRPr="00672DC8">
        <w:rPr>
          <w:rFonts w:ascii="Times New Roman" w:eastAsia="宋体" w:hAnsi="Times New Roman" w:cs="Times New Roman"/>
          <w:sz w:val="18"/>
          <w:szCs w:val="18"/>
        </w:rPr>
        <w:t xml:space="preserve">       </w:t>
      </w:r>
      <w:r w:rsidR="00552944">
        <w:rPr>
          <w:rFonts w:ascii="Times New Roman" w:eastAsia="宋体" w:hAnsi="Times New Roman" w:cs="Times New Roman"/>
          <w:sz w:val="18"/>
          <w:szCs w:val="18"/>
        </w:rPr>
        <w:t xml:space="preserve">                </w:t>
      </w:r>
      <w:r w:rsidR="00E91F5B"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00552944">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sidR="00E91F5B" w:rsidRPr="00672DC8">
        <w:rPr>
          <w:rFonts w:ascii="Times New Roman" w:eastAsia="宋体" w:hAnsi="Times New Roman" w:cs="Times New Roman"/>
          <w:sz w:val="18"/>
          <w:szCs w:val="18"/>
        </w:rPr>
        <w:t xml:space="preserve">            </w:t>
      </w:r>
      <w:r w:rsidR="00552944">
        <w:rPr>
          <w:rFonts w:ascii="Times New Roman" w:eastAsia="宋体" w:hAnsi="Times New Roman" w:cs="Times New Roman"/>
          <w:sz w:val="18"/>
          <w:szCs w:val="18"/>
        </w:rPr>
        <w:t xml:space="preserve">                      </w:t>
      </w:r>
      <w:r w:rsidR="00E91F5B"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3D2BA8" w:rsidRPr="00672DC8" w:rsidRDefault="000C0769">
      <w:pPr>
        <w:pStyle w:val="3"/>
        <w:spacing w:line="320" w:lineRule="exact"/>
        <w:jc w:val="left"/>
        <w:rPr>
          <w:rFonts w:ascii="Times New Roman" w:hAnsi="Times New Roman" w:cs="Times New Roman"/>
          <w:b/>
          <w:bCs/>
          <w:sz w:val="24"/>
          <w:szCs w:val="24"/>
        </w:rPr>
      </w:pPr>
      <w:bookmarkStart w:id="114" w:name="_Toc988986"/>
      <w:r w:rsidRPr="00672DC8">
        <w:rPr>
          <w:rFonts w:ascii="Times New Roman" w:hAnsi="Times New Roman" w:cs="Times New Roman"/>
          <w:b/>
          <w:bCs/>
          <w:sz w:val="24"/>
          <w:szCs w:val="24"/>
        </w:rPr>
        <w:t>2</w:t>
      </w:r>
      <w:r w:rsidRPr="00672DC8">
        <w:rPr>
          <w:rFonts w:ascii="Times New Roman" w:hAnsi="Times New Roman" w:cs="Times New Roman"/>
          <w:b/>
          <w:bCs/>
          <w:sz w:val="24"/>
          <w:szCs w:val="24"/>
        </w:rPr>
        <w:t>、母公司资产负债表</w:t>
      </w:r>
      <w:bookmarkEnd w:id="11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F925BB">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货币资金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233,743,579.94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202,096,476.56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衍生金融资产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2,371,621.43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182,031,258.38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201,239,016.39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应收款项融资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预付款项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5,139,256.58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2,327,197.57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125,958,425.25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171,969,692.20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其中：应收利息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53,348,961.72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43,849,567.42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合同资产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166,004.90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445,859.90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持有待售资产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12,052,746.52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16,307,398.96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33,592,216.16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37,326,068.06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648,404,070.88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675,885,277.06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其他债权投资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7,424,313.69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7,675,931.67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长期股权投资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其他权益工具投资</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其他非流动金融资产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投资性房地产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256,582,029.13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275,082,869.15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生产性生物资产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油气资产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使用权资产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113,844.34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49,263.64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140,173.55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149,315.33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开发支出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商誉</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长期待摊费用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175,527.63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200,603.01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19,398,755.66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20,777,730.87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595,762.99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595,762.99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530,848,795.31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507,375,199.38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资产总计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1,179,252,866.19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1,183,260,476.44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短期借款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47,538,819.44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42,356,463.25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交易性金融负债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衍生金融负债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3,295,561.50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应付账款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82,528,037.57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86,163,635.17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预收款项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合同负债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25,689,954.98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27,877,165.05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2,057,834.52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5,368,876.50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应交税费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28,242,296.96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30,592,008.66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34,120,608.38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40,445,804.70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其中：应付利息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应付股利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持有待售负债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49,324,847.18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49,363,277.47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272,875,860.53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282,327,230.80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122,320,000.00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146,860,000.00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应付债券</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租赁负债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55,508.44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20,040,273.98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预计负债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3,512,869.83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4,454,097.23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其他非流动负债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145,928,652.25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151,314,097.23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负债合计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418,804,512.78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433,641,328.03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584,820,213.93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605,387,759.48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105,536,957.22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100,436,470.67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760,448,353.41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749,619,148.41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负债和所有者权益总计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1,179,252,866.19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1,183,260,476.44</w:t>
            </w:r>
          </w:p>
        </w:tc>
      </w:tr>
    </w:tbl>
    <w:p w:rsidR="006D45C3" w:rsidRPr="00672DC8" w:rsidRDefault="006D45C3" w:rsidP="006D45C3">
      <w:pPr>
        <w:spacing w:before="100" w:after="100" w:line="240" w:lineRule="exact"/>
        <w:rPr>
          <w:rFonts w:ascii="Times New Roman" w:eastAsia="宋体" w:hAnsi="Times New Roman" w:cs="Times New Roman"/>
          <w:sz w:val="18"/>
          <w:szCs w:val="18"/>
        </w:rPr>
      </w:pPr>
      <w:bookmarkStart w:id="115" w:name="_Toc988987"/>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lastRenderedPageBreak/>
        <w:t>3</w:t>
      </w:r>
      <w:r w:rsidRPr="00672DC8">
        <w:rPr>
          <w:rFonts w:ascii="Times New Roman" w:hAnsi="Times New Roman" w:cs="Times New Roman"/>
          <w:b/>
          <w:bCs/>
        </w:rPr>
        <w:t>、合并利润表</w:t>
      </w:r>
      <w:bookmarkEnd w:id="11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C61293">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一、营业总收入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145,629,526.57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其中：营业收入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145,629,526.57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已赚保费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手续费及佣金收入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二、营业总成本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215,930,828.41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141,491,548.80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其中：营业成本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101,465,019.80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利息支出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手续费及佣金支出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退保金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赔付支出净额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提取保险责任准备金净额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保单红利支出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分保费用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税金及附加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528,767.94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476,872.74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销售费用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11,075,974.74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10,179,827.29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管理费用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20,932,643.31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16,041,559.50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研发费用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7,238,443.27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8,424,112.23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财务费用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5,613,688.93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4,904,157.24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其中：利息费用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6,832,000.98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5,865,606.56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800" w:firstLine="1440"/>
              <w:rPr>
                <w:rFonts w:ascii="Times New Roman" w:eastAsia="宋体" w:hAnsi="Times New Roman" w:cs="Times New Roman"/>
                <w:sz w:val="18"/>
                <w:szCs w:val="18"/>
              </w:rPr>
            </w:pPr>
            <w:r w:rsidRPr="00672DC8">
              <w:rPr>
                <w:rFonts w:ascii="Times New Roman" w:eastAsia="宋体" w:hAnsi="Times New Roman" w:cs="Times New Roman"/>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905,976.01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1,163,837.96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加：其他收益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81,459.14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45,917.15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投资收益（损失以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-326,532.15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500" w:firstLine="900"/>
              <w:rPr>
                <w:rFonts w:ascii="Times New Roman" w:eastAsia="宋体" w:hAnsi="Times New Roman" w:cs="Times New Roman"/>
                <w:sz w:val="18"/>
                <w:szCs w:val="18"/>
              </w:rPr>
            </w:pPr>
            <w:r w:rsidRPr="00672DC8">
              <w:rPr>
                <w:rFonts w:ascii="Times New Roman" w:eastAsia="宋体" w:hAnsi="Times New Roman" w:cs="Times New Roman"/>
                <w:sz w:val="18"/>
                <w:szCs w:val="18"/>
              </w:rPr>
              <w:t>其中：对联营企业和合营企业的投资收益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800" w:firstLine="1440"/>
              <w:rPr>
                <w:rFonts w:ascii="Times New Roman" w:eastAsia="宋体" w:hAnsi="Times New Roman" w:cs="Times New Roman"/>
                <w:sz w:val="18"/>
                <w:szCs w:val="18"/>
              </w:rPr>
            </w:pPr>
            <w:r w:rsidRPr="00672DC8">
              <w:rPr>
                <w:rFonts w:ascii="Times New Roman" w:eastAsia="宋体" w:hAnsi="Times New Roman" w:cs="Times New Roman"/>
                <w:sz w:val="18"/>
                <w:szCs w:val="18"/>
              </w:rPr>
              <w:t>以摊余成本计量的金融资产终止确认收益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汇兑收益（损失以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净敞口套期收益（损失以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公允价值变动收益（损失以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信用减值损失（损失以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6,687,446.01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2,808,053.20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资产减值损失（损失以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-427,567.82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-434,270.60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资产处置收益（损失以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-117,350.75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三、营业利润（亏损以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2,831,645.85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6,231,145.37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加：营业外收入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2,153.31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减：营业外支出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984,076.56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1,035,079.98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四、利润总额（亏损总额以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1,847,575.43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5,198,218.70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减：所得税费用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665,333.17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-811,560.39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1,182,242.26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6,009,779.09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（一）按经营持续性分类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持续经营净利润（净亏损以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1,182,242.26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6,009,779.09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终止经营净利润（净亏损以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（二）按所有权归属分类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归属于母公司股东的净利润（净亏损以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2,588,333.74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6,059,068.30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少数股东损益（净亏损以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-1,406,091.48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-49,289.21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归属母公司所有者的其他综合收益的税后净额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（一）不能重分类进损益的其他综合收益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重新计量设定受益计划变动额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权益法下不能转损益的其他综合收益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其他权益工具投资公允价值变动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企业自身信用风险公允价值变动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（二）将重分类进损益的其他综合收益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权益法下可转损益的其他综合收益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其他债权投资公允价值变动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金融资产重分类计入其他综合收益的金额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其他债权投资信用减值准备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现金流量套期储备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外币财务报表折算差额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7.</w:t>
            </w: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归属于少数股东的其他综合收益的税后净额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七、综合收益总额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971,937.34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5,957,871.71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归属于母公司所有者的综合收益总额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2,378,028.82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6,007,160.92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归属于少数股东的综合收益总额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-1,406,091.48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-49,289.21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八、每股收益：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（一）基本每股收益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0.0648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（二）稀释每股收益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0.0648</w:t>
            </w:r>
          </w:p>
        </w:tc>
      </w:tr>
    </w:tbl>
    <w:p w:rsidR="006D45C3" w:rsidRPr="00672DC8" w:rsidRDefault="006D45C3" w:rsidP="006D45C3">
      <w:pPr>
        <w:spacing w:before="100" w:after="100" w:line="240" w:lineRule="exact"/>
        <w:rPr>
          <w:rFonts w:ascii="Times New Roman" w:eastAsia="宋体" w:hAnsi="Times New Roman" w:cs="Times New Roman"/>
          <w:sz w:val="18"/>
          <w:szCs w:val="18"/>
        </w:rPr>
      </w:pPr>
      <w:bookmarkStart w:id="116" w:name="_Toc988988"/>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lastRenderedPageBreak/>
        <w:t>4</w:t>
      </w:r>
      <w:r w:rsidRPr="00672DC8">
        <w:rPr>
          <w:rFonts w:ascii="Times New Roman" w:hAnsi="Times New Roman" w:cs="Times New Roman"/>
          <w:b/>
          <w:bCs/>
        </w:rPr>
        <w:t>、母公司利润表</w:t>
      </w:r>
      <w:bookmarkEnd w:id="11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B35C0C">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一、营业收入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60,823,742.98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88,428,093.79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减：营业成本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38,056,673.50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64,661,979.64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税金及附加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71,414.38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110,294.71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销售费用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3,918,999.97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3,900,311.04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管理费用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11,831,163.49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10,399,998.25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研发费用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2,099,043.20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1,538,895.36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财务费用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3,183,421.82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3,148,360.86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其中：利息费用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3,869,274.36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4,101,123.18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700" w:firstLine="1260"/>
              <w:rPr>
                <w:rFonts w:ascii="Times New Roman" w:eastAsia="宋体" w:hAnsi="Times New Roman" w:cs="Times New Roman"/>
                <w:sz w:val="18"/>
                <w:szCs w:val="18"/>
              </w:rPr>
            </w:pPr>
            <w:r w:rsidRPr="00672DC8">
              <w:rPr>
                <w:rFonts w:ascii="Times New Roman" w:eastAsia="宋体" w:hAnsi="Times New Roman" w:cs="Times New Roman"/>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545,104.48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969,814.43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加：其他收益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30,941.52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32,002.67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投资收益（损失以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其中：对联营企业和合营企业的投资收益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700" w:firstLine="1260"/>
              <w:rPr>
                <w:rFonts w:ascii="Times New Roman" w:eastAsia="宋体" w:hAnsi="Times New Roman" w:cs="Times New Roman"/>
                <w:sz w:val="18"/>
                <w:szCs w:val="18"/>
              </w:rPr>
            </w:pPr>
            <w:r w:rsidRPr="00672DC8">
              <w:rPr>
                <w:rFonts w:ascii="Times New Roman" w:eastAsia="宋体" w:hAnsi="Times New Roman" w:cs="Times New Roman"/>
                <w:sz w:val="18"/>
                <w:szCs w:val="18"/>
              </w:rPr>
              <w:t>以摊余成本计量的金融资产终止确认收益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净敞口套期收益（损失以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公允价值变动收益（损失以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信用减值损失（损失以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9,239,033.72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1,605,847.92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资产减值损失（损失以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-4,770.83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-120,428.61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资产处置收益（损失以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二、营业利润（亏损以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10,928,231.03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5,675,675.91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加：营业外收入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0.11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减：营业外支出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978,878.20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1,034,715.43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三、利润总额（亏损总额以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9,949,354.69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4,640,960.59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减：所得税费用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1,567,435.14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799,610.97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8,381,919.55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3,841,349.62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（一）持续经营净利润（净亏损以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8,381,919.55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3,841,349.62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（二）终止经营净利润（净亏损以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（一）不能重分类进损益的其他综合收益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重新计量设定受益计划变动额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权益法下不能转损益的其他综合收益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3.</w:t>
            </w:r>
            <w:r w:rsidRPr="00672DC8">
              <w:rPr>
                <w:rFonts w:ascii="Times New Roman" w:eastAsia="宋体" w:hAnsi="Times New Roman" w:cs="Times New Roman"/>
                <w:sz w:val="18"/>
                <w:szCs w:val="18"/>
              </w:rPr>
              <w:t>其他权益工具投资公允价值变动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企业自身信用风险公允价值变动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（二）将重分类进损益的其他综合收益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权益法下可转损益的其他综合收益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其他债权投资公允价值变动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金融资产重分类计入其他综合收益的金额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其他债权投资信用减值准备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现金流量套期储备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外币财务报表折算差额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7.</w:t>
            </w: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六、综合收益总额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8,381,919.55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3,841,349.62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七、每股收益：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（一）基本每股收益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（二）稀释每股收益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6D45C3" w:rsidRPr="00672DC8" w:rsidRDefault="006D45C3" w:rsidP="006D45C3">
      <w:pPr>
        <w:spacing w:before="100" w:after="100" w:line="240" w:lineRule="exact"/>
        <w:rPr>
          <w:rFonts w:ascii="Times New Roman" w:eastAsia="宋体" w:hAnsi="Times New Roman" w:cs="Times New Roman"/>
          <w:sz w:val="18"/>
          <w:szCs w:val="18"/>
        </w:rPr>
      </w:pPr>
      <w:bookmarkStart w:id="117" w:name="_Toc988989"/>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t>5</w:t>
      </w:r>
      <w:r w:rsidRPr="00672DC8">
        <w:rPr>
          <w:rFonts w:ascii="Times New Roman" w:hAnsi="Times New Roman" w:cs="Times New Roman"/>
          <w:b/>
          <w:bCs/>
        </w:rPr>
        <w:t>、合并现金流量表</w:t>
      </w:r>
      <w:bookmarkEnd w:id="11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134036">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一、经营活动产生的现金流量：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销售商品、提供劳务收到的现金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249,710,168.73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151,165,580.42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客户存款和同业存放款项净增加额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向中央银行借款净增加额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向其他金融机构拆入资金净增加额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收到原保险合同保费取得的现金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收到再保业务现金净额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保户储金及投资款净增加额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收取利息、手续费及佣金的现金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回购业务资金净增加额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代理买卖证券收到的现金净额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收到的税费返还</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6,986,843.25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12,269,342.93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256,697,011.98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163,434,923.35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购买商品、接受劳务支付的现金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128,111,558.46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137,943,887.87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客户贷款及垫款净增加额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存放中央银行和同业款项净增加额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支付原保险合同赔付款项的现金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拆出资金净增加额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支付保单红利的现金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支付给职工以及为职工支付的现金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29,029,903.10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29,366,250.00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支付的各项税费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1,635,574.37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1,702,633.46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支付其他与经营活动有关的现金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14,149,990.70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10,805,073.63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172,927,026.63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179,817,844.96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83,769,985.35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-16,382,921.61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二、投资活动产生的现金流量：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收回投资收到的现金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取得投资收益收到的现金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处置固定资产、无形资产和其他长期资产收回的现金净额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处置子公司及其他营业单位收到的现金净额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108,656,050.00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50,387,500.00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108,656,052.00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50,387,500.00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购建固定资产、无形资产和其他长期资产支付的现金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28,118,196.46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318,652,615.92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投资支付的现金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质押贷款净增加额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取得子公司及其他营业单位支付的现金净额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136,118,198.46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376,652,616.92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-27,462,146.46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-326,265,116.92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三、筹资活动产生的现金流量：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吸收投资收到的现金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136,943.40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其中：子公司吸收少数股东投资收到的现金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136,943.40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取得借款收到的现金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74,088,000.00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325,295,897.52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20,006,000.00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95,094,000.00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341,432,840.92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偿还债务支付的现金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74,543,714.61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51,443,050.40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分配股利、利润或偿付利息支付的现金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11,129,526.62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5,528,797.06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其中：子公司支付给少数股东的股利、利润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6,063,243.60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8,632,654.60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91,736,484.83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65,604,502.06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3,357,515.17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275,828,338.86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四、汇率变动对现金及现金等价物的影响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-113,187.52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-16,918.89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59,552,166.54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-66,836,618.56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加：期初现金及现金等价物余额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307,078,221.04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271,722,181.78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366,630,387.58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204,885,563.22</w:t>
            </w:r>
          </w:p>
        </w:tc>
      </w:tr>
    </w:tbl>
    <w:p w:rsidR="006D45C3" w:rsidRPr="00672DC8" w:rsidRDefault="006D45C3" w:rsidP="006D45C3">
      <w:pPr>
        <w:spacing w:before="100" w:after="100" w:line="240" w:lineRule="exact"/>
        <w:rPr>
          <w:rFonts w:ascii="Times New Roman" w:eastAsia="宋体" w:hAnsi="Times New Roman" w:cs="Times New Roman"/>
          <w:sz w:val="18"/>
          <w:szCs w:val="18"/>
        </w:rPr>
      </w:pPr>
      <w:bookmarkStart w:id="118" w:name="_Toc988990"/>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t>6</w:t>
      </w:r>
      <w:r w:rsidRPr="00672DC8">
        <w:rPr>
          <w:rFonts w:ascii="Times New Roman" w:hAnsi="Times New Roman" w:cs="Times New Roman"/>
          <w:b/>
          <w:bCs/>
        </w:rPr>
        <w:t>、母公司现金流量表</w:t>
      </w:r>
      <w:bookmarkEnd w:id="118"/>
    </w:p>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E10016">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一、经营活动产生的现金流量：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销售商品、提供劳务收到的现金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83,638,694.14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93,502,348.44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收到的税费返还</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137,148,383.55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57,334,729.58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220,787,077.69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150,837,078.02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购买商品、接受劳务支付的现金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35,059,995.90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74,680,371.60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支付给职工以及为职工支付的现金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13,316,719.87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13,244,610.12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支付的各项税费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309,708.23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512,168.90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85,744,637.76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106,713,690.43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134,431,061.76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195,150,841.05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86,356,015.93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-44,313,763.03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二、投资活动产生的现金流量：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收回投资收到的现金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取得投资收益收到的现金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处置固定资产、无形资产和其他长期资产收回的现金净额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处置子公司及其他营业单位收到的现金净额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92,441,911.82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50,387,500.00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92,441,911.82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50,387,500.00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购建固定资产、无形资产和其他长期资产支付的现金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15,624.33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233,142,496.88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投资支付的现金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22,400,000.00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取得子公司及其他营业单位支付的现金净额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97,854,335.65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120,269,959.98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273,142,496.88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-27,828,048.16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-222,754,996.88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三、筹资活动产生的现金流量：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吸收投资收到的现金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取得借款收到的现金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271,830,000.00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收到其他与筹资活动有关的现金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26,006,000.00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271,830,000.00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偿还债务支付的现金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45,361,128.00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43,443,050.40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分配股利、利润或偿付利息支付的现金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7,137,713.37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4,560,853.26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支付其他与筹资活动有关的现金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940,889.00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4,099,860.00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53,439,730.37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52,103,763.66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-27,433,730.37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219,726,236.34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四、汇率变动对现金及现金等价物的影响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31,094,237.40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-47,342,523.57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加：期初现金及现金等价物余额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201,790,086.51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207,474,939.35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232,884,323.91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160,132,415.78</w:t>
            </w:r>
          </w:p>
        </w:tc>
      </w:tr>
    </w:tbl>
    <w:p w:rsidR="00CB213B" w:rsidRPr="00672DC8" w:rsidRDefault="00CB213B" w:rsidP="00CB213B">
      <w:pPr>
        <w:spacing w:before="100" w:after="100" w:line="240" w:lineRule="exact"/>
        <w:rPr>
          <w:rFonts w:ascii="Times New Roman" w:eastAsia="宋体" w:hAnsi="Times New Roman" w:cs="Times New Roman"/>
          <w:sz w:val="18"/>
          <w:szCs w:val="18"/>
        </w:rPr>
      </w:pPr>
      <w:bookmarkStart w:id="119" w:name="_Toc988991"/>
      <w:r w:rsidRPr="00672DC8">
        <w:rPr>
          <w:rFonts w:ascii="Times New Roman" w:eastAsia="宋体" w:hAnsi="Times New Roman" w:cs="Times New Roman"/>
          <w:sz w:val="18"/>
          <w:szCs w:val="18"/>
        </w:rPr>
        <w:t>法定代表人：林明玲</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会计机构负责人：赖宏伟</w:t>
      </w:r>
    </w:p>
    <w:p w:rsidR="00D71CD2" w:rsidRPr="00672DC8" w:rsidRDefault="00D71CD2">
      <w:pPr>
        <w:pStyle w:val="3"/>
        <w:spacing w:line="280" w:lineRule="exact"/>
        <w:jc w:val="left"/>
        <w:rPr>
          <w:rFonts w:ascii="Times New Roman" w:hAnsi="Times New Roman" w:cs="Times New Roman"/>
          <w:b/>
          <w:bCs/>
        </w:rPr>
        <w:sectPr w:rsidR="00D71CD2" w:rsidRPr="00672DC8">
          <w:pgSz w:w="11905" w:h="16840"/>
          <w:pgMar w:top="1440" w:right="1134" w:bottom="1440" w:left="1134" w:header="850" w:footer="992" w:gutter="0"/>
          <w:cols w:space="720"/>
          <w:docGrid w:type="linesAndChars" w:linePitch="312"/>
        </w:sectPr>
      </w:pPr>
    </w:p>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lastRenderedPageBreak/>
        <w:t>7</w:t>
      </w:r>
      <w:r w:rsidRPr="00672DC8">
        <w:rPr>
          <w:rFonts w:ascii="Times New Roman" w:hAnsi="Times New Roman" w:cs="Times New Roman"/>
          <w:b/>
          <w:bCs/>
        </w:rPr>
        <w:t>、合并所有者权益变动表</w:t>
      </w:r>
      <w:bookmarkEnd w:id="119"/>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本期金额</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15310" w:type="dxa"/>
        <w:tblInd w:w="-74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149"/>
        <w:gridCol w:w="1251"/>
        <w:gridCol w:w="396"/>
        <w:gridCol w:w="396"/>
        <w:gridCol w:w="396"/>
        <w:gridCol w:w="1341"/>
        <w:gridCol w:w="1251"/>
        <w:gridCol w:w="1026"/>
        <w:gridCol w:w="396"/>
        <w:gridCol w:w="1251"/>
        <w:gridCol w:w="396"/>
        <w:gridCol w:w="1341"/>
        <w:gridCol w:w="396"/>
        <w:gridCol w:w="1341"/>
        <w:gridCol w:w="1251"/>
        <w:gridCol w:w="1732"/>
      </w:tblGrid>
      <w:tr w:rsidR="003D2BA8" w:rsidRPr="00672DC8" w:rsidTr="008A17B0">
        <w:trPr>
          <w:trHeight w:val="240"/>
          <w:tblHeader/>
        </w:trPr>
        <w:tc>
          <w:tcPr>
            <w:tcW w:w="1149"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4161"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r>
      <w:tr w:rsidR="003D2BA8" w:rsidRPr="00672DC8" w:rsidTr="008A17B0">
        <w:trPr>
          <w:trHeight w:val="240"/>
          <w:tblHeader/>
        </w:trPr>
        <w:tc>
          <w:tcPr>
            <w:tcW w:w="1149"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归属于母公司所有者权益</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少数股东权益</w:t>
            </w:r>
          </w:p>
        </w:tc>
        <w:tc>
          <w:tcPr>
            <w:tcW w:w="1732"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r>
      <w:tr w:rsidR="003D2BA8" w:rsidRPr="00672DC8" w:rsidTr="008A17B0">
        <w:trPr>
          <w:trHeight w:val="240"/>
          <w:tblHeader/>
        </w:trPr>
        <w:tc>
          <w:tcPr>
            <w:tcW w:w="1149"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一般风险准备</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小计</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32"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8A17B0">
        <w:trPr>
          <w:trHeight w:val="240"/>
          <w:tblHeader/>
        </w:trPr>
        <w:tc>
          <w:tcPr>
            <w:tcW w:w="1149"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优先股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32"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一、上年年末余额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605,848,079.63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-698,067.46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127,798,551.42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777,012,591.85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12,491,219.04</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789,503,810.89</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加：会计政策变更</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前期差错更正</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二、本年期初余额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605,848,079.63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-698,067.46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127,798,551.42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777,012,591.85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12,491,219.04</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789,503,810.89</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三、本期增减变动金额（减少以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-20,567,545.55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-693,099.26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4,825,314.27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-2,486,091.48</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2,339,222.79</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（一）综合收益总额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2,588,333.74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2,378,028.82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-1,406,091.48</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971,937.34</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（二）所有者投入和减少资本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5,728,718.45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6,728,718.45</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．所有者投入的普通</w:t>
            </w:r>
            <w:r w:rsidRPr="00672DC8">
              <w:rPr>
                <w:rFonts w:ascii="Times New Roman" w:eastAsia="宋体" w:hAnsi="Times New Roman" w:cs="Times New Roman"/>
                <w:sz w:val="18"/>
                <w:szCs w:val="18"/>
              </w:rPr>
              <w:lastRenderedPageBreak/>
              <w:t>股</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w:t>
            </w:r>
            <w:r w:rsidRPr="00672DC8">
              <w:rPr>
                <w:rFonts w:ascii="Times New Roman" w:eastAsia="宋体" w:hAnsi="Times New Roman" w:cs="Times New Roman"/>
                <w:sz w:val="18"/>
                <w:szCs w:val="18"/>
              </w:rPr>
              <w:t>．其他权益工具持有者投入资本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．股份支付计入所有者权益的金额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（三）利润分配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-2,080,000.00</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-5,361,433.00</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．提取盈余公积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．提取一般风险准备</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．对所有者（或股东）的分配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-2,080,000.00</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-5,361,433.00</w:t>
            </w: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（四）所有者权益内部结转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．资本公积转增资本（或股本）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．盈余公</w:t>
            </w:r>
            <w:r w:rsidRPr="00672DC8">
              <w:rPr>
                <w:rFonts w:ascii="Times New Roman" w:eastAsia="宋体" w:hAnsi="Times New Roman" w:cs="Times New Roman"/>
                <w:sz w:val="18"/>
                <w:szCs w:val="18"/>
              </w:rPr>
              <w:lastRenderedPageBreak/>
              <w:t>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3</w:t>
            </w:r>
            <w:r w:rsidRPr="00672DC8">
              <w:rPr>
                <w:rFonts w:ascii="Times New Roman" w:eastAsia="宋体" w:hAnsi="Times New Roman" w:cs="Times New Roman"/>
                <w:sz w:val="18"/>
                <w:szCs w:val="18"/>
              </w:rPr>
              <w:t>．盈余公积弥补亏损</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．设定受益计划变动额结转留存收益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．其他综合收益结转留存收益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（五）专项储备</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．本期提取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．本期使用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91157">
        <w:trPr>
          <w:trHeight w:val="240"/>
        </w:trPr>
        <w:tc>
          <w:tcPr>
            <w:tcW w:w="114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四、本期期末余额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585,280,534.08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-908,372.38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127,105,452.16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781,837,906.12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10,005,127.56</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791,843,033.68</w:t>
            </w:r>
          </w:p>
        </w:tc>
      </w:tr>
    </w:tbl>
    <w:p w:rsidR="00CA47AA" w:rsidRPr="00672DC8" w:rsidRDefault="00CA47AA">
      <w:pPr>
        <w:spacing w:before="100" w:after="100" w:line="240" w:lineRule="exact"/>
        <w:rPr>
          <w:rFonts w:ascii="Times New Roman" w:eastAsia="宋体" w:hAnsi="Times New Roman" w:cs="Times New Roman"/>
          <w:sz w:val="18"/>
          <w:szCs w:val="18"/>
        </w:rPr>
      </w:pP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上年金额</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15452" w:type="dxa"/>
        <w:tblInd w:w="-88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81"/>
        <w:gridCol w:w="1251"/>
        <w:gridCol w:w="396"/>
        <w:gridCol w:w="396"/>
        <w:gridCol w:w="396"/>
        <w:gridCol w:w="1341"/>
        <w:gridCol w:w="1251"/>
        <w:gridCol w:w="1026"/>
        <w:gridCol w:w="396"/>
        <w:gridCol w:w="1251"/>
        <w:gridCol w:w="396"/>
        <w:gridCol w:w="1341"/>
        <w:gridCol w:w="396"/>
        <w:gridCol w:w="1341"/>
        <w:gridCol w:w="1161"/>
        <w:gridCol w:w="1732"/>
      </w:tblGrid>
      <w:tr w:rsidR="003D2BA8" w:rsidRPr="00672DC8" w:rsidTr="001646FD">
        <w:trPr>
          <w:trHeight w:val="240"/>
          <w:tblHeader/>
        </w:trPr>
        <w:tc>
          <w:tcPr>
            <w:tcW w:w="138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14071"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3D2BA8" w:rsidRPr="00672DC8" w:rsidTr="001646FD">
        <w:trPr>
          <w:trHeight w:val="240"/>
          <w:tblHeader/>
        </w:trPr>
        <w:tc>
          <w:tcPr>
            <w:tcW w:w="138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归属于母公司所有者权益</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少数股东权益</w:t>
            </w:r>
          </w:p>
        </w:tc>
        <w:tc>
          <w:tcPr>
            <w:tcW w:w="1732"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r>
      <w:tr w:rsidR="003D2BA8" w:rsidRPr="00672DC8" w:rsidTr="001646FD">
        <w:trPr>
          <w:trHeight w:val="240"/>
          <w:tblHeader/>
        </w:trPr>
        <w:tc>
          <w:tcPr>
            <w:tcW w:w="138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一般风险准备</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小计</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32"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1646FD">
        <w:trPr>
          <w:trHeight w:val="240"/>
          <w:tblHeader/>
        </w:trPr>
        <w:tc>
          <w:tcPr>
            <w:tcW w:w="138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优先股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32"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一、上年年末余额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598,297,202.73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52,740,572.07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-603,041.44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120,283,337.88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758,250,167.43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8,166,653.15</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766,416,820.58</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加：会计政策变更</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前期差错更正</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二、本年期初余额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598,297,202.73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52,740,572.07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-603,041.44</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120,283,337.88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758,250,167.43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8,166,653.15</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766,416,820.58</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三、本期增减变动金额（减少以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6,084,668.30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11,691,079.37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414,186.34</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12,105,265.71</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（一）综合收益总额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-51,907.38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6,059,068.30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6,007,160.92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-49,289.21</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5,957,871.71</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（二）所有者投入和减少资本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5,658,318.45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463,475.55</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6,121,794.00</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．所有者投入的普通股</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136,943.40</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136,943.40</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．其他权益工具持有者投入资本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．股份支付计入所有者权益的金额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4</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326,532.15</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300,932.15</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（三）利润分配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．提取盈余公积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．提取一般风险准备</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．对所有者（或股东）的分配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（四）所有者权益内部结转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．资本公积转增资本（或股本）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．盈余公积转增资本（或股本）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．盈余公积弥补亏损</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．设定受益计划变动额结转留存收益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．其他综合收益结转留存</w:t>
            </w:r>
            <w:r w:rsidRPr="00672DC8">
              <w:rPr>
                <w:rFonts w:ascii="Times New Roman" w:eastAsia="宋体" w:hAnsi="Times New Roman" w:cs="Times New Roman"/>
                <w:sz w:val="18"/>
                <w:szCs w:val="18"/>
              </w:rPr>
              <w:lastRenderedPageBreak/>
              <w:t>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6</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（五）专项储备</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．本期提取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．本期使用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1646FD">
        <w:trPr>
          <w:trHeight w:val="240"/>
        </w:trPr>
        <w:tc>
          <w:tcPr>
            <w:tcW w:w="138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四、本期期末余额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603,981,121.18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52,766,172.07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-654,948.82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126,368,006.18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769,941,246.80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8,580,839.49</w:t>
            </w:r>
          </w:p>
        </w:tc>
        <w:tc>
          <w:tcPr>
            <w:tcW w:w="1732"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778,522,086.29</w:t>
            </w:r>
          </w:p>
        </w:tc>
      </w:tr>
    </w:tbl>
    <w:p w:rsidR="00605DE4" w:rsidRPr="00672DC8" w:rsidRDefault="00605DE4" w:rsidP="00605DE4">
      <w:pPr>
        <w:rPr>
          <w:rFonts w:ascii="Times New Roman" w:eastAsiaTheme="majorEastAsia" w:hAnsi="Times New Roman" w:cs="Times New Roman"/>
          <w:sz w:val="18"/>
          <w:szCs w:val="18"/>
        </w:rPr>
      </w:pPr>
      <w:bookmarkStart w:id="120" w:name="OLE_LINK29"/>
      <w:bookmarkStart w:id="121" w:name="OLE_LINK30"/>
      <w:bookmarkStart w:id="122" w:name="OLE_LINK1"/>
      <w:bookmarkStart w:id="123" w:name="_Toc988992"/>
    </w:p>
    <w:p w:rsidR="00605DE4" w:rsidRPr="00672DC8" w:rsidRDefault="006D45C3" w:rsidP="00605DE4">
      <w:pPr>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 xml:space="preserve">           </w:t>
      </w:r>
    </w:p>
    <w:p w:rsidR="00605DE4" w:rsidRPr="00672DC8" w:rsidRDefault="00605DE4" w:rsidP="00605DE4">
      <w:pPr>
        <w:rPr>
          <w:rFonts w:ascii="Times New Roman" w:eastAsia="宋体" w:hAnsi="Times New Roman" w:cs="Times New Roman"/>
          <w:sz w:val="18"/>
          <w:szCs w:val="18"/>
        </w:rPr>
      </w:pPr>
      <w:r w:rsidRPr="00672DC8">
        <w:rPr>
          <w:rFonts w:ascii="Times New Roman" w:eastAsia="宋体" w:hAnsi="Times New Roman" w:cs="Times New Roman"/>
          <w:sz w:val="18"/>
          <w:szCs w:val="18"/>
        </w:rPr>
        <w:t>法定代表人：</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林明玲</w:t>
      </w:r>
      <w:r w:rsidRPr="00672DC8">
        <w:rPr>
          <w:rFonts w:ascii="Times New Roman" w:eastAsia="宋体" w:hAnsi="Times New Roman" w:cs="Times New Roman"/>
          <w:sz w:val="18"/>
          <w:szCs w:val="18"/>
        </w:rPr>
        <w:t xml:space="preserve">                 </w:t>
      </w:r>
      <w:r w:rsidR="00754A02"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00754A02"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bookmarkStart w:id="124" w:name="OLE_LINK4"/>
      <w:bookmarkStart w:id="125" w:name="OLE_LINK5"/>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bookmarkEnd w:id="124"/>
      <w:bookmarkEnd w:id="125"/>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赖宏伟</w:t>
      </w:r>
    </w:p>
    <w:bookmarkEnd w:id="120"/>
    <w:bookmarkEnd w:id="121"/>
    <w:bookmarkEnd w:id="122"/>
    <w:p w:rsidR="003D2BA8" w:rsidRPr="00672DC8" w:rsidRDefault="000C0769">
      <w:pPr>
        <w:pStyle w:val="3"/>
        <w:spacing w:line="280" w:lineRule="exact"/>
        <w:jc w:val="left"/>
        <w:rPr>
          <w:rFonts w:ascii="Times New Roman" w:hAnsi="Times New Roman" w:cs="Times New Roman"/>
          <w:b/>
          <w:bCs/>
        </w:rPr>
      </w:pPr>
      <w:r w:rsidRPr="00672DC8">
        <w:rPr>
          <w:rFonts w:ascii="Times New Roman" w:hAnsi="Times New Roman" w:cs="Times New Roman"/>
          <w:b/>
          <w:bCs/>
        </w:rPr>
        <w:t>8</w:t>
      </w:r>
      <w:r w:rsidRPr="00672DC8">
        <w:rPr>
          <w:rFonts w:ascii="Times New Roman" w:hAnsi="Times New Roman" w:cs="Times New Roman"/>
          <w:b/>
          <w:bCs/>
        </w:rPr>
        <w:t>、母公司所有者权益变动表</w:t>
      </w:r>
      <w:bookmarkEnd w:id="123"/>
      <w:r w:rsidR="00754A02" w:rsidRPr="00672DC8">
        <w:rPr>
          <w:rFonts w:ascii="Times New Roman" w:hAnsi="Times New Roman" w:cs="Times New Roman"/>
          <w:b/>
          <w:bCs/>
        </w:rPr>
        <w:t xml:space="preserve">      </w:t>
      </w:r>
      <w:r w:rsidR="006D45C3">
        <w:rPr>
          <w:rFonts w:ascii="Times New Roman" w:hAnsi="Times New Roman" w:cs="Times New Roman"/>
          <w:b/>
          <w:bCs/>
        </w:rPr>
        <w:t xml:space="preserve"> </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本期金额</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15452" w:type="dxa"/>
        <w:tblInd w:w="-88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2893"/>
        <w:gridCol w:w="1251"/>
        <w:gridCol w:w="635"/>
        <w:gridCol w:w="635"/>
        <w:gridCol w:w="515"/>
        <w:gridCol w:w="1341"/>
        <w:gridCol w:w="1251"/>
        <w:gridCol w:w="1203"/>
        <w:gridCol w:w="754"/>
        <w:gridCol w:w="1251"/>
        <w:gridCol w:w="1341"/>
        <w:gridCol w:w="515"/>
        <w:gridCol w:w="1867"/>
      </w:tblGrid>
      <w:tr w:rsidR="003D2BA8" w:rsidRPr="00672DC8" w:rsidTr="00540E4A">
        <w:trPr>
          <w:trHeight w:val="240"/>
          <w:tblHeader/>
        </w:trPr>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3010" w:type="dxa"/>
            <w:gridSpan w:val="1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年半年度</w:t>
            </w:r>
          </w:p>
        </w:tc>
      </w:tr>
      <w:tr w:rsidR="00A05DA6" w:rsidRPr="00672DC8" w:rsidTr="00540E4A">
        <w:trPr>
          <w:trHeight w:val="240"/>
          <w:tblHeader/>
        </w:trPr>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0" w:type="auto"/>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86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r>
      <w:tr w:rsidR="00A05DA6" w:rsidRPr="00672DC8" w:rsidTr="00540E4A">
        <w:trPr>
          <w:trHeight w:val="240"/>
          <w:tblHeader/>
        </w:trPr>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优先股</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86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一、上年年末余额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605,387,759.48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100,436,470.67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749,619,148.41</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加：会计政策变更</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前期差错更正</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二、本年期初余额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605,387,759.48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100,436,470.67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749,619,148.41</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三、本期增减变动金额（减少以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-20,567,545.55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5,100,486.55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10,829,205.00</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（一）综合收益总额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8,381,919.55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8,381,919.55</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（二）所有者投入和减少资本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5,728,718.45</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．所有者投入的普通股</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．其他权益工具持有者投入资本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．股份支付计入所有者权益的金额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（三）利润分配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．提取盈余公积</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．对所有者（或股东）的分配</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（四）所有者权益内部结转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．资本公积转增资本（或股本）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．盈余公积转增资本（或股本）</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．盈余公积弥补亏损</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．设定受益计划变动额结转留存收益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．其他综合收益结转留存收益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（五）专项储备</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．本期提取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w:t>
            </w:r>
            <w:r w:rsidRPr="00672DC8">
              <w:rPr>
                <w:rFonts w:ascii="Times New Roman" w:eastAsia="宋体" w:hAnsi="Times New Roman" w:cs="Times New Roman"/>
                <w:sz w:val="18"/>
                <w:szCs w:val="18"/>
              </w:rPr>
              <w:t>．本期使用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（六）其他</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A05DA6" w:rsidRPr="00672DC8" w:rsidTr="00A05DA6">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四、本期期末余额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584,820,213.93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105,536,957.22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86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760,448,353.41</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上期金额</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15452" w:type="dxa"/>
        <w:tblInd w:w="-88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954"/>
        <w:gridCol w:w="1275"/>
        <w:gridCol w:w="615"/>
        <w:gridCol w:w="684"/>
        <w:gridCol w:w="396"/>
        <w:gridCol w:w="1341"/>
        <w:gridCol w:w="1251"/>
        <w:gridCol w:w="1124"/>
        <w:gridCol w:w="851"/>
        <w:gridCol w:w="1275"/>
        <w:gridCol w:w="1418"/>
        <w:gridCol w:w="567"/>
        <w:gridCol w:w="1701"/>
      </w:tblGrid>
      <w:tr w:rsidR="003D2BA8" w:rsidRPr="00672DC8" w:rsidTr="0001417E">
        <w:trPr>
          <w:trHeight w:val="240"/>
          <w:tblHeader/>
        </w:trPr>
        <w:tc>
          <w:tcPr>
            <w:tcW w:w="2954"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2498" w:type="dxa"/>
            <w:gridSpan w:val="1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年半年度</w:t>
            </w:r>
          </w:p>
        </w:tc>
      </w:tr>
      <w:tr w:rsidR="00897F29" w:rsidRPr="00672DC8" w:rsidTr="0001417E">
        <w:trPr>
          <w:trHeight w:val="240"/>
          <w:tblHeader/>
        </w:trPr>
        <w:tc>
          <w:tcPr>
            <w:tcW w:w="2954"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7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股本</w:t>
            </w:r>
          </w:p>
        </w:tc>
        <w:tc>
          <w:tcPr>
            <w:tcW w:w="1695"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w:t>
            </w:r>
          </w:p>
        </w:tc>
        <w:tc>
          <w:tcPr>
            <w:tcW w:w="13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资本公积</w:t>
            </w:r>
          </w:p>
        </w:tc>
        <w:tc>
          <w:tcPr>
            <w:tcW w:w="125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减：库存股</w:t>
            </w:r>
          </w:p>
        </w:tc>
        <w:tc>
          <w:tcPr>
            <w:tcW w:w="1124"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w:t>
            </w:r>
          </w:p>
        </w:tc>
        <w:tc>
          <w:tcPr>
            <w:tcW w:w="85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专项储备</w:t>
            </w:r>
          </w:p>
        </w:tc>
        <w:tc>
          <w:tcPr>
            <w:tcW w:w="127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盈余公积</w:t>
            </w:r>
          </w:p>
        </w:tc>
        <w:tc>
          <w:tcPr>
            <w:tcW w:w="141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未分配利润</w:t>
            </w:r>
          </w:p>
        </w:tc>
        <w:tc>
          <w:tcPr>
            <w:tcW w:w="56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70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所有者权益合计</w:t>
            </w:r>
          </w:p>
        </w:tc>
      </w:tr>
      <w:tr w:rsidR="00897F29" w:rsidRPr="00672DC8" w:rsidTr="0001417E">
        <w:trPr>
          <w:trHeight w:val="240"/>
          <w:tblHeader/>
        </w:trPr>
        <w:tc>
          <w:tcPr>
            <w:tcW w:w="2954"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75"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1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优先股</w:t>
            </w:r>
          </w:p>
        </w:tc>
        <w:tc>
          <w:tcPr>
            <w:tcW w:w="68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永续债</w:t>
            </w:r>
          </w:p>
        </w:tc>
        <w:tc>
          <w:tcPr>
            <w:tcW w:w="39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25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124"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51"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275"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41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6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70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一、上年年末余额</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597,836,882.58</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52,740,572.07</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102,082,956.33</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739,923,397.17</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加：会计政策变更</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前期差错更正</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二、本年期初余额</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597,836,882.58</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52,740,572.07</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102,082,956.33</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739,923,397.17</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三、本期增减变动金额（减少以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3,866,949.62</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9,525,268.07</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（一）综合收益总额</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3,841,349.62</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3,841,349.62</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（二）所有者投入和减少资本</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5,658,318.45</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．所有者投入的普通股</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．其他权益工具持有者投入资本</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．股份支付计入所有者权益的金额</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．其他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（三）利润分配</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．提取盈余公积</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w:t>
            </w:r>
            <w:r w:rsidRPr="00672DC8">
              <w:rPr>
                <w:rFonts w:ascii="Times New Roman" w:eastAsia="宋体" w:hAnsi="Times New Roman" w:cs="Times New Roman"/>
                <w:sz w:val="18"/>
                <w:szCs w:val="18"/>
              </w:rPr>
              <w:t>．对所有者（或股东）的分配</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．其他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（四）所有者权益内部结转</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．资本公积转增资本（或股本）</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．盈余公积转增资本（或股本）</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．盈余公积弥补亏损</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．设定受益计划变动额结转留存收益</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．其他综合收益结转留存收益</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．其他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（五）专项储备</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．本期提取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．本期使用</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（六）其他</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897F29" w:rsidRPr="00672DC8" w:rsidTr="00E04392">
        <w:trPr>
          <w:trHeight w:val="240"/>
        </w:trPr>
        <w:tc>
          <w:tcPr>
            <w:tcW w:w="295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四、本期期末余额</w:t>
            </w: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67,108,800.00</w:t>
            </w:r>
          </w:p>
        </w:tc>
        <w:tc>
          <w:tcPr>
            <w:tcW w:w="61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84"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9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603,520,801.03</w:t>
            </w:r>
          </w:p>
        </w:tc>
        <w:tc>
          <w:tcPr>
            <w:tcW w:w="125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i/>
                <w:sz w:val="18"/>
                <w:szCs w:val="18"/>
              </w:rPr>
              <w:t>5</w:t>
            </w:r>
            <w:r w:rsidRPr="00672DC8">
              <w:rPr>
                <w:rFonts w:ascii="Times New Roman" w:eastAsia="宋体" w:hAnsi="Times New Roman" w:cs="Times New Roman"/>
                <w:sz w:val="18"/>
                <w:szCs w:val="18"/>
              </w:rPr>
              <w:t>2,766,172.07</w:t>
            </w:r>
          </w:p>
        </w:tc>
        <w:tc>
          <w:tcPr>
            <w:tcW w:w="1124"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85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7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141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105,949,905.95</w:t>
            </w:r>
          </w:p>
        </w:tc>
        <w:tc>
          <w:tcPr>
            <w:tcW w:w="56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70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749,448,665.24</w:t>
            </w:r>
          </w:p>
        </w:tc>
      </w:tr>
    </w:tbl>
    <w:p w:rsidR="00934010" w:rsidRPr="00672DC8" w:rsidRDefault="00934010" w:rsidP="00934010">
      <w:pPr>
        <w:rPr>
          <w:rFonts w:ascii="Times New Roman" w:eastAsiaTheme="majorEastAsia" w:hAnsi="Times New Roman" w:cs="Times New Roman"/>
          <w:sz w:val="18"/>
          <w:szCs w:val="18"/>
        </w:rPr>
      </w:pPr>
      <w:bookmarkStart w:id="126" w:name="_Toc988993"/>
    </w:p>
    <w:p w:rsidR="00934010" w:rsidRPr="00672DC8" w:rsidRDefault="00934010" w:rsidP="00934010">
      <w:pPr>
        <w:rPr>
          <w:rFonts w:ascii="Times New Roman" w:eastAsia="宋体" w:hAnsi="Times New Roman" w:cs="Times New Roman"/>
          <w:sz w:val="18"/>
          <w:szCs w:val="18"/>
        </w:rPr>
      </w:pPr>
    </w:p>
    <w:p w:rsidR="00934010" w:rsidRPr="00672DC8" w:rsidRDefault="00934010" w:rsidP="00934010">
      <w:pPr>
        <w:rPr>
          <w:rFonts w:ascii="Times New Roman" w:eastAsia="宋体" w:hAnsi="Times New Roman" w:cs="Times New Roman"/>
          <w:sz w:val="18"/>
          <w:szCs w:val="18"/>
        </w:rPr>
      </w:pPr>
      <w:r w:rsidRPr="00672DC8">
        <w:rPr>
          <w:rFonts w:ascii="Times New Roman" w:eastAsia="宋体" w:hAnsi="Times New Roman" w:cs="Times New Roman"/>
          <w:sz w:val="18"/>
          <w:szCs w:val="18"/>
        </w:rPr>
        <w:t>法定代表人：</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林明玲</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主管会计工作负责人：陈焕盛</w:t>
      </w:r>
      <w:r w:rsidRPr="00672DC8">
        <w:rPr>
          <w:rFonts w:ascii="Times New Roman" w:eastAsia="宋体" w:hAnsi="Times New Roman" w:cs="Times New Roman"/>
          <w:sz w:val="18"/>
          <w:szCs w:val="18"/>
        </w:rPr>
        <w:t xml:space="preserve">                  </w:t>
      </w:r>
      <w:r w:rsidR="006D45C3">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会计机构负责人：</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赖宏伟</w:t>
      </w:r>
    </w:p>
    <w:p w:rsidR="00D71CD2" w:rsidRPr="00672DC8" w:rsidRDefault="00D71CD2">
      <w:pPr>
        <w:pStyle w:val="2"/>
        <w:spacing w:before="300" w:after="300" w:line="320" w:lineRule="exact"/>
        <w:rPr>
          <w:rFonts w:ascii="Times New Roman" w:eastAsia="宋体" w:hAnsi="Times New Roman" w:cs="Times New Roman"/>
          <w:b/>
          <w:bCs/>
          <w:sz w:val="24"/>
          <w:szCs w:val="24"/>
        </w:rPr>
        <w:sectPr w:rsidR="00D71CD2" w:rsidRPr="00672DC8" w:rsidSect="00D71CD2">
          <w:pgSz w:w="16840" w:h="11905" w:orient="landscape"/>
          <w:pgMar w:top="1134" w:right="1440" w:bottom="1134" w:left="1440" w:header="850" w:footer="992" w:gutter="0"/>
          <w:cols w:space="720"/>
          <w:docGrid w:type="linesAndChars" w:linePitch="312"/>
        </w:sectPr>
      </w:pPr>
    </w:p>
    <w:p w:rsidR="003D2BA8" w:rsidRPr="00672DC8" w:rsidRDefault="000C0769">
      <w:pPr>
        <w:pStyle w:val="2"/>
        <w:spacing w:before="300" w:after="300" w:line="320" w:lineRule="exact"/>
        <w:rPr>
          <w:rFonts w:ascii="Times New Roman" w:eastAsia="宋体" w:hAnsi="Times New Roman" w:cs="Times New Roman"/>
          <w:b/>
          <w:bCs/>
          <w:sz w:val="24"/>
          <w:szCs w:val="24"/>
        </w:rPr>
      </w:pPr>
      <w:r w:rsidRPr="00672DC8">
        <w:rPr>
          <w:rFonts w:ascii="Times New Roman" w:eastAsia="宋体" w:hAnsi="Times New Roman" w:cs="Times New Roman"/>
          <w:b/>
          <w:bCs/>
          <w:sz w:val="24"/>
          <w:szCs w:val="24"/>
        </w:rPr>
        <w:lastRenderedPageBreak/>
        <w:t>三、公司基本情况</w:t>
      </w:r>
      <w:bookmarkEnd w:id="126"/>
    </w:p>
    <w:p w:rsidR="000C0769" w:rsidRPr="00672DC8" w:rsidRDefault="000C0769">
      <w:pPr>
        <w:pStyle w:val="a3"/>
        <w:spacing w:before="0" w:beforeAutospacing="0" w:after="0" w:afterAutospacing="0" w:line="360" w:lineRule="auto"/>
        <w:ind w:firstLine="422"/>
        <w:jc w:val="both"/>
        <w:divId w:val="1653482314"/>
        <w:rPr>
          <w:rFonts w:ascii="Times New Roman" w:hAnsi="Times New Roman" w:cs="Times New Roman"/>
          <w:sz w:val="21"/>
          <w:szCs w:val="21"/>
        </w:rPr>
      </w:pPr>
      <w:r w:rsidRPr="00672DC8">
        <w:rPr>
          <w:rStyle w:val="a4"/>
          <w:rFonts w:ascii="Times New Roman" w:hAnsi="Times New Roman" w:cs="Times New Roman"/>
          <w:sz w:val="21"/>
          <w:szCs w:val="21"/>
        </w:rPr>
        <w:t>1.1</w:t>
      </w:r>
      <w:r w:rsidRPr="00672DC8">
        <w:rPr>
          <w:rStyle w:val="a4"/>
          <w:rFonts w:ascii="Times New Roman" w:hAnsi="Times New Roman" w:cs="Times New Roman"/>
          <w:sz w:val="21"/>
          <w:szCs w:val="21"/>
        </w:rPr>
        <w:t>公司概况</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广东天亿马信息产业股份有限公司（以下简称</w:t>
      </w:r>
      <w:r w:rsidRPr="00672DC8">
        <w:rPr>
          <w:rFonts w:ascii="Times New Roman" w:hAnsi="Times New Roman" w:cs="Times New Roman"/>
          <w:sz w:val="21"/>
          <w:szCs w:val="21"/>
        </w:rPr>
        <w:t>“</w:t>
      </w:r>
      <w:r w:rsidRPr="00672DC8">
        <w:rPr>
          <w:rFonts w:ascii="Times New Roman" w:hAnsi="Times New Roman" w:cs="Times New Roman"/>
          <w:sz w:val="21"/>
          <w:szCs w:val="21"/>
        </w:rPr>
        <w:t>本公司</w:t>
      </w:r>
      <w:r w:rsidRPr="00672DC8">
        <w:rPr>
          <w:rFonts w:ascii="Times New Roman" w:hAnsi="Times New Roman" w:cs="Times New Roman"/>
          <w:sz w:val="21"/>
          <w:szCs w:val="21"/>
        </w:rPr>
        <w:t>”</w:t>
      </w:r>
      <w:r w:rsidRPr="00672DC8">
        <w:rPr>
          <w:rFonts w:ascii="Times New Roman" w:hAnsi="Times New Roman" w:cs="Times New Roman"/>
          <w:sz w:val="21"/>
          <w:szCs w:val="21"/>
        </w:rPr>
        <w:t>或</w:t>
      </w:r>
      <w:r w:rsidRPr="00672DC8">
        <w:rPr>
          <w:rFonts w:ascii="Times New Roman" w:hAnsi="Times New Roman" w:cs="Times New Roman"/>
          <w:sz w:val="21"/>
          <w:szCs w:val="21"/>
        </w:rPr>
        <w:t>“</w:t>
      </w:r>
      <w:r w:rsidRPr="00672DC8">
        <w:rPr>
          <w:rFonts w:ascii="Times New Roman" w:hAnsi="Times New Roman" w:cs="Times New Roman"/>
          <w:sz w:val="21"/>
          <w:szCs w:val="21"/>
        </w:rPr>
        <w:t>公司</w:t>
      </w:r>
      <w:r w:rsidRPr="00672DC8">
        <w:rPr>
          <w:rFonts w:ascii="Times New Roman" w:hAnsi="Times New Roman" w:cs="Times New Roman"/>
          <w:sz w:val="21"/>
          <w:szCs w:val="21"/>
        </w:rPr>
        <w:t>”</w:t>
      </w:r>
      <w:r w:rsidRPr="00672DC8">
        <w:rPr>
          <w:rFonts w:ascii="Times New Roman" w:hAnsi="Times New Roman" w:cs="Times New Roman"/>
          <w:sz w:val="21"/>
          <w:szCs w:val="21"/>
        </w:rPr>
        <w:t>）</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系在广东天亿马信息产业有限公司的基础上整体变更设立，于</w:t>
      </w:r>
      <w:r w:rsidRPr="00672DC8">
        <w:rPr>
          <w:rFonts w:ascii="Times New Roman" w:hAnsi="Times New Roman" w:cs="Times New Roman"/>
          <w:sz w:val="21"/>
          <w:szCs w:val="21"/>
        </w:rPr>
        <w:t>2015</w:t>
      </w:r>
      <w:r w:rsidRPr="00672DC8">
        <w:rPr>
          <w:rFonts w:ascii="Times New Roman" w:hAnsi="Times New Roman" w:cs="Times New Roman"/>
          <w:sz w:val="21"/>
          <w:szCs w:val="21"/>
        </w:rPr>
        <w:t>年</w:t>
      </w:r>
      <w:r w:rsidRPr="00672DC8">
        <w:rPr>
          <w:rFonts w:ascii="Times New Roman" w:hAnsi="Times New Roman" w:cs="Times New Roman"/>
          <w:sz w:val="21"/>
          <w:szCs w:val="21"/>
        </w:rPr>
        <w:t>8</w:t>
      </w:r>
      <w:r w:rsidRPr="00672DC8">
        <w:rPr>
          <w:rFonts w:ascii="Times New Roman" w:hAnsi="Times New Roman" w:cs="Times New Roman"/>
          <w:sz w:val="21"/>
          <w:szCs w:val="21"/>
        </w:rPr>
        <w:t>月</w:t>
      </w:r>
      <w:r w:rsidRPr="00672DC8">
        <w:rPr>
          <w:rFonts w:ascii="Times New Roman" w:hAnsi="Times New Roman" w:cs="Times New Roman"/>
          <w:sz w:val="21"/>
          <w:szCs w:val="21"/>
        </w:rPr>
        <w:t>28</w:t>
      </w:r>
      <w:r w:rsidRPr="00672DC8">
        <w:rPr>
          <w:rFonts w:ascii="Times New Roman" w:hAnsi="Times New Roman" w:cs="Times New Roman"/>
          <w:sz w:val="21"/>
          <w:szCs w:val="21"/>
        </w:rPr>
        <w:t>日在汕头市市场监督管理局登记注册，取得统一社会信用代码</w:t>
      </w:r>
      <w:r w:rsidRPr="00672DC8">
        <w:rPr>
          <w:rFonts w:ascii="Times New Roman" w:hAnsi="Times New Roman" w:cs="Times New Roman"/>
          <w:sz w:val="21"/>
          <w:szCs w:val="21"/>
        </w:rPr>
        <w:t>914405007080295548</w:t>
      </w:r>
      <w:r w:rsidRPr="00672DC8">
        <w:rPr>
          <w:rFonts w:ascii="Times New Roman" w:hAnsi="Times New Roman" w:cs="Times New Roman"/>
          <w:sz w:val="21"/>
          <w:szCs w:val="21"/>
        </w:rPr>
        <w:t>的营业执照，登记的注册资本为人民币</w:t>
      </w:r>
      <w:r w:rsidRPr="00672DC8">
        <w:rPr>
          <w:rFonts w:ascii="Times New Roman" w:hAnsi="Times New Roman" w:cs="Times New Roman"/>
          <w:sz w:val="21"/>
          <w:szCs w:val="21"/>
        </w:rPr>
        <w:t>2,231.1111</w:t>
      </w:r>
      <w:r w:rsidRPr="00672DC8">
        <w:rPr>
          <w:rFonts w:ascii="Times New Roman" w:hAnsi="Times New Roman" w:cs="Times New Roman"/>
          <w:sz w:val="21"/>
          <w:szCs w:val="21"/>
        </w:rPr>
        <w:t>万元。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2021</w:t>
      </w:r>
      <w:r w:rsidRPr="00672DC8">
        <w:rPr>
          <w:rFonts w:ascii="Times New Roman" w:hAnsi="Times New Roman" w:cs="Times New Roman"/>
          <w:sz w:val="21"/>
          <w:szCs w:val="21"/>
        </w:rPr>
        <w:t>年</w:t>
      </w:r>
      <w:r w:rsidRPr="00672DC8">
        <w:rPr>
          <w:rFonts w:ascii="Times New Roman" w:hAnsi="Times New Roman" w:cs="Times New Roman"/>
          <w:sz w:val="21"/>
          <w:szCs w:val="21"/>
        </w:rPr>
        <w:t>9</w:t>
      </w:r>
      <w:r w:rsidRPr="00672DC8">
        <w:rPr>
          <w:rFonts w:ascii="Times New Roman" w:hAnsi="Times New Roman" w:cs="Times New Roman"/>
          <w:sz w:val="21"/>
          <w:szCs w:val="21"/>
        </w:rPr>
        <w:t>月，经中国证券监督管理委员会《关于同意广东天亿马信息产业股份有限公司首次公开发行股票注册的批复》（证监许可</w:t>
      </w:r>
      <w:r w:rsidRPr="00672DC8">
        <w:rPr>
          <w:rFonts w:ascii="Times New Roman" w:hAnsi="Times New Roman" w:cs="Times New Roman"/>
          <w:sz w:val="21"/>
          <w:szCs w:val="21"/>
        </w:rPr>
        <w:t>[2021]2937</w:t>
      </w:r>
      <w:r w:rsidRPr="00672DC8">
        <w:rPr>
          <w:rFonts w:ascii="Times New Roman" w:hAnsi="Times New Roman" w:cs="Times New Roman"/>
          <w:sz w:val="21"/>
          <w:szCs w:val="21"/>
        </w:rPr>
        <w:t>号文）核准，公司于</w:t>
      </w:r>
      <w:r w:rsidRPr="00672DC8">
        <w:rPr>
          <w:rFonts w:ascii="Times New Roman" w:hAnsi="Times New Roman" w:cs="Times New Roman"/>
          <w:sz w:val="21"/>
          <w:szCs w:val="21"/>
        </w:rPr>
        <w:t>2021</w:t>
      </w:r>
      <w:r w:rsidRPr="00672DC8">
        <w:rPr>
          <w:rFonts w:ascii="Times New Roman" w:hAnsi="Times New Roman" w:cs="Times New Roman"/>
          <w:sz w:val="21"/>
          <w:szCs w:val="21"/>
        </w:rPr>
        <w:t>年</w:t>
      </w:r>
      <w:r w:rsidRPr="00672DC8">
        <w:rPr>
          <w:rFonts w:ascii="Times New Roman" w:hAnsi="Times New Roman" w:cs="Times New Roman"/>
          <w:sz w:val="21"/>
          <w:szCs w:val="21"/>
        </w:rPr>
        <w:t>11</w:t>
      </w:r>
      <w:r w:rsidRPr="00672DC8">
        <w:rPr>
          <w:rFonts w:ascii="Times New Roman" w:hAnsi="Times New Roman" w:cs="Times New Roman"/>
          <w:sz w:val="21"/>
          <w:szCs w:val="21"/>
        </w:rPr>
        <w:t>月</w:t>
      </w:r>
      <w:r w:rsidRPr="00672DC8">
        <w:rPr>
          <w:rFonts w:ascii="Times New Roman" w:hAnsi="Times New Roman" w:cs="Times New Roman"/>
          <w:sz w:val="21"/>
          <w:szCs w:val="21"/>
        </w:rPr>
        <w:t>1</w:t>
      </w:r>
      <w:r w:rsidRPr="00672DC8">
        <w:rPr>
          <w:rFonts w:ascii="Times New Roman" w:hAnsi="Times New Roman" w:cs="Times New Roman"/>
          <w:sz w:val="21"/>
          <w:szCs w:val="21"/>
        </w:rPr>
        <w:t>日采用网上定价方式公开发行人民币普通股（</w:t>
      </w:r>
      <w:r w:rsidRPr="00672DC8">
        <w:rPr>
          <w:rFonts w:ascii="Times New Roman" w:hAnsi="Times New Roman" w:cs="Times New Roman"/>
          <w:sz w:val="21"/>
          <w:szCs w:val="21"/>
        </w:rPr>
        <w:t>A</w:t>
      </w:r>
      <w:r w:rsidRPr="00672DC8">
        <w:rPr>
          <w:rFonts w:ascii="Times New Roman" w:hAnsi="Times New Roman" w:cs="Times New Roman"/>
          <w:sz w:val="21"/>
          <w:szCs w:val="21"/>
        </w:rPr>
        <w:t>股）</w:t>
      </w:r>
      <w:r w:rsidRPr="00672DC8">
        <w:rPr>
          <w:rFonts w:ascii="Times New Roman" w:hAnsi="Times New Roman" w:cs="Times New Roman"/>
          <w:sz w:val="21"/>
          <w:szCs w:val="21"/>
        </w:rPr>
        <w:t>1,177.80</w:t>
      </w:r>
      <w:r w:rsidRPr="00672DC8">
        <w:rPr>
          <w:rFonts w:ascii="Times New Roman" w:hAnsi="Times New Roman" w:cs="Times New Roman"/>
          <w:sz w:val="21"/>
          <w:szCs w:val="21"/>
        </w:rPr>
        <w:t>万股，变更后公司注册资本为</w:t>
      </w:r>
      <w:r w:rsidRPr="00672DC8">
        <w:rPr>
          <w:rFonts w:ascii="Times New Roman" w:hAnsi="Times New Roman" w:cs="Times New Roman"/>
          <w:sz w:val="21"/>
          <w:szCs w:val="21"/>
        </w:rPr>
        <w:t>4,711.20</w:t>
      </w:r>
      <w:r w:rsidRPr="00672DC8">
        <w:rPr>
          <w:rFonts w:ascii="Times New Roman" w:hAnsi="Times New Roman" w:cs="Times New Roman"/>
          <w:sz w:val="21"/>
          <w:szCs w:val="21"/>
        </w:rPr>
        <w:t>万元。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2022</w:t>
      </w:r>
      <w:r w:rsidRPr="00672DC8">
        <w:rPr>
          <w:rFonts w:ascii="Times New Roman" w:hAnsi="Times New Roman" w:cs="Times New Roman"/>
          <w:sz w:val="21"/>
          <w:szCs w:val="21"/>
        </w:rPr>
        <w:t>年</w:t>
      </w:r>
      <w:r w:rsidRPr="00672DC8">
        <w:rPr>
          <w:rFonts w:ascii="Times New Roman" w:hAnsi="Times New Roman" w:cs="Times New Roman"/>
          <w:sz w:val="21"/>
          <w:szCs w:val="21"/>
        </w:rPr>
        <w:t>5</w:t>
      </w:r>
      <w:r w:rsidRPr="00672DC8">
        <w:rPr>
          <w:rFonts w:ascii="Times New Roman" w:hAnsi="Times New Roman" w:cs="Times New Roman"/>
          <w:sz w:val="21"/>
          <w:szCs w:val="21"/>
        </w:rPr>
        <w:t>月，经公司</w:t>
      </w:r>
      <w:r w:rsidRPr="00672DC8">
        <w:rPr>
          <w:rFonts w:ascii="Times New Roman" w:hAnsi="Times New Roman" w:cs="Times New Roman"/>
          <w:sz w:val="21"/>
          <w:szCs w:val="21"/>
        </w:rPr>
        <w:t>2021</w:t>
      </w:r>
      <w:r w:rsidRPr="00672DC8">
        <w:rPr>
          <w:rFonts w:ascii="Times New Roman" w:hAnsi="Times New Roman" w:cs="Times New Roman"/>
          <w:sz w:val="21"/>
          <w:szCs w:val="21"/>
        </w:rPr>
        <w:t>年年度股东大会批准，以资本公积金向全体股东每</w:t>
      </w:r>
      <w:r w:rsidRPr="00672DC8">
        <w:rPr>
          <w:rFonts w:ascii="Times New Roman" w:hAnsi="Times New Roman" w:cs="Times New Roman"/>
          <w:sz w:val="21"/>
          <w:szCs w:val="21"/>
        </w:rPr>
        <w:t>10</w:t>
      </w:r>
      <w:r w:rsidRPr="00672DC8">
        <w:rPr>
          <w:rFonts w:ascii="Times New Roman" w:hAnsi="Times New Roman" w:cs="Times New Roman"/>
          <w:sz w:val="21"/>
          <w:szCs w:val="21"/>
        </w:rPr>
        <w:t>股转增</w:t>
      </w:r>
      <w:r w:rsidRPr="00672DC8">
        <w:rPr>
          <w:rFonts w:ascii="Times New Roman" w:hAnsi="Times New Roman" w:cs="Times New Roman"/>
          <w:sz w:val="21"/>
          <w:szCs w:val="21"/>
        </w:rPr>
        <w:t>4</w:t>
      </w:r>
      <w:r w:rsidRPr="00672DC8">
        <w:rPr>
          <w:rFonts w:ascii="Times New Roman" w:hAnsi="Times New Roman" w:cs="Times New Roman"/>
          <w:sz w:val="21"/>
          <w:szCs w:val="21"/>
        </w:rPr>
        <w:t>股，共计转增</w:t>
      </w:r>
      <w:r w:rsidRPr="00672DC8">
        <w:rPr>
          <w:rFonts w:ascii="Times New Roman" w:hAnsi="Times New Roman" w:cs="Times New Roman"/>
          <w:sz w:val="21"/>
          <w:szCs w:val="21"/>
        </w:rPr>
        <w:t>18,844,800</w:t>
      </w:r>
      <w:r w:rsidRPr="00672DC8">
        <w:rPr>
          <w:rFonts w:ascii="Times New Roman" w:hAnsi="Times New Roman" w:cs="Times New Roman"/>
          <w:sz w:val="21"/>
          <w:szCs w:val="21"/>
        </w:rPr>
        <w:t>股，转增后公司总股本为</w:t>
      </w:r>
      <w:r w:rsidRPr="00672DC8">
        <w:rPr>
          <w:rFonts w:ascii="Times New Roman" w:hAnsi="Times New Roman" w:cs="Times New Roman"/>
          <w:sz w:val="21"/>
          <w:szCs w:val="21"/>
        </w:rPr>
        <w:t>65,956,800</w:t>
      </w:r>
      <w:r w:rsidRPr="00672DC8">
        <w:rPr>
          <w:rFonts w:ascii="Times New Roman" w:hAnsi="Times New Roman" w:cs="Times New Roman"/>
          <w:sz w:val="21"/>
          <w:szCs w:val="21"/>
        </w:rPr>
        <w:t>股。</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2023</w:t>
      </w:r>
      <w:r w:rsidRPr="00672DC8">
        <w:rPr>
          <w:rFonts w:ascii="Times New Roman" w:hAnsi="Times New Roman" w:cs="Times New Roman"/>
          <w:sz w:val="21"/>
          <w:szCs w:val="21"/>
        </w:rPr>
        <w:t>年</w:t>
      </w:r>
      <w:r w:rsidRPr="00672DC8">
        <w:rPr>
          <w:rFonts w:ascii="Times New Roman" w:hAnsi="Times New Roman" w:cs="Times New Roman"/>
          <w:sz w:val="21"/>
          <w:szCs w:val="21"/>
        </w:rPr>
        <w:t>9</w:t>
      </w:r>
      <w:r w:rsidRPr="00672DC8">
        <w:rPr>
          <w:rFonts w:ascii="Times New Roman" w:hAnsi="Times New Roman" w:cs="Times New Roman"/>
          <w:sz w:val="21"/>
          <w:szCs w:val="21"/>
        </w:rPr>
        <w:t>月，经公司</w:t>
      </w:r>
      <w:r w:rsidRPr="00672DC8">
        <w:rPr>
          <w:rFonts w:ascii="Times New Roman" w:hAnsi="Times New Roman" w:cs="Times New Roman"/>
          <w:sz w:val="21"/>
          <w:szCs w:val="21"/>
        </w:rPr>
        <w:t>2023</w:t>
      </w:r>
      <w:r w:rsidRPr="00672DC8">
        <w:rPr>
          <w:rFonts w:ascii="Times New Roman" w:hAnsi="Times New Roman" w:cs="Times New Roman"/>
          <w:sz w:val="21"/>
          <w:szCs w:val="21"/>
        </w:rPr>
        <w:t>年第四次临时股东大会决议批准，公司实施限制性股票激励计划，</w:t>
      </w:r>
      <w:r w:rsidRPr="00672DC8">
        <w:rPr>
          <w:rFonts w:ascii="Times New Roman" w:hAnsi="Times New Roman" w:cs="Times New Roman"/>
          <w:sz w:val="21"/>
          <w:szCs w:val="21"/>
        </w:rPr>
        <w:t>2023</w:t>
      </w:r>
      <w:r w:rsidRPr="00672DC8">
        <w:rPr>
          <w:rFonts w:ascii="Times New Roman" w:hAnsi="Times New Roman" w:cs="Times New Roman"/>
          <w:sz w:val="21"/>
          <w:szCs w:val="21"/>
        </w:rPr>
        <w:t>年</w:t>
      </w:r>
      <w:r w:rsidRPr="00672DC8">
        <w:rPr>
          <w:rFonts w:ascii="Times New Roman" w:hAnsi="Times New Roman" w:cs="Times New Roman"/>
          <w:sz w:val="21"/>
          <w:szCs w:val="21"/>
        </w:rPr>
        <w:t>10</w:t>
      </w:r>
      <w:r w:rsidRPr="00672DC8">
        <w:rPr>
          <w:rFonts w:ascii="Times New Roman" w:hAnsi="Times New Roman" w:cs="Times New Roman"/>
          <w:sz w:val="21"/>
          <w:szCs w:val="21"/>
        </w:rPr>
        <w:t>月，公司收到首次授予的激励对象出资，公司注册资本变更为</w:t>
      </w:r>
      <w:r w:rsidRPr="00672DC8">
        <w:rPr>
          <w:rFonts w:ascii="Times New Roman" w:hAnsi="Times New Roman" w:cs="Times New Roman"/>
          <w:sz w:val="21"/>
          <w:szCs w:val="21"/>
        </w:rPr>
        <w:t>6,723.68</w:t>
      </w:r>
      <w:r w:rsidRPr="00672DC8">
        <w:rPr>
          <w:rFonts w:ascii="Times New Roman" w:hAnsi="Times New Roman" w:cs="Times New Roman"/>
          <w:sz w:val="21"/>
          <w:szCs w:val="21"/>
        </w:rPr>
        <w:t>万元。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2024</w:t>
      </w:r>
      <w:r w:rsidRPr="00672DC8">
        <w:rPr>
          <w:rFonts w:ascii="Times New Roman" w:hAnsi="Times New Roman" w:cs="Times New Roman"/>
          <w:sz w:val="21"/>
          <w:szCs w:val="21"/>
        </w:rPr>
        <w:t>年</w:t>
      </w:r>
      <w:r w:rsidRPr="00672DC8">
        <w:rPr>
          <w:rFonts w:ascii="Times New Roman" w:hAnsi="Times New Roman" w:cs="Times New Roman"/>
          <w:sz w:val="21"/>
          <w:szCs w:val="21"/>
        </w:rPr>
        <w:t>9</w:t>
      </w:r>
      <w:r w:rsidRPr="00672DC8">
        <w:rPr>
          <w:rFonts w:ascii="Times New Roman" w:hAnsi="Times New Roman" w:cs="Times New Roman"/>
          <w:sz w:val="21"/>
          <w:szCs w:val="21"/>
        </w:rPr>
        <w:t>月，经公司</w:t>
      </w:r>
      <w:r w:rsidRPr="00672DC8">
        <w:rPr>
          <w:rFonts w:ascii="Times New Roman" w:hAnsi="Times New Roman" w:cs="Times New Roman"/>
          <w:sz w:val="21"/>
          <w:szCs w:val="21"/>
        </w:rPr>
        <w:t>2024</w:t>
      </w:r>
      <w:r w:rsidRPr="00672DC8">
        <w:rPr>
          <w:rFonts w:ascii="Times New Roman" w:hAnsi="Times New Roman" w:cs="Times New Roman"/>
          <w:sz w:val="21"/>
          <w:szCs w:val="21"/>
        </w:rPr>
        <w:t>年第三次临时股东会议以及第三届董事会第二十四次会议决议，因公司层面</w:t>
      </w:r>
      <w:r w:rsidRPr="00672DC8">
        <w:rPr>
          <w:rFonts w:ascii="Times New Roman" w:hAnsi="Times New Roman" w:cs="Times New Roman"/>
          <w:sz w:val="21"/>
          <w:szCs w:val="21"/>
        </w:rPr>
        <w:t>2023</w:t>
      </w:r>
      <w:r w:rsidRPr="00672DC8">
        <w:rPr>
          <w:rFonts w:ascii="Times New Roman" w:hAnsi="Times New Roman" w:cs="Times New Roman"/>
          <w:sz w:val="21"/>
          <w:szCs w:val="21"/>
        </w:rPr>
        <w:t>年业绩考核未达标，同意回购并注销首次授予林明玲、马学沛</w:t>
      </w:r>
      <w:r w:rsidRPr="00672DC8">
        <w:rPr>
          <w:rFonts w:ascii="Times New Roman" w:hAnsi="Times New Roman" w:cs="Times New Roman"/>
          <w:sz w:val="21"/>
          <w:szCs w:val="21"/>
        </w:rPr>
        <w:t>2</w:t>
      </w:r>
      <w:r w:rsidRPr="00672DC8">
        <w:rPr>
          <w:rFonts w:ascii="Times New Roman" w:hAnsi="Times New Roman" w:cs="Times New Roman"/>
          <w:sz w:val="21"/>
          <w:szCs w:val="21"/>
        </w:rPr>
        <w:t>名激励对象对应当年已获授但尚未解除限售的第一类限制性股票合计</w:t>
      </w:r>
      <w:r w:rsidRPr="00672DC8">
        <w:rPr>
          <w:rFonts w:ascii="Times New Roman" w:hAnsi="Times New Roman" w:cs="Times New Roman"/>
          <w:sz w:val="21"/>
          <w:szCs w:val="21"/>
        </w:rPr>
        <w:t>128,000</w:t>
      </w:r>
      <w:r w:rsidRPr="00672DC8">
        <w:rPr>
          <w:rFonts w:ascii="Times New Roman" w:hAnsi="Times New Roman" w:cs="Times New Roman"/>
          <w:sz w:val="21"/>
          <w:szCs w:val="21"/>
        </w:rPr>
        <w:t>股，每股面值</w:t>
      </w:r>
      <w:r w:rsidRPr="00672DC8">
        <w:rPr>
          <w:rFonts w:ascii="Times New Roman" w:hAnsi="Times New Roman" w:cs="Times New Roman"/>
          <w:sz w:val="21"/>
          <w:szCs w:val="21"/>
        </w:rPr>
        <w:t>1</w:t>
      </w:r>
      <w:r w:rsidRPr="00672DC8">
        <w:rPr>
          <w:rFonts w:ascii="Times New Roman" w:hAnsi="Times New Roman" w:cs="Times New Roman"/>
          <w:sz w:val="21"/>
          <w:szCs w:val="21"/>
        </w:rPr>
        <w:t>元，回购价格为</w:t>
      </w:r>
      <w:r w:rsidRPr="00672DC8">
        <w:rPr>
          <w:rFonts w:ascii="Times New Roman" w:hAnsi="Times New Roman" w:cs="Times New Roman"/>
          <w:sz w:val="21"/>
          <w:szCs w:val="21"/>
        </w:rPr>
        <w:t>15.81</w:t>
      </w:r>
      <w:r w:rsidRPr="00672DC8">
        <w:rPr>
          <w:rFonts w:ascii="Times New Roman" w:hAnsi="Times New Roman" w:cs="Times New Roman"/>
          <w:sz w:val="21"/>
          <w:szCs w:val="21"/>
        </w:rPr>
        <w:t>元</w:t>
      </w:r>
      <w:r w:rsidRPr="00672DC8">
        <w:rPr>
          <w:rFonts w:ascii="Times New Roman" w:hAnsi="Times New Roman" w:cs="Times New Roman"/>
          <w:sz w:val="21"/>
          <w:szCs w:val="21"/>
        </w:rPr>
        <w:t>/</w:t>
      </w:r>
      <w:r w:rsidRPr="00672DC8">
        <w:rPr>
          <w:rFonts w:ascii="Times New Roman" w:hAnsi="Times New Roman" w:cs="Times New Roman"/>
          <w:sz w:val="21"/>
          <w:szCs w:val="21"/>
        </w:rPr>
        <w:t>股加上中国人民银行同期存款利息之和，公司减少注册资本人民币</w:t>
      </w:r>
      <w:r w:rsidRPr="00672DC8">
        <w:rPr>
          <w:rFonts w:ascii="Times New Roman" w:hAnsi="Times New Roman" w:cs="Times New Roman"/>
          <w:sz w:val="21"/>
          <w:szCs w:val="21"/>
        </w:rPr>
        <w:t>128,000.00</w:t>
      </w:r>
      <w:r w:rsidRPr="00672DC8">
        <w:rPr>
          <w:rFonts w:ascii="Times New Roman" w:hAnsi="Times New Roman" w:cs="Times New Roman"/>
          <w:sz w:val="21"/>
          <w:szCs w:val="21"/>
        </w:rPr>
        <w:t>元，变更后注册资本为人民币</w:t>
      </w:r>
      <w:r w:rsidRPr="00672DC8">
        <w:rPr>
          <w:rFonts w:ascii="Times New Roman" w:hAnsi="Times New Roman" w:cs="Times New Roman"/>
          <w:sz w:val="21"/>
          <w:szCs w:val="21"/>
        </w:rPr>
        <w:t>6,710.88</w:t>
      </w:r>
      <w:r w:rsidRPr="00672DC8">
        <w:rPr>
          <w:rFonts w:ascii="Times New Roman" w:hAnsi="Times New Roman" w:cs="Times New Roman"/>
          <w:sz w:val="21"/>
          <w:szCs w:val="21"/>
        </w:rPr>
        <w:t>万元。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2025</w:t>
      </w:r>
      <w:r w:rsidRPr="00672DC8">
        <w:rPr>
          <w:rFonts w:ascii="Times New Roman" w:hAnsi="Times New Roman" w:cs="Times New Roman"/>
          <w:sz w:val="21"/>
          <w:szCs w:val="21"/>
        </w:rPr>
        <w:t>年</w:t>
      </w:r>
      <w:r w:rsidRPr="00672DC8">
        <w:rPr>
          <w:rFonts w:ascii="Times New Roman" w:hAnsi="Times New Roman" w:cs="Times New Roman"/>
          <w:sz w:val="21"/>
          <w:szCs w:val="21"/>
        </w:rPr>
        <w:t>5</w:t>
      </w:r>
      <w:r w:rsidRPr="00672DC8">
        <w:rPr>
          <w:rFonts w:ascii="Times New Roman" w:hAnsi="Times New Roman" w:cs="Times New Roman"/>
          <w:sz w:val="21"/>
          <w:szCs w:val="21"/>
        </w:rPr>
        <w:t>月，经公司</w:t>
      </w:r>
      <w:r w:rsidRPr="00672DC8">
        <w:rPr>
          <w:rFonts w:ascii="Times New Roman" w:hAnsi="Times New Roman" w:cs="Times New Roman"/>
          <w:sz w:val="21"/>
          <w:szCs w:val="21"/>
        </w:rPr>
        <w:t>2024</w:t>
      </w:r>
      <w:r w:rsidRPr="00672DC8">
        <w:rPr>
          <w:rFonts w:ascii="Times New Roman" w:hAnsi="Times New Roman" w:cs="Times New Roman"/>
          <w:sz w:val="21"/>
          <w:szCs w:val="21"/>
        </w:rPr>
        <w:t>年年度股东会审议通过了《关于回购注销部分已授予但尚未解除限售的限制性股票的议案。本次回购注销完成后，公司股份总数将由</w:t>
      </w:r>
      <w:r w:rsidRPr="00672DC8">
        <w:rPr>
          <w:rFonts w:ascii="Times New Roman" w:hAnsi="Times New Roman" w:cs="Times New Roman"/>
          <w:sz w:val="21"/>
          <w:szCs w:val="21"/>
        </w:rPr>
        <w:t xml:space="preserve">67,108,800 </w:t>
      </w:r>
      <w:r w:rsidRPr="00672DC8">
        <w:rPr>
          <w:rFonts w:ascii="Times New Roman" w:hAnsi="Times New Roman" w:cs="Times New Roman"/>
          <w:sz w:val="21"/>
          <w:szCs w:val="21"/>
        </w:rPr>
        <w:t>股变更为</w:t>
      </w:r>
      <w:r w:rsidRPr="00672DC8">
        <w:rPr>
          <w:rFonts w:ascii="Times New Roman" w:hAnsi="Times New Roman" w:cs="Times New Roman"/>
          <w:sz w:val="21"/>
          <w:szCs w:val="21"/>
        </w:rPr>
        <w:t xml:space="preserve"> 66,852,800 </w:t>
      </w:r>
      <w:r w:rsidRPr="00672DC8">
        <w:rPr>
          <w:rFonts w:ascii="Times New Roman" w:hAnsi="Times New Roman" w:cs="Times New Roman"/>
          <w:sz w:val="21"/>
          <w:szCs w:val="21"/>
        </w:rPr>
        <w:t>股，注册资本将由</w:t>
      </w:r>
      <w:r w:rsidRPr="00672DC8">
        <w:rPr>
          <w:rFonts w:ascii="Times New Roman" w:hAnsi="Times New Roman" w:cs="Times New Roman"/>
          <w:sz w:val="21"/>
          <w:szCs w:val="21"/>
        </w:rPr>
        <w:t>67,108,800</w:t>
      </w:r>
      <w:r w:rsidRPr="00672DC8">
        <w:rPr>
          <w:rFonts w:ascii="Times New Roman" w:hAnsi="Times New Roman" w:cs="Times New Roman"/>
          <w:sz w:val="21"/>
          <w:szCs w:val="21"/>
        </w:rPr>
        <w:t>元减少至</w:t>
      </w:r>
      <w:r w:rsidRPr="00672DC8">
        <w:rPr>
          <w:rFonts w:ascii="Times New Roman" w:hAnsi="Times New Roman" w:cs="Times New Roman"/>
          <w:sz w:val="21"/>
          <w:szCs w:val="21"/>
        </w:rPr>
        <w:t>66,852,800</w:t>
      </w:r>
      <w:r w:rsidRPr="00672DC8">
        <w:rPr>
          <w:rFonts w:ascii="Times New Roman" w:hAnsi="Times New Roman" w:cs="Times New Roman"/>
          <w:sz w:val="21"/>
          <w:szCs w:val="21"/>
        </w:rPr>
        <w:t>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月，根据</w:t>
      </w:r>
      <w:r w:rsidRPr="00672DC8">
        <w:rPr>
          <w:rFonts w:ascii="Times New Roman" w:hAnsi="Times New Roman" w:cs="Times New Roman"/>
          <w:sz w:val="21"/>
          <w:szCs w:val="21"/>
        </w:rPr>
        <w:t>2025</w:t>
      </w:r>
      <w:r w:rsidRPr="00672DC8">
        <w:rPr>
          <w:rFonts w:ascii="Times New Roman" w:hAnsi="Times New Roman" w:cs="Times New Roman"/>
          <w:sz w:val="21"/>
          <w:szCs w:val="21"/>
        </w:rPr>
        <w:t>年年度权益分派实施结果，公司注册资本由</w:t>
      </w:r>
      <w:r w:rsidRPr="00672DC8">
        <w:rPr>
          <w:rFonts w:ascii="Times New Roman" w:hAnsi="Times New Roman" w:cs="Times New Roman"/>
          <w:sz w:val="21"/>
          <w:szCs w:val="21"/>
        </w:rPr>
        <w:t>66,852,800</w:t>
      </w:r>
      <w:r w:rsidRPr="00672DC8">
        <w:rPr>
          <w:rFonts w:ascii="Times New Roman" w:hAnsi="Times New Roman" w:cs="Times New Roman"/>
          <w:sz w:val="21"/>
          <w:szCs w:val="21"/>
        </w:rPr>
        <w:t>元增加至</w:t>
      </w:r>
      <w:r w:rsidRPr="00672DC8">
        <w:rPr>
          <w:rFonts w:ascii="Times New Roman" w:hAnsi="Times New Roman" w:cs="Times New Roman"/>
          <w:sz w:val="21"/>
          <w:szCs w:val="21"/>
        </w:rPr>
        <w:t>93,104,264</w:t>
      </w:r>
      <w:r w:rsidRPr="00672DC8">
        <w:rPr>
          <w:rFonts w:ascii="Times New Roman" w:hAnsi="Times New Roman" w:cs="Times New Roman"/>
          <w:sz w:val="21"/>
          <w:szCs w:val="21"/>
        </w:rPr>
        <w:t>元。</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rPr>
      </w:pP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7</w:t>
      </w:r>
      <w:r w:rsidRPr="00672DC8">
        <w:rPr>
          <w:rFonts w:ascii="Times New Roman" w:hAnsi="Times New Roman" w:cs="Times New Roman"/>
          <w:sz w:val="21"/>
          <w:szCs w:val="21"/>
        </w:rPr>
        <w:t>月，经公司</w:t>
      </w:r>
      <w:r w:rsidRPr="00672DC8">
        <w:rPr>
          <w:rFonts w:ascii="Times New Roman" w:hAnsi="Times New Roman" w:cs="Times New Roman"/>
          <w:sz w:val="21"/>
          <w:szCs w:val="21"/>
        </w:rPr>
        <w:t>2026</w:t>
      </w:r>
      <w:r w:rsidRPr="00672DC8">
        <w:rPr>
          <w:rFonts w:ascii="Times New Roman" w:hAnsi="Times New Roman" w:cs="Times New Roman"/>
          <w:sz w:val="21"/>
          <w:szCs w:val="21"/>
        </w:rPr>
        <w:t>年第三次临时股东会审议通过，公司变更注册地址、注册资本。</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公司法人代表：林明玲</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公司注册地址：汕头市海滨路</w:t>
      </w:r>
      <w:r w:rsidRPr="00672DC8">
        <w:rPr>
          <w:rFonts w:ascii="Times New Roman" w:hAnsi="Times New Roman" w:cs="Times New Roman"/>
          <w:sz w:val="21"/>
          <w:szCs w:val="21"/>
        </w:rPr>
        <w:t>55</w:t>
      </w:r>
      <w:r w:rsidRPr="00672DC8">
        <w:rPr>
          <w:rFonts w:ascii="Times New Roman" w:hAnsi="Times New Roman" w:cs="Times New Roman"/>
          <w:sz w:val="21"/>
          <w:szCs w:val="21"/>
        </w:rPr>
        <w:t>号海逸投资大厦</w:t>
      </w:r>
      <w:r w:rsidRPr="00672DC8">
        <w:rPr>
          <w:rFonts w:ascii="Times New Roman" w:hAnsi="Times New Roman" w:cs="Times New Roman"/>
          <w:sz w:val="21"/>
          <w:szCs w:val="21"/>
        </w:rPr>
        <w:t>5</w:t>
      </w:r>
      <w:r w:rsidRPr="00672DC8">
        <w:rPr>
          <w:rFonts w:ascii="Times New Roman" w:hAnsi="Times New Roman" w:cs="Times New Roman"/>
          <w:sz w:val="21"/>
          <w:szCs w:val="21"/>
        </w:rPr>
        <w:t>层。</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本公司及子公司的业务性质和主要经营活动：公司所处行业为软件和信息技术服务业；提供的主要产品为计算机软件开发，计算机及信息化配套产品的研发，计算机信息系统集成及服务等。</w:t>
      </w:r>
    </w:p>
    <w:p w:rsidR="000C0769" w:rsidRPr="00672DC8" w:rsidRDefault="000C0769">
      <w:pPr>
        <w:pStyle w:val="a3"/>
        <w:spacing w:before="0" w:beforeAutospacing="0" w:after="0" w:afterAutospacing="0" w:line="360" w:lineRule="auto"/>
        <w:ind w:firstLine="420"/>
        <w:jc w:val="both"/>
        <w:divId w:val="1653482314"/>
        <w:rPr>
          <w:rFonts w:ascii="Times New Roman" w:hAnsi="Times New Roman" w:cs="Times New Roman"/>
          <w:sz w:val="21"/>
          <w:szCs w:val="21"/>
        </w:rPr>
      </w:pPr>
      <w:r w:rsidRPr="00672DC8">
        <w:rPr>
          <w:rFonts w:ascii="Times New Roman" w:hAnsi="Times New Roman" w:cs="Times New Roman"/>
          <w:sz w:val="21"/>
          <w:szCs w:val="21"/>
        </w:rPr>
        <w:t>本财务报表业经本公司董事会于</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8</w:t>
      </w:r>
      <w:r w:rsidRPr="00672DC8">
        <w:rPr>
          <w:rFonts w:ascii="Times New Roman" w:hAnsi="Times New Roman" w:cs="Times New Roman"/>
          <w:sz w:val="21"/>
          <w:szCs w:val="21"/>
        </w:rPr>
        <w:t>月</w:t>
      </w:r>
      <w:r w:rsidRPr="00672DC8">
        <w:rPr>
          <w:rFonts w:ascii="Times New Roman" w:hAnsi="Times New Roman" w:cs="Times New Roman"/>
          <w:sz w:val="21"/>
          <w:szCs w:val="21"/>
        </w:rPr>
        <w:t>28</w:t>
      </w:r>
      <w:r w:rsidRPr="00672DC8">
        <w:rPr>
          <w:rFonts w:ascii="Times New Roman" w:hAnsi="Times New Roman" w:cs="Times New Roman"/>
          <w:sz w:val="21"/>
          <w:szCs w:val="21"/>
        </w:rPr>
        <w:t>日决议批准报出。</w:t>
      </w:r>
      <w:r w:rsidRPr="00672DC8">
        <w:rPr>
          <w:rFonts w:ascii="Times New Roman" w:hAnsi="Times New Roman" w:cs="Times New Roman"/>
          <w:sz w:val="21"/>
          <w:szCs w:val="21"/>
        </w:rPr>
        <w:t> </w:t>
      </w:r>
    </w:p>
    <w:p w:rsidR="000C0769" w:rsidRPr="00672DC8" w:rsidRDefault="000C0769">
      <w:pPr>
        <w:pStyle w:val="a3"/>
        <w:spacing w:before="0" w:beforeAutospacing="0" w:after="0" w:afterAutospacing="0" w:line="360" w:lineRule="auto"/>
        <w:ind w:firstLine="422"/>
        <w:jc w:val="both"/>
        <w:divId w:val="1653482314"/>
        <w:rPr>
          <w:rFonts w:ascii="Times New Roman" w:hAnsi="Times New Roman" w:cs="Times New Roman"/>
          <w:sz w:val="21"/>
          <w:szCs w:val="21"/>
        </w:rPr>
      </w:pPr>
      <w:r w:rsidRPr="00672DC8">
        <w:rPr>
          <w:rStyle w:val="a4"/>
          <w:rFonts w:ascii="Times New Roman" w:hAnsi="Times New Roman" w:cs="Times New Roman"/>
          <w:sz w:val="21"/>
          <w:szCs w:val="21"/>
        </w:rPr>
        <w:t>1.2</w:t>
      </w:r>
      <w:r w:rsidRPr="00672DC8">
        <w:rPr>
          <w:rStyle w:val="a4"/>
          <w:rFonts w:ascii="Times New Roman" w:hAnsi="Times New Roman" w:cs="Times New Roman"/>
          <w:sz w:val="21"/>
          <w:szCs w:val="21"/>
        </w:rPr>
        <w:t>合并财务报表范围及其变化情况</w:t>
      </w:r>
    </w:p>
    <w:p w:rsidR="000C0769" w:rsidRPr="00672DC8" w:rsidRDefault="000C0769" w:rsidP="005D4C38">
      <w:pPr>
        <w:pStyle w:val="a3"/>
        <w:spacing w:before="0" w:beforeAutospacing="0" w:after="0" w:afterAutospacing="0" w:line="360" w:lineRule="auto"/>
        <w:ind w:firstLine="420"/>
        <w:jc w:val="both"/>
        <w:divId w:val="1653482314"/>
        <w:rPr>
          <w:rFonts w:ascii="Times New Roman" w:hAnsi="Times New Roman" w:cs="Times New Roman"/>
          <w:sz w:val="18"/>
          <w:szCs w:val="18"/>
        </w:rPr>
      </w:pPr>
      <w:r w:rsidRPr="00672DC8">
        <w:rPr>
          <w:rFonts w:ascii="Times New Roman" w:hAnsi="Times New Roman" w:cs="Times New Roman"/>
          <w:sz w:val="21"/>
          <w:szCs w:val="21"/>
        </w:rPr>
        <w:lastRenderedPageBreak/>
        <w:t>本公司报告期纳入合并范围的子公司详见附注</w:t>
      </w:r>
      <w:r w:rsidRPr="00672DC8">
        <w:rPr>
          <w:rFonts w:ascii="Times New Roman" w:hAnsi="Times New Roman" w:cs="Times New Roman"/>
          <w:sz w:val="21"/>
          <w:szCs w:val="21"/>
        </w:rPr>
        <w:t>“</w:t>
      </w:r>
      <w:r w:rsidRPr="00672DC8">
        <w:rPr>
          <w:rFonts w:ascii="Times New Roman" w:hAnsi="Times New Roman" w:cs="Times New Roman"/>
          <w:sz w:val="21"/>
          <w:szCs w:val="21"/>
        </w:rPr>
        <w:t>十、在其他主体中的权益</w:t>
      </w:r>
      <w:r w:rsidRPr="00672DC8">
        <w:rPr>
          <w:rFonts w:ascii="Times New Roman" w:hAnsi="Times New Roman" w:cs="Times New Roman"/>
          <w:sz w:val="21"/>
          <w:szCs w:val="21"/>
        </w:rPr>
        <w:t>”</w:t>
      </w:r>
      <w:r w:rsidRPr="00672DC8">
        <w:rPr>
          <w:rFonts w:ascii="Times New Roman" w:hAnsi="Times New Roman" w:cs="Times New Roman"/>
          <w:sz w:val="21"/>
          <w:szCs w:val="21"/>
        </w:rPr>
        <w:t>。本公司报告期合并范围变更详见附注</w:t>
      </w:r>
      <w:r w:rsidRPr="00672DC8">
        <w:rPr>
          <w:rFonts w:ascii="Times New Roman" w:hAnsi="Times New Roman" w:cs="Times New Roman"/>
          <w:sz w:val="21"/>
          <w:szCs w:val="21"/>
        </w:rPr>
        <w:t>“</w:t>
      </w:r>
      <w:r w:rsidRPr="00672DC8">
        <w:rPr>
          <w:rFonts w:ascii="Times New Roman" w:hAnsi="Times New Roman" w:cs="Times New Roman"/>
          <w:sz w:val="21"/>
          <w:szCs w:val="21"/>
        </w:rPr>
        <w:t>九、合并范围的变更</w:t>
      </w:r>
      <w:r w:rsidRPr="00672DC8">
        <w:rPr>
          <w:rFonts w:ascii="Times New Roman" w:hAnsi="Times New Roman" w:cs="Times New Roman"/>
          <w:sz w:val="21"/>
          <w:szCs w:val="21"/>
        </w:rPr>
        <w:t>”</w:t>
      </w:r>
      <w:r w:rsidRPr="00672DC8">
        <w:rPr>
          <w:rFonts w:ascii="Times New Roman" w:hAnsi="Times New Roman" w:cs="Times New Roman"/>
          <w:sz w:val="21"/>
          <w:szCs w:val="21"/>
        </w:rPr>
        <w:t>。</w:t>
      </w:r>
      <w:r w:rsidRPr="00672DC8">
        <w:rPr>
          <w:rFonts w:ascii="Times New Roman" w:hAnsi="Times New Roman" w:cs="Times New Roman"/>
          <w:sz w:val="18"/>
          <w:szCs w:val="18"/>
        </w:rPr>
        <w:t>   </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27" w:name="_Toc988994"/>
      <w:r w:rsidRPr="00672DC8">
        <w:rPr>
          <w:rFonts w:ascii="Times New Roman" w:eastAsia="宋体" w:hAnsi="Times New Roman" w:cs="Times New Roman"/>
          <w:b/>
          <w:bCs/>
          <w:sz w:val="24"/>
          <w:szCs w:val="24"/>
        </w:rPr>
        <w:t>四、财务报表的编制基础</w:t>
      </w:r>
      <w:bookmarkEnd w:id="127"/>
    </w:p>
    <w:p w:rsidR="003D2BA8" w:rsidRPr="00672DC8" w:rsidRDefault="000C0769">
      <w:pPr>
        <w:pStyle w:val="3"/>
        <w:spacing w:line="280" w:lineRule="exact"/>
        <w:jc w:val="left"/>
        <w:rPr>
          <w:rFonts w:ascii="Times New Roman" w:hAnsi="Times New Roman" w:cs="Times New Roman"/>
          <w:b/>
          <w:bCs/>
        </w:rPr>
      </w:pPr>
      <w:bookmarkStart w:id="128" w:name="_Toc988995"/>
      <w:r w:rsidRPr="00672DC8">
        <w:rPr>
          <w:rFonts w:ascii="Times New Roman" w:hAnsi="Times New Roman" w:cs="Times New Roman"/>
          <w:b/>
          <w:bCs/>
        </w:rPr>
        <w:t>1</w:t>
      </w:r>
      <w:r w:rsidRPr="00672DC8">
        <w:rPr>
          <w:rFonts w:ascii="Times New Roman" w:hAnsi="Times New Roman" w:cs="Times New Roman"/>
          <w:b/>
          <w:bCs/>
        </w:rPr>
        <w:t>、编制基础</w:t>
      </w:r>
      <w:bookmarkEnd w:id="128"/>
    </w:p>
    <w:p w:rsidR="000C0769" w:rsidRPr="00672DC8" w:rsidRDefault="000C0769">
      <w:pPr>
        <w:pStyle w:val="a3"/>
        <w:spacing w:before="0" w:beforeAutospacing="0" w:after="0" w:afterAutospacing="0" w:line="360" w:lineRule="auto"/>
        <w:ind w:firstLine="420"/>
        <w:jc w:val="both"/>
        <w:divId w:val="1474520797"/>
        <w:rPr>
          <w:rFonts w:ascii="Times New Roman" w:hAnsi="Times New Roman" w:cs="Times New Roman"/>
          <w:sz w:val="21"/>
          <w:szCs w:val="21"/>
        </w:rPr>
      </w:pPr>
      <w:r w:rsidRPr="00672DC8">
        <w:rPr>
          <w:rFonts w:ascii="Times New Roman" w:hAnsi="Times New Roman" w:cs="Times New Roman"/>
          <w:sz w:val="21"/>
          <w:szCs w:val="21"/>
        </w:rPr>
        <w:t>本公司财务报表以持续经营假设为基础，根据实际发生的交易和事项，按照财政部发布的《企业会计准则</w:t>
      </w:r>
      <w:r w:rsidRPr="00672DC8">
        <w:rPr>
          <w:rFonts w:ascii="Times New Roman" w:hAnsi="Times New Roman" w:cs="Times New Roman"/>
          <w:sz w:val="21"/>
          <w:szCs w:val="21"/>
        </w:rPr>
        <w:t>——</w:t>
      </w:r>
      <w:r w:rsidRPr="00672DC8">
        <w:rPr>
          <w:rFonts w:ascii="Times New Roman" w:hAnsi="Times New Roman" w:cs="Times New Roman"/>
          <w:sz w:val="21"/>
          <w:szCs w:val="21"/>
        </w:rPr>
        <w:t>基本准则》（财政部令第</w:t>
      </w:r>
      <w:r w:rsidRPr="00672DC8">
        <w:rPr>
          <w:rFonts w:ascii="Times New Roman" w:hAnsi="Times New Roman" w:cs="Times New Roman"/>
          <w:sz w:val="21"/>
          <w:szCs w:val="21"/>
        </w:rPr>
        <w:t>33</w:t>
      </w:r>
      <w:r w:rsidRPr="00672DC8">
        <w:rPr>
          <w:rFonts w:ascii="Times New Roman" w:hAnsi="Times New Roman" w:cs="Times New Roman"/>
          <w:sz w:val="21"/>
          <w:szCs w:val="21"/>
        </w:rPr>
        <w:t>号发布、财政部令第</w:t>
      </w:r>
      <w:r w:rsidRPr="00672DC8">
        <w:rPr>
          <w:rFonts w:ascii="Times New Roman" w:hAnsi="Times New Roman" w:cs="Times New Roman"/>
          <w:sz w:val="21"/>
          <w:szCs w:val="21"/>
        </w:rPr>
        <w:t>76</w:t>
      </w:r>
      <w:r w:rsidRPr="00672DC8">
        <w:rPr>
          <w:rFonts w:ascii="Times New Roman" w:hAnsi="Times New Roman" w:cs="Times New Roman"/>
          <w:sz w:val="21"/>
          <w:szCs w:val="21"/>
        </w:rPr>
        <w:t>号修订）、于</w:t>
      </w:r>
      <w:r w:rsidRPr="00672DC8">
        <w:rPr>
          <w:rFonts w:ascii="Times New Roman" w:hAnsi="Times New Roman" w:cs="Times New Roman"/>
          <w:sz w:val="21"/>
          <w:szCs w:val="21"/>
        </w:rPr>
        <w:t>2006</w:t>
      </w:r>
      <w:r w:rsidRPr="00672DC8">
        <w:rPr>
          <w:rFonts w:ascii="Times New Roman" w:hAnsi="Times New Roman" w:cs="Times New Roman"/>
          <w:sz w:val="21"/>
          <w:szCs w:val="21"/>
        </w:rPr>
        <w:t>年</w:t>
      </w:r>
      <w:r w:rsidRPr="00672DC8">
        <w:rPr>
          <w:rFonts w:ascii="Times New Roman" w:hAnsi="Times New Roman" w:cs="Times New Roman"/>
          <w:sz w:val="21"/>
          <w:szCs w:val="21"/>
        </w:rPr>
        <w:t>2</w:t>
      </w:r>
      <w:r w:rsidRPr="00672DC8">
        <w:rPr>
          <w:rFonts w:ascii="Times New Roman" w:hAnsi="Times New Roman" w:cs="Times New Roman"/>
          <w:sz w:val="21"/>
          <w:szCs w:val="21"/>
        </w:rPr>
        <w:t>月</w:t>
      </w:r>
      <w:r w:rsidRPr="00672DC8">
        <w:rPr>
          <w:rFonts w:ascii="Times New Roman" w:hAnsi="Times New Roman" w:cs="Times New Roman"/>
          <w:sz w:val="21"/>
          <w:szCs w:val="21"/>
        </w:rPr>
        <w:t>15</w:t>
      </w:r>
      <w:r w:rsidRPr="00672DC8">
        <w:rPr>
          <w:rFonts w:ascii="Times New Roman" w:hAnsi="Times New Roman" w:cs="Times New Roman"/>
          <w:sz w:val="21"/>
          <w:szCs w:val="21"/>
        </w:rPr>
        <w:t>日及其后颁布和修订的</w:t>
      </w:r>
      <w:r w:rsidRPr="00672DC8">
        <w:rPr>
          <w:rFonts w:ascii="Times New Roman" w:hAnsi="Times New Roman" w:cs="Times New Roman"/>
          <w:sz w:val="21"/>
          <w:szCs w:val="21"/>
        </w:rPr>
        <w:t>41</w:t>
      </w:r>
      <w:r w:rsidRPr="00672DC8">
        <w:rPr>
          <w:rFonts w:ascii="Times New Roman" w:hAnsi="Times New Roman" w:cs="Times New Roman"/>
          <w:sz w:val="21"/>
          <w:szCs w:val="21"/>
        </w:rPr>
        <w:t>项具体会计准则、企业会计准则应用指南、企业会计准则解释及其他相关规定（以下合称</w:t>
      </w:r>
      <w:r w:rsidRPr="00672DC8">
        <w:rPr>
          <w:rFonts w:ascii="Times New Roman" w:hAnsi="Times New Roman" w:cs="Times New Roman"/>
          <w:sz w:val="21"/>
          <w:szCs w:val="21"/>
        </w:rPr>
        <w:t>“</w:t>
      </w:r>
      <w:r w:rsidRPr="00672DC8">
        <w:rPr>
          <w:rFonts w:ascii="Times New Roman" w:hAnsi="Times New Roman" w:cs="Times New Roman"/>
          <w:sz w:val="21"/>
          <w:szCs w:val="21"/>
        </w:rPr>
        <w:t>企业会计准则</w:t>
      </w:r>
      <w:r w:rsidRPr="00672DC8">
        <w:rPr>
          <w:rFonts w:ascii="Times New Roman" w:hAnsi="Times New Roman" w:cs="Times New Roman"/>
          <w:sz w:val="21"/>
          <w:szCs w:val="21"/>
        </w:rPr>
        <w:t>”</w:t>
      </w:r>
      <w:r w:rsidRPr="00672DC8">
        <w:rPr>
          <w:rFonts w:ascii="Times New Roman" w:hAnsi="Times New Roman" w:cs="Times New Roman"/>
          <w:sz w:val="21"/>
          <w:szCs w:val="21"/>
        </w:rPr>
        <w:t>），以及中国证券监督管理委员会《公开发行证券的公司信息披露编报规则第</w:t>
      </w:r>
      <w:r w:rsidRPr="00672DC8">
        <w:rPr>
          <w:rFonts w:ascii="Times New Roman" w:hAnsi="Times New Roman" w:cs="Times New Roman"/>
          <w:sz w:val="21"/>
          <w:szCs w:val="21"/>
        </w:rPr>
        <w:t>15</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财务报告的一般规定》（</w:t>
      </w:r>
      <w:r w:rsidRPr="00672DC8">
        <w:rPr>
          <w:rFonts w:ascii="Times New Roman" w:hAnsi="Times New Roman" w:cs="Times New Roman"/>
          <w:sz w:val="21"/>
          <w:szCs w:val="21"/>
        </w:rPr>
        <w:t>2023</w:t>
      </w:r>
      <w:r w:rsidRPr="00672DC8">
        <w:rPr>
          <w:rFonts w:ascii="Times New Roman" w:hAnsi="Times New Roman" w:cs="Times New Roman"/>
          <w:sz w:val="21"/>
          <w:szCs w:val="21"/>
        </w:rPr>
        <w:t>年修订）的披露规定编制。</w:t>
      </w:r>
    </w:p>
    <w:p w:rsidR="000C0769" w:rsidRPr="00672DC8" w:rsidRDefault="000C0769">
      <w:pPr>
        <w:pStyle w:val="a3"/>
        <w:spacing w:before="0" w:beforeAutospacing="0" w:after="0" w:afterAutospacing="0" w:line="360" w:lineRule="auto"/>
        <w:ind w:firstLine="420"/>
        <w:jc w:val="both"/>
        <w:divId w:val="1474520797"/>
        <w:rPr>
          <w:rFonts w:ascii="Times New Roman" w:hAnsi="Times New Roman" w:cs="Times New Roman"/>
          <w:sz w:val="21"/>
          <w:szCs w:val="21"/>
        </w:rPr>
      </w:pPr>
      <w:r w:rsidRPr="00672DC8">
        <w:rPr>
          <w:rFonts w:ascii="Times New Roman" w:hAnsi="Times New Roman" w:cs="Times New Roman"/>
          <w:sz w:val="21"/>
          <w:szCs w:val="21"/>
        </w:rPr>
        <w:t>根据企业会计准则的相关规定，本公司会计核算以权责发生制为基础。除某些金融工具外，本财务报表均以历史成本为计量基础。资产如果发生减值，则按照相关规定计提相应的减值准备。</w:t>
      </w:r>
    </w:p>
    <w:p w:rsidR="003D2BA8" w:rsidRPr="00672DC8" w:rsidRDefault="000C0769">
      <w:pPr>
        <w:pStyle w:val="3"/>
        <w:spacing w:line="280" w:lineRule="exact"/>
        <w:jc w:val="left"/>
        <w:rPr>
          <w:rFonts w:ascii="Times New Roman" w:hAnsi="Times New Roman" w:cs="Times New Roman"/>
          <w:b/>
          <w:bCs/>
        </w:rPr>
      </w:pPr>
      <w:bookmarkStart w:id="129" w:name="_Toc988996"/>
      <w:r w:rsidRPr="00672DC8">
        <w:rPr>
          <w:rFonts w:ascii="Times New Roman" w:hAnsi="Times New Roman" w:cs="Times New Roman"/>
          <w:b/>
          <w:bCs/>
        </w:rPr>
        <w:t>2</w:t>
      </w:r>
      <w:r w:rsidRPr="00672DC8">
        <w:rPr>
          <w:rFonts w:ascii="Times New Roman" w:hAnsi="Times New Roman" w:cs="Times New Roman"/>
          <w:b/>
          <w:bCs/>
        </w:rPr>
        <w:t>、持续经营</w:t>
      </w:r>
      <w:bookmarkEnd w:id="129"/>
    </w:p>
    <w:p w:rsidR="000C0769" w:rsidRPr="00672DC8" w:rsidRDefault="000C0769">
      <w:pPr>
        <w:pStyle w:val="a3"/>
        <w:spacing w:before="0" w:beforeAutospacing="0" w:after="0" w:afterAutospacing="0" w:line="360" w:lineRule="auto"/>
        <w:ind w:firstLine="420"/>
        <w:jc w:val="both"/>
        <w:divId w:val="1187905864"/>
        <w:rPr>
          <w:rFonts w:ascii="Times New Roman" w:hAnsi="Times New Roman" w:cs="Times New Roman"/>
          <w:sz w:val="21"/>
          <w:szCs w:val="21"/>
        </w:rPr>
      </w:pPr>
      <w:r w:rsidRPr="00672DC8">
        <w:rPr>
          <w:rFonts w:ascii="Times New Roman" w:hAnsi="Times New Roman" w:cs="Times New Roman"/>
          <w:sz w:val="21"/>
          <w:szCs w:val="21"/>
        </w:rPr>
        <w:t>管理层认为公司自本报告期末起</w:t>
      </w:r>
      <w:r w:rsidRPr="00672DC8">
        <w:rPr>
          <w:rFonts w:ascii="Times New Roman" w:hAnsi="Times New Roman" w:cs="Times New Roman"/>
          <w:sz w:val="21"/>
          <w:szCs w:val="21"/>
        </w:rPr>
        <w:t>12</w:t>
      </w:r>
      <w:r w:rsidRPr="00672DC8">
        <w:rPr>
          <w:rFonts w:ascii="Times New Roman" w:hAnsi="Times New Roman" w:cs="Times New Roman"/>
          <w:sz w:val="21"/>
          <w:szCs w:val="21"/>
        </w:rPr>
        <w:t>个月内的持续经营能力不存在重大不确定性。</w:t>
      </w:r>
    </w:p>
    <w:p w:rsidR="003D2BA8" w:rsidRPr="00672DC8" w:rsidRDefault="000C0769">
      <w:pPr>
        <w:pStyle w:val="2"/>
        <w:spacing w:before="300" w:after="300" w:line="560" w:lineRule="exact"/>
        <w:rPr>
          <w:rFonts w:ascii="Times New Roman" w:eastAsia="宋体" w:hAnsi="Times New Roman" w:cs="Times New Roman"/>
          <w:b/>
          <w:bCs/>
          <w:sz w:val="24"/>
          <w:szCs w:val="24"/>
        </w:rPr>
      </w:pPr>
      <w:bookmarkStart w:id="130" w:name="_Toc988997"/>
      <w:r w:rsidRPr="00672DC8">
        <w:rPr>
          <w:rFonts w:ascii="Times New Roman" w:eastAsia="宋体" w:hAnsi="Times New Roman" w:cs="Times New Roman"/>
          <w:b/>
          <w:bCs/>
          <w:sz w:val="24"/>
          <w:szCs w:val="24"/>
        </w:rPr>
        <w:t>五、重要会计政策及会计估计</w:t>
      </w:r>
      <w:bookmarkEnd w:id="13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具体会计政策和会计估计提示：</w:t>
      </w:r>
    </w:p>
    <w:p w:rsidR="000C0769" w:rsidRPr="00672DC8" w:rsidRDefault="000C0769">
      <w:pPr>
        <w:pStyle w:val="a3"/>
        <w:divId w:val="519198794"/>
        <w:rPr>
          <w:rFonts w:ascii="Times New Roman" w:hAnsi="Times New Roman" w:cs="Times New Roman"/>
          <w:sz w:val="18"/>
          <w:szCs w:val="18"/>
        </w:rPr>
      </w:pPr>
      <w:r w:rsidRPr="00672DC8">
        <w:rPr>
          <w:rFonts w:ascii="Times New Roman" w:hAnsi="Times New Roman" w:cs="Times New Roman"/>
          <w:sz w:val="21"/>
          <w:szCs w:val="21"/>
        </w:rPr>
        <w:t>本公司下列重要会计政策、会计估计根据企业会计准则制定。未提及的业务按企业会计准则中相关会计政策执行。</w:t>
      </w:r>
    </w:p>
    <w:p w:rsidR="003D2BA8" w:rsidRPr="00672DC8" w:rsidRDefault="000C0769">
      <w:pPr>
        <w:pStyle w:val="3"/>
        <w:spacing w:line="280" w:lineRule="exact"/>
        <w:jc w:val="left"/>
        <w:rPr>
          <w:rFonts w:ascii="Times New Roman" w:hAnsi="Times New Roman" w:cs="Times New Roman"/>
          <w:b/>
          <w:bCs/>
        </w:rPr>
      </w:pPr>
      <w:bookmarkStart w:id="131" w:name="_Toc988998"/>
      <w:r w:rsidRPr="00672DC8">
        <w:rPr>
          <w:rFonts w:ascii="Times New Roman" w:hAnsi="Times New Roman" w:cs="Times New Roman"/>
          <w:b/>
          <w:bCs/>
        </w:rPr>
        <w:t>1</w:t>
      </w:r>
      <w:r w:rsidRPr="00672DC8">
        <w:rPr>
          <w:rFonts w:ascii="Times New Roman" w:hAnsi="Times New Roman" w:cs="Times New Roman"/>
          <w:b/>
          <w:bCs/>
        </w:rPr>
        <w:t>、遵循企业会计准则的声明</w:t>
      </w:r>
      <w:bookmarkEnd w:id="131"/>
    </w:p>
    <w:p w:rsidR="000C0769" w:rsidRPr="00672DC8" w:rsidRDefault="000C0769">
      <w:pPr>
        <w:pStyle w:val="a3"/>
        <w:spacing w:before="0" w:beforeAutospacing="0" w:after="0" w:afterAutospacing="0" w:line="360" w:lineRule="auto"/>
        <w:ind w:firstLine="420"/>
        <w:jc w:val="both"/>
        <w:divId w:val="657271814"/>
        <w:rPr>
          <w:rFonts w:ascii="Times New Roman" w:hAnsi="Times New Roman" w:cs="Times New Roman"/>
          <w:sz w:val="21"/>
          <w:szCs w:val="21"/>
        </w:rPr>
      </w:pPr>
      <w:r w:rsidRPr="00672DC8">
        <w:rPr>
          <w:rFonts w:ascii="Times New Roman" w:hAnsi="Times New Roman" w:cs="Times New Roman"/>
          <w:sz w:val="21"/>
          <w:szCs w:val="21"/>
        </w:rPr>
        <w:t>公司所编制的财务报表符合企业会计准则的要求，真实、完整地反映了报告期合并及公司的财务状况、经营成果、股东权益变动和现金流量等有关信息。此外，本公司的财务报表在所有重大方面符合中国证券监督管理委员会</w:t>
      </w:r>
      <w:r w:rsidRPr="00672DC8">
        <w:rPr>
          <w:rFonts w:ascii="Times New Roman" w:hAnsi="Times New Roman" w:cs="Times New Roman"/>
          <w:sz w:val="21"/>
          <w:szCs w:val="21"/>
        </w:rPr>
        <w:t>2023</w:t>
      </w:r>
      <w:r w:rsidRPr="00672DC8">
        <w:rPr>
          <w:rFonts w:ascii="Times New Roman" w:hAnsi="Times New Roman" w:cs="Times New Roman"/>
          <w:sz w:val="21"/>
          <w:szCs w:val="21"/>
        </w:rPr>
        <w:t>年修订的《公开发行证券的公司信息披露编报规则第</w:t>
      </w:r>
      <w:r w:rsidRPr="00672DC8">
        <w:rPr>
          <w:rFonts w:ascii="Times New Roman" w:hAnsi="Times New Roman" w:cs="Times New Roman"/>
          <w:sz w:val="21"/>
          <w:szCs w:val="21"/>
        </w:rPr>
        <w:t>15</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财务报告的一般规定》有关财务报表及其附注的披露要求。</w:t>
      </w:r>
    </w:p>
    <w:p w:rsidR="003D2BA8" w:rsidRPr="00672DC8" w:rsidRDefault="000C0769">
      <w:pPr>
        <w:pStyle w:val="3"/>
        <w:spacing w:line="280" w:lineRule="exact"/>
        <w:jc w:val="left"/>
        <w:rPr>
          <w:rFonts w:ascii="Times New Roman" w:hAnsi="Times New Roman" w:cs="Times New Roman"/>
          <w:b/>
          <w:bCs/>
        </w:rPr>
      </w:pPr>
      <w:bookmarkStart w:id="132" w:name="_Toc988999"/>
      <w:r w:rsidRPr="00672DC8">
        <w:rPr>
          <w:rFonts w:ascii="Times New Roman" w:hAnsi="Times New Roman" w:cs="Times New Roman"/>
          <w:b/>
          <w:bCs/>
        </w:rPr>
        <w:t>2</w:t>
      </w:r>
      <w:r w:rsidRPr="00672DC8">
        <w:rPr>
          <w:rFonts w:ascii="Times New Roman" w:hAnsi="Times New Roman" w:cs="Times New Roman"/>
          <w:b/>
          <w:bCs/>
        </w:rPr>
        <w:t>、会计期间</w:t>
      </w:r>
      <w:bookmarkEnd w:id="132"/>
    </w:p>
    <w:p w:rsidR="000C0769" w:rsidRPr="00672DC8" w:rsidRDefault="000C0769">
      <w:pPr>
        <w:pStyle w:val="a3"/>
        <w:spacing w:before="0" w:beforeAutospacing="0" w:after="0" w:afterAutospacing="0" w:line="360" w:lineRule="auto"/>
        <w:ind w:firstLine="420"/>
        <w:jc w:val="both"/>
        <w:divId w:val="2146115687"/>
        <w:rPr>
          <w:rFonts w:ascii="Times New Roman" w:hAnsi="Times New Roman" w:cs="Times New Roman"/>
          <w:sz w:val="21"/>
          <w:szCs w:val="21"/>
        </w:rPr>
      </w:pPr>
      <w:r w:rsidRPr="00672DC8">
        <w:rPr>
          <w:rFonts w:ascii="Times New Roman" w:hAnsi="Times New Roman" w:cs="Times New Roman"/>
          <w:sz w:val="21"/>
          <w:szCs w:val="21"/>
        </w:rPr>
        <w:t>本公司的会计期间分为年度和中期，会计中期指短于一个完整的会计年度的报告期间。本公司会计年度采用公历年度，即每年自</w:t>
      </w:r>
      <w:r w:rsidRPr="00672DC8">
        <w:rPr>
          <w:rFonts w:ascii="Times New Roman" w:hAnsi="Times New Roman" w:cs="Times New Roman"/>
          <w:sz w:val="21"/>
          <w:szCs w:val="21"/>
        </w:rPr>
        <w:t>1</w:t>
      </w:r>
      <w:r w:rsidRPr="00672DC8">
        <w:rPr>
          <w:rFonts w:ascii="Times New Roman" w:hAnsi="Times New Roman" w:cs="Times New Roman"/>
          <w:sz w:val="21"/>
          <w:szCs w:val="21"/>
        </w:rPr>
        <w:t>月</w:t>
      </w:r>
      <w:r w:rsidRPr="00672DC8">
        <w:rPr>
          <w:rFonts w:ascii="Times New Roman" w:hAnsi="Times New Roman" w:cs="Times New Roman"/>
          <w:sz w:val="21"/>
          <w:szCs w:val="21"/>
        </w:rPr>
        <w:t>1</w:t>
      </w:r>
      <w:r w:rsidRPr="00672DC8">
        <w:rPr>
          <w:rFonts w:ascii="Times New Roman" w:hAnsi="Times New Roman" w:cs="Times New Roman"/>
          <w:sz w:val="21"/>
          <w:szCs w:val="21"/>
        </w:rPr>
        <w:t>日起至</w:t>
      </w:r>
      <w:r w:rsidRPr="00672DC8">
        <w:rPr>
          <w:rFonts w:ascii="Times New Roman" w:hAnsi="Times New Roman" w:cs="Times New Roman"/>
          <w:sz w:val="21"/>
          <w:szCs w:val="21"/>
        </w:rPr>
        <w:t>12</w:t>
      </w:r>
      <w:r w:rsidRPr="00672DC8">
        <w:rPr>
          <w:rFonts w:ascii="Times New Roman" w:hAnsi="Times New Roman" w:cs="Times New Roman"/>
          <w:sz w:val="21"/>
          <w:szCs w:val="21"/>
        </w:rPr>
        <w:t>月</w:t>
      </w:r>
      <w:r w:rsidRPr="00672DC8">
        <w:rPr>
          <w:rFonts w:ascii="Times New Roman" w:hAnsi="Times New Roman" w:cs="Times New Roman"/>
          <w:sz w:val="21"/>
          <w:szCs w:val="21"/>
        </w:rPr>
        <w:t>31</w:t>
      </w:r>
      <w:r w:rsidRPr="00672DC8">
        <w:rPr>
          <w:rFonts w:ascii="Times New Roman" w:hAnsi="Times New Roman" w:cs="Times New Roman"/>
          <w:sz w:val="21"/>
          <w:szCs w:val="21"/>
        </w:rPr>
        <w:t>日止。</w:t>
      </w:r>
    </w:p>
    <w:p w:rsidR="003D2BA8" w:rsidRPr="00672DC8" w:rsidRDefault="000C0769">
      <w:pPr>
        <w:pStyle w:val="3"/>
        <w:spacing w:line="280" w:lineRule="exact"/>
        <w:jc w:val="left"/>
        <w:rPr>
          <w:rFonts w:ascii="Times New Roman" w:hAnsi="Times New Roman" w:cs="Times New Roman"/>
          <w:b/>
          <w:bCs/>
        </w:rPr>
      </w:pPr>
      <w:bookmarkStart w:id="133" w:name="_Toc989000"/>
      <w:r w:rsidRPr="00672DC8">
        <w:rPr>
          <w:rFonts w:ascii="Times New Roman" w:hAnsi="Times New Roman" w:cs="Times New Roman"/>
          <w:b/>
          <w:bCs/>
        </w:rPr>
        <w:lastRenderedPageBreak/>
        <w:t>3</w:t>
      </w:r>
      <w:r w:rsidRPr="00672DC8">
        <w:rPr>
          <w:rFonts w:ascii="Times New Roman" w:hAnsi="Times New Roman" w:cs="Times New Roman"/>
          <w:b/>
          <w:bCs/>
        </w:rPr>
        <w:t>、营业周期</w:t>
      </w:r>
      <w:bookmarkEnd w:id="133"/>
    </w:p>
    <w:p w:rsidR="000C0769" w:rsidRPr="00672DC8" w:rsidRDefault="000C0769">
      <w:pPr>
        <w:pStyle w:val="a3"/>
        <w:spacing w:before="0" w:beforeAutospacing="0" w:after="0" w:afterAutospacing="0" w:line="360" w:lineRule="auto"/>
        <w:ind w:firstLine="420"/>
        <w:jc w:val="both"/>
        <w:divId w:val="354961118"/>
        <w:rPr>
          <w:rFonts w:ascii="Times New Roman" w:hAnsi="Times New Roman" w:cs="Times New Roman"/>
          <w:sz w:val="21"/>
          <w:szCs w:val="21"/>
        </w:rPr>
      </w:pPr>
      <w:r w:rsidRPr="00672DC8">
        <w:rPr>
          <w:rFonts w:ascii="Times New Roman" w:hAnsi="Times New Roman" w:cs="Times New Roman"/>
          <w:sz w:val="21"/>
          <w:szCs w:val="21"/>
        </w:rPr>
        <w:t>正常营业周期是指本公司从购买用于加工的资产起至实现现金或现金等价物的期间。本公司以</w:t>
      </w:r>
      <w:r w:rsidRPr="00672DC8">
        <w:rPr>
          <w:rFonts w:ascii="Times New Roman" w:hAnsi="Times New Roman" w:cs="Times New Roman"/>
          <w:sz w:val="21"/>
          <w:szCs w:val="21"/>
        </w:rPr>
        <w:t>12</w:t>
      </w:r>
      <w:r w:rsidRPr="00672DC8">
        <w:rPr>
          <w:rFonts w:ascii="Times New Roman" w:hAnsi="Times New Roman" w:cs="Times New Roman"/>
          <w:sz w:val="21"/>
          <w:szCs w:val="21"/>
        </w:rPr>
        <w:t>个月作为一个营业周期，并以其作为资产和负债的流动性划分标准。</w:t>
      </w:r>
    </w:p>
    <w:p w:rsidR="003D2BA8" w:rsidRPr="00672DC8" w:rsidRDefault="000C0769">
      <w:pPr>
        <w:pStyle w:val="3"/>
        <w:spacing w:line="280" w:lineRule="exact"/>
        <w:jc w:val="left"/>
        <w:rPr>
          <w:rFonts w:ascii="Times New Roman" w:hAnsi="Times New Roman" w:cs="Times New Roman"/>
          <w:b/>
          <w:bCs/>
        </w:rPr>
      </w:pPr>
      <w:bookmarkStart w:id="134" w:name="_Toc989001"/>
      <w:r w:rsidRPr="00672DC8">
        <w:rPr>
          <w:rFonts w:ascii="Times New Roman" w:hAnsi="Times New Roman" w:cs="Times New Roman"/>
          <w:b/>
          <w:bCs/>
        </w:rPr>
        <w:t>4</w:t>
      </w:r>
      <w:r w:rsidRPr="00672DC8">
        <w:rPr>
          <w:rFonts w:ascii="Times New Roman" w:hAnsi="Times New Roman" w:cs="Times New Roman"/>
          <w:b/>
          <w:bCs/>
        </w:rPr>
        <w:t>、记账本位币</w:t>
      </w:r>
      <w:bookmarkEnd w:id="134"/>
    </w:p>
    <w:p w:rsidR="000C0769" w:rsidRPr="00672DC8" w:rsidRDefault="000C0769">
      <w:pPr>
        <w:pStyle w:val="a3"/>
        <w:spacing w:before="0" w:beforeAutospacing="0" w:after="0" w:afterAutospacing="0" w:line="360" w:lineRule="auto"/>
        <w:ind w:firstLine="420"/>
        <w:jc w:val="both"/>
        <w:divId w:val="1361854396"/>
        <w:rPr>
          <w:rFonts w:ascii="Times New Roman" w:hAnsi="Times New Roman" w:cs="Times New Roman"/>
          <w:sz w:val="21"/>
          <w:szCs w:val="21"/>
        </w:rPr>
      </w:pPr>
      <w:r w:rsidRPr="00672DC8">
        <w:rPr>
          <w:rFonts w:ascii="Times New Roman" w:hAnsi="Times New Roman" w:cs="Times New Roman"/>
          <w:sz w:val="21"/>
          <w:szCs w:val="21"/>
        </w:rPr>
        <w:t>人民币为本公司及境内子公司经营所处的主要经济环境中的货币，本公司及境内子公司以人民币为记账本位币。本公司之境外子公司根据其经营所处的主要经济环境中的货币确定港币为其记账本位币。本公司编制本财务报表时所采用的货币为人民币。</w:t>
      </w:r>
    </w:p>
    <w:p w:rsidR="003D2BA8" w:rsidRPr="00672DC8" w:rsidRDefault="000C0769">
      <w:pPr>
        <w:pStyle w:val="3"/>
        <w:spacing w:line="280" w:lineRule="exact"/>
        <w:jc w:val="left"/>
        <w:rPr>
          <w:rFonts w:ascii="Times New Roman" w:hAnsi="Times New Roman" w:cs="Times New Roman"/>
          <w:b/>
          <w:bCs/>
        </w:rPr>
      </w:pPr>
      <w:bookmarkStart w:id="135" w:name="_Toc989002"/>
      <w:r w:rsidRPr="00672DC8">
        <w:rPr>
          <w:rFonts w:ascii="Times New Roman" w:hAnsi="Times New Roman" w:cs="Times New Roman"/>
          <w:b/>
          <w:bCs/>
        </w:rPr>
        <w:t>5</w:t>
      </w:r>
      <w:r w:rsidRPr="00672DC8">
        <w:rPr>
          <w:rFonts w:ascii="Times New Roman" w:hAnsi="Times New Roman" w:cs="Times New Roman"/>
          <w:b/>
          <w:bCs/>
        </w:rPr>
        <w:t>、重要性标准确定方法和选择依据</w:t>
      </w:r>
      <w:bookmarkEnd w:id="13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重要性标准</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重要的应收款项核销</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r w:rsidRPr="00672DC8">
              <w:rPr>
                <w:rFonts w:ascii="Times New Roman" w:eastAsia="宋体" w:hAnsi="Times New Roman" w:cs="Times New Roman"/>
                <w:sz w:val="18"/>
                <w:szCs w:val="18"/>
              </w:rPr>
              <w:t xml:space="preserve">≥100 </w:t>
            </w:r>
            <w:r w:rsidRPr="00672DC8">
              <w:rPr>
                <w:rFonts w:ascii="Times New Roman" w:eastAsia="宋体" w:hAnsi="Times New Roman" w:cs="Times New Roman"/>
                <w:sz w:val="18"/>
                <w:szCs w:val="18"/>
              </w:rPr>
              <w:t>万元人民币</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重要的在建工程</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r w:rsidRPr="00672DC8">
              <w:rPr>
                <w:rFonts w:ascii="Times New Roman" w:eastAsia="宋体" w:hAnsi="Times New Roman" w:cs="Times New Roman"/>
                <w:sz w:val="18"/>
                <w:szCs w:val="18"/>
              </w:rPr>
              <w:t xml:space="preserve">≥500 </w:t>
            </w:r>
            <w:r w:rsidRPr="00672DC8">
              <w:rPr>
                <w:rFonts w:ascii="Times New Roman" w:eastAsia="宋体" w:hAnsi="Times New Roman" w:cs="Times New Roman"/>
                <w:sz w:val="18"/>
                <w:szCs w:val="18"/>
              </w:rPr>
              <w:t>万元人民币</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重要的应付账款</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r w:rsidRPr="00672DC8">
              <w:rPr>
                <w:rFonts w:ascii="Times New Roman" w:eastAsia="宋体" w:hAnsi="Times New Roman" w:cs="Times New Roman"/>
                <w:sz w:val="18"/>
                <w:szCs w:val="18"/>
              </w:rPr>
              <w:t xml:space="preserve">≥100 </w:t>
            </w:r>
            <w:r w:rsidRPr="00672DC8">
              <w:rPr>
                <w:rFonts w:ascii="Times New Roman" w:eastAsia="宋体" w:hAnsi="Times New Roman" w:cs="Times New Roman"/>
                <w:sz w:val="18"/>
                <w:szCs w:val="18"/>
              </w:rPr>
              <w:t>万元人民币</w:t>
            </w:r>
          </w:p>
        </w:tc>
      </w:tr>
    </w:tbl>
    <w:p w:rsidR="003D2BA8" w:rsidRPr="00672DC8" w:rsidRDefault="000C0769">
      <w:pPr>
        <w:pStyle w:val="3"/>
        <w:spacing w:line="280" w:lineRule="exact"/>
        <w:jc w:val="left"/>
        <w:rPr>
          <w:rFonts w:ascii="Times New Roman" w:hAnsi="Times New Roman" w:cs="Times New Roman"/>
          <w:b/>
          <w:bCs/>
        </w:rPr>
      </w:pPr>
      <w:bookmarkStart w:id="136" w:name="_Toc989003"/>
      <w:r w:rsidRPr="00672DC8">
        <w:rPr>
          <w:rFonts w:ascii="Times New Roman" w:hAnsi="Times New Roman" w:cs="Times New Roman"/>
          <w:b/>
          <w:bCs/>
        </w:rPr>
        <w:t>6</w:t>
      </w:r>
      <w:r w:rsidRPr="00672DC8">
        <w:rPr>
          <w:rFonts w:ascii="Times New Roman" w:hAnsi="Times New Roman" w:cs="Times New Roman"/>
          <w:b/>
          <w:bCs/>
        </w:rPr>
        <w:t>、同一控制下和非同一控制下企业合并的会计处理方法</w:t>
      </w:r>
      <w:bookmarkEnd w:id="136"/>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企业合并，是指将两个或两个以上单独的企业合并形成一个报告主体的交易或事项。企业合并分为同一控制下企业合并和非同一控制下企业合并。</w:t>
      </w:r>
    </w:p>
    <w:p w:rsidR="000C0769" w:rsidRPr="00672DC8" w:rsidRDefault="000C0769">
      <w:pPr>
        <w:pStyle w:val="a3"/>
        <w:spacing w:before="0" w:beforeAutospacing="0" w:after="0" w:afterAutospacing="0" w:line="360" w:lineRule="auto"/>
        <w:ind w:left="841" w:hanging="420"/>
        <w:jc w:val="both"/>
        <w:divId w:val="405996825"/>
        <w:rPr>
          <w:rFonts w:ascii="Times New Roman" w:hAnsi="Times New Roman" w:cs="Times New Roman"/>
          <w:sz w:val="21"/>
          <w:szCs w:val="21"/>
        </w:rPr>
      </w:pPr>
      <w:r w:rsidRPr="00672DC8">
        <w:rPr>
          <w:rStyle w:val="a4"/>
          <w:rFonts w:ascii="Times New Roman" w:hAnsi="Times New Roman" w:cs="Times New Roman"/>
          <w:sz w:val="21"/>
          <w:szCs w:val="21"/>
        </w:rPr>
        <w:t>6.1</w:t>
      </w:r>
      <w:r w:rsidRPr="00672DC8">
        <w:rPr>
          <w:rStyle w:val="a4"/>
          <w:rFonts w:ascii="Times New Roman" w:hAnsi="Times New Roman" w:cs="Times New Roman"/>
          <w:sz w:val="14"/>
          <w:szCs w:val="14"/>
        </w:rPr>
        <w:t xml:space="preserve">  </w:t>
      </w:r>
      <w:r w:rsidRPr="00672DC8">
        <w:rPr>
          <w:rFonts w:ascii="Times New Roman" w:hAnsi="Times New Roman" w:cs="Times New Roman"/>
          <w:sz w:val="14"/>
          <w:szCs w:val="14"/>
        </w:rPr>
        <w:t> </w:t>
      </w:r>
      <w:r w:rsidRPr="00672DC8">
        <w:rPr>
          <w:rStyle w:val="a4"/>
          <w:rFonts w:ascii="Times New Roman" w:hAnsi="Times New Roman" w:cs="Times New Roman"/>
          <w:sz w:val="21"/>
          <w:szCs w:val="21"/>
        </w:rPr>
        <w:t>同一控制下企业合并</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同一控制下的企业合并，指参与合并的公司在合并前后均受同一方或相同的多方最终控制且该控制并非暂时性的企业合并。</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按照被合并方所有者权益在最终控制方合并财务报表中的账面价值计量。被合并方在合并日的净资产账面价值为负数的，长期股权投资成本按零确定。如果被合并方在被合并以前，是最终控制方通过非同一控制下的企业合并所控制的，则合并方长期股权投资的初始投资成本还应包含相关的商誉金额。公司取得的净资产账面价值与支付的合并对价账面价值的差额，应当调整资本公积；资本公积不足冲减的，调整留存收益。</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公司为进行企业合并发生的各项直接相关费用，包括为进行企业合并而支付的审计费用、评估费用、法律服务费用等，应当于发生时计入当期管理费用。与发行权益性工具作为合并对价直接相关的交易费用，冲减资本公积（股本溢价），资本公积（股本溢价）不足冲减的，依次冲减盈余公积和未分配利润。与发行债务性工具作为合并对价直接相关的交易费用，计入债务性工具的初始确认金额。</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lastRenderedPageBreak/>
        <w:t>在合并财务报表中，合并方在达到合并之前持有的长期股权投资，在取得日与合并方与被合并方向处于同一最终控制之日孰晚日与合并日之间已确认有关损益、其他综合收益和其他所有者权益变动，应分别冲减比较报表期间的期初留存收益或当期损益。</w:t>
      </w:r>
    </w:p>
    <w:p w:rsidR="000C0769" w:rsidRPr="00672DC8" w:rsidRDefault="000C0769">
      <w:pPr>
        <w:pStyle w:val="a3"/>
        <w:spacing w:before="0" w:beforeAutospacing="0" w:after="0" w:afterAutospacing="0" w:line="360" w:lineRule="auto"/>
        <w:ind w:left="841" w:hanging="420"/>
        <w:jc w:val="both"/>
        <w:divId w:val="405996825"/>
        <w:rPr>
          <w:rFonts w:ascii="Times New Roman" w:hAnsi="Times New Roman" w:cs="Times New Roman"/>
          <w:sz w:val="21"/>
          <w:szCs w:val="21"/>
        </w:rPr>
      </w:pPr>
      <w:r w:rsidRPr="00672DC8">
        <w:rPr>
          <w:rStyle w:val="a4"/>
          <w:rFonts w:ascii="Times New Roman" w:hAnsi="Times New Roman" w:cs="Times New Roman"/>
          <w:sz w:val="21"/>
          <w:szCs w:val="21"/>
        </w:rPr>
        <w:t xml:space="preserve">6.2  </w:t>
      </w:r>
      <w:r w:rsidRPr="00672DC8">
        <w:rPr>
          <w:rStyle w:val="a4"/>
          <w:rFonts w:ascii="Times New Roman" w:hAnsi="Times New Roman" w:cs="Times New Roman"/>
          <w:sz w:val="21"/>
          <w:szCs w:val="21"/>
        </w:rPr>
        <w:t>非同一控制下企业合并</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参与合并的企业在合并前后不受同一方或相同的多方最终控制的，为非同一控制下的企业合并。非同一控制下的企业合并，在购买日取得对其他参与合并企业控制权的一方为购买方，参与合并的其他企业为被购买方。购买日，是指为购买方实际取得对被购买方控制权的日期。</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对于非同一控制下的企业合并，合并成本包含购买日购买方为取得对被购买方的控制权而付出的资产、发生或承担的负债以及发行的权益性证券的公允价值，为企业合并发生的审计、法律服务、评估咨询等中介费用以及其他管理费用于发生时计入当期损益。购买方作为合并对价发行的权益性证券或债务性证券的交易费用，计入权益性证券或债务性证券的初始确认金额。所涉及的或有对价按其在购买日的公允价值计入合并成本，购买日后</w:t>
      </w:r>
      <w:r w:rsidRPr="00672DC8">
        <w:rPr>
          <w:rFonts w:ascii="Times New Roman" w:hAnsi="Times New Roman" w:cs="Times New Roman"/>
          <w:sz w:val="21"/>
          <w:szCs w:val="21"/>
        </w:rPr>
        <w:t>12</w:t>
      </w:r>
      <w:r w:rsidRPr="00672DC8">
        <w:rPr>
          <w:rFonts w:ascii="Times New Roman" w:hAnsi="Times New Roman" w:cs="Times New Roman"/>
          <w:sz w:val="21"/>
          <w:szCs w:val="21"/>
        </w:rPr>
        <w:t>个月内出现对购买日已存在情况的新的或进一步证据而需要调整或有对价的，相应调整合并商誉。购买方发生的合并成本及在合并中取得的可辨认净资产按购买日的公允价值计量。合并成本大于合并中取得的被购买方于购买日可辨认净资产公允价值份额的差额，确认为商誉。合并成本小于合并中取得的被购买方可辨认净资产公允价值份额的，首先对取得的被购买方各项可辨认资产、负债及或有负债的公允价值以及合并成本的计量进行复核，复核后合并成本仍小于合并中取得的被购买方可辨认净资产公允价值份额的，其差额计入当期损益。</w:t>
      </w:r>
    </w:p>
    <w:p w:rsidR="000C0769" w:rsidRPr="00672DC8" w:rsidRDefault="000C0769">
      <w:pPr>
        <w:pStyle w:val="a3"/>
        <w:spacing w:before="0" w:beforeAutospacing="0" w:after="0" w:afterAutospacing="0" w:line="360" w:lineRule="auto"/>
        <w:ind w:firstLine="420"/>
        <w:jc w:val="both"/>
        <w:divId w:val="405996825"/>
        <w:rPr>
          <w:rFonts w:ascii="Times New Roman" w:hAnsi="Times New Roman" w:cs="Times New Roman"/>
          <w:sz w:val="21"/>
          <w:szCs w:val="21"/>
        </w:rPr>
      </w:pPr>
      <w:r w:rsidRPr="00672DC8">
        <w:rPr>
          <w:rFonts w:ascii="Times New Roman" w:hAnsi="Times New Roman" w:cs="Times New Roman"/>
          <w:sz w:val="21"/>
          <w:szCs w:val="21"/>
        </w:rPr>
        <w:t>购买方取得被购买方的可抵扣暂时性差异，在购买日因不符合递延所得税资产确认条件而未予确认的，在购买日后</w:t>
      </w:r>
      <w:r w:rsidRPr="00672DC8">
        <w:rPr>
          <w:rFonts w:ascii="Times New Roman" w:hAnsi="Times New Roman" w:cs="Times New Roman"/>
          <w:sz w:val="21"/>
          <w:szCs w:val="21"/>
        </w:rPr>
        <w:t>12</w:t>
      </w:r>
      <w:r w:rsidRPr="00672DC8">
        <w:rPr>
          <w:rFonts w:ascii="Times New Roman" w:hAnsi="Times New Roman" w:cs="Times New Roman"/>
          <w:sz w:val="21"/>
          <w:szCs w:val="21"/>
        </w:rPr>
        <w:t>个月内，如取得新的或进一步的信息表明购买日的相关情况已经存在，预期被购买方在购买日可抵扣暂时性差异带来的经济利益能够实现的，则确认相关的递延所得税资产，同时减少商誉，商誉不足冲减的，差额部分确认为当期损益；除上述情况以外，确认与企业合并相关的递延所得税资产的，计入当期损益。</w:t>
      </w:r>
    </w:p>
    <w:p w:rsidR="003D2BA8" w:rsidRPr="00672DC8" w:rsidRDefault="000C0769">
      <w:pPr>
        <w:pStyle w:val="3"/>
        <w:spacing w:line="280" w:lineRule="exact"/>
        <w:jc w:val="left"/>
        <w:rPr>
          <w:rFonts w:ascii="Times New Roman" w:hAnsi="Times New Roman" w:cs="Times New Roman"/>
          <w:b/>
          <w:bCs/>
        </w:rPr>
      </w:pPr>
      <w:bookmarkStart w:id="137" w:name="_Toc989004"/>
      <w:r w:rsidRPr="00672DC8">
        <w:rPr>
          <w:rFonts w:ascii="Times New Roman" w:hAnsi="Times New Roman" w:cs="Times New Roman"/>
          <w:b/>
          <w:bCs/>
        </w:rPr>
        <w:t>7</w:t>
      </w:r>
      <w:r w:rsidRPr="00672DC8">
        <w:rPr>
          <w:rFonts w:ascii="Times New Roman" w:hAnsi="Times New Roman" w:cs="Times New Roman"/>
          <w:b/>
          <w:bCs/>
        </w:rPr>
        <w:t>、控制的判断标准和合并财务报表的编制方法</w:t>
      </w:r>
      <w:bookmarkEnd w:id="137"/>
    </w:p>
    <w:p w:rsidR="000C0769" w:rsidRPr="00672DC8" w:rsidRDefault="000C0769">
      <w:pPr>
        <w:pStyle w:val="a3"/>
        <w:spacing w:before="0" w:beforeAutospacing="0" w:after="0" w:afterAutospacing="0" w:line="360" w:lineRule="auto"/>
        <w:ind w:firstLine="422"/>
        <w:jc w:val="both"/>
        <w:divId w:val="388235326"/>
        <w:rPr>
          <w:rFonts w:ascii="Times New Roman" w:hAnsi="Times New Roman" w:cs="Times New Roman"/>
          <w:sz w:val="21"/>
          <w:szCs w:val="21"/>
        </w:rPr>
      </w:pPr>
      <w:r w:rsidRPr="00672DC8">
        <w:rPr>
          <w:rStyle w:val="a4"/>
          <w:rFonts w:ascii="Times New Roman" w:hAnsi="Times New Roman" w:cs="Times New Roman"/>
          <w:sz w:val="21"/>
          <w:szCs w:val="21"/>
        </w:rPr>
        <w:t xml:space="preserve">7.1  </w:t>
      </w:r>
      <w:r w:rsidRPr="00672DC8">
        <w:rPr>
          <w:rStyle w:val="a4"/>
          <w:rFonts w:ascii="Times New Roman" w:hAnsi="Times New Roman" w:cs="Times New Roman"/>
          <w:sz w:val="21"/>
          <w:szCs w:val="21"/>
        </w:rPr>
        <w:t>合并财务报表范围的确定原则</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t>合并财务报表的合并范围以控制为基础予以确定。控制是指本公司拥有对被投资方的权力，通过参与被投资方的相关活动而享有可变回报，并且有能力运用对被投资方的权力影响该回报金额。合并范围包括本公司及全部子公司。子公司，是指被本公司控制的主体。</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t>一旦相关事实和情况的变化导致上述控制定义涉及的相关要素发生了变化，本公司将进行重新评估。</w:t>
      </w:r>
    </w:p>
    <w:p w:rsidR="000C0769" w:rsidRPr="00672DC8" w:rsidRDefault="000C0769">
      <w:pPr>
        <w:pStyle w:val="a3"/>
        <w:spacing w:before="0" w:beforeAutospacing="0" w:after="0" w:afterAutospacing="0" w:line="360" w:lineRule="auto"/>
        <w:ind w:firstLine="422"/>
        <w:jc w:val="both"/>
        <w:divId w:val="388235326"/>
        <w:rPr>
          <w:rFonts w:ascii="Times New Roman" w:hAnsi="Times New Roman" w:cs="Times New Roman"/>
          <w:sz w:val="21"/>
          <w:szCs w:val="21"/>
        </w:rPr>
      </w:pPr>
      <w:r w:rsidRPr="00672DC8">
        <w:rPr>
          <w:rStyle w:val="a4"/>
          <w:rFonts w:ascii="Times New Roman" w:hAnsi="Times New Roman" w:cs="Times New Roman"/>
          <w:sz w:val="21"/>
          <w:szCs w:val="21"/>
        </w:rPr>
        <w:t>7.2  </w:t>
      </w:r>
      <w:r w:rsidRPr="00672DC8">
        <w:rPr>
          <w:rStyle w:val="a4"/>
          <w:rFonts w:ascii="Times New Roman" w:hAnsi="Times New Roman" w:cs="Times New Roman"/>
          <w:sz w:val="21"/>
          <w:szCs w:val="21"/>
        </w:rPr>
        <w:t>合并财务报表编制的方法</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lastRenderedPageBreak/>
        <w:t>从取得子公司的净资产和生产经营决策的实际控制权之日起，本公司开始将其纳入合并范围；从丧失实际控制权之日起停止纳入合并范围。对于处置的子公司，处置日前的经营成果和现金流量已经适当地包括在合并利润表和合并现金流量表中；当期处置的子公司，不调整合并资产负债表的期初数。非同一控制下企业合并增加的子公司，其购买日后的经营成果及现金流量已经适当地包括在合并利润表和合并现金流量表中，且不调整合并财务报表的期初数和对比数。同一控制下企业合并增加的子公司，其自合并当期期初至合并日的经营成果和现金流量已经适当地包括在合并利润表和合并现金流量表中，并且同时调整合并财务报表的对比数。</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t>在编制合并财务报表时，子公司与本公司采用的会计政策或会计期间不一致的，按照本公司的会计政策和会计期间对子公司财务报表进行必要的调整。对于非同一控制下企业合并取得的子公司，以购买日可辨认净资产公允价值为基础对其财务报表进行调整。</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t>公司内所有重大往来余额、交易及未实现利润在合并财务报表编制时予以抵销。</w:t>
      </w:r>
    </w:p>
    <w:p w:rsidR="000C0769" w:rsidRPr="00672DC8" w:rsidRDefault="000C0769">
      <w:pPr>
        <w:pStyle w:val="a3"/>
        <w:spacing w:before="0" w:beforeAutospacing="0" w:after="0" w:afterAutospacing="0" w:line="360" w:lineRule="auto"/>
        <w:ind w:firstLine="420"/>
        <w:jc w:val="both"/>
        <w:divId w:val="388235326"/>
        <w:rPr>
          <w:rFonts w:ascii="Times New Roman" w:hAnsi="Times New Roman" w:cs="Times New Roman"/>
          <w:sz w:val="21"/>
          <w:szCs w:val="21"/>
        </w:rPr>
      </w:pPr>
      <w:r w:rsidRPr="00672DC8">
        <w:rPr>
          <w:rFonts w:ascii="Times New Roman" w:hAnsi="Times New Roman" w:cs="Times New Roman"/>
          <w:sz w:val="21"/>
          <w:szCs w:val="21"/>
        </w:rPr>
        <w:t>子公司的股东权益及当期净损益中不属于本公司所拥有的部分分别作为少数股东权益及少数股东损益在合并财务报表中股东权益及净利润项下单独列示。子公司当期净损益中属于少数股东权益的份额，在合并利润表中净利润项目下以</w:t>
      </w:r>
      <w:r w:rsidRPr="00672DC8">
        <w:rPr>
          <w:rFonts w:ascii="Times New Roman" w:hAnsi="Times New Roman" w:cs="Times New Roman"/>
          <w:sz w:val="21"/>
          <w:szCs w:val="21"/>
        </w:rPr>
        <w:t>“</w:t>
      </w:r>
      <w:r w:rsidRPr="00672DC8">
        <w:rPr>
          <w:rFonts w:ascii="Times New Roman" w:hAnsi="Times New Roman" w:cs="Times New Roman"/>
          <w:sz w:val="21"/>
          <w:szCs w:val="21"/>
        </w:rPr>
        <w:t>少数股东损益</w:t>
      </w:r>
      <w:r w:rsidRPr="00672DC8">
        <w:rPr>
          <w:rFonts w:ascii="Times New Roman" w:hAnsi="Times New Roman" w:cs="Times New Roman"/>
          <w:sz w:val="21"/>
          <w:szCs w:val="21"/>
        </w:rPr>
        <w:t>”</w:t>
      </w:r>
      <w:r w:rsidRPr="00672DC8">
        <w:rPr>
          <w:rFonts w:ascii="Times New Roman" w:hAnsi="Times New Roman" w:cs="Times New Roman"/>
          <w:sz w:val="21"/>
          <w:szCs w:val="21"/>
        </w:rPr>
        <w:t>项目列示。少数股东分担的子公司的亏损超过了少数股东在该子公司期初股东权益中所享有的份额，仍冲减少数股东权益。</w:t>
      </w:r>
    </w:p>
    <w:p w:rsidR="003D2BA8" w:rsidRPr="00672DC8" w:rsidRDefault="000C0769">
      <w:pPr>
        <w:pStyle w:val="3"/>
        <w:spacing w:line="280" w:lineRule="exact"/>
        <w:jc w:val="left"/>
        <w:rPr>
          <w:rFonts w:ascii="Times New Roman" w:hAnsi="Times New Roman" w:cs="Times New Roman"/>
          <w:b/>
          <w:bCs/>
        </w:rPr>
      </w:pPr>
      <w:bookmarkStart w:id="138" w:name="_Toc989005"/>
      <w:r w:rsidRPr="00672DC8">
        <w:rPr>
          <w:rFonts w:ascii="Times New Roman" w:hAnsi="Times New Roman" w:cs="Times New Roman"/>
          <w:b/>
          <w:bCs/>
        </w:rPr>
        <w:t>8</w:t>
      </w:r>
      <w:r w:rsidRPr="00672DC8">
        <w:rPr>
          <w:rFonts w:ascii="Times New Roman" w:hAnsi="Times New Roman" w:cs="Times New Roman"/>
          <w:b/>
          <w:bCs/>
        </w:rPr>
        <w:t>、合营安排分类及共同经营会计处理方法</w:t>
      </w:r>
      <w:bookmarkEnd w:id="138"/>
    </w:p>
    <w:p w:rsidR="000C0769" w:rsidRPr="00672DC8" w:rsidRDefault="000C0769">
      <w:pPr>
        <w:pStyle w:val="a3"/>
        <w:spacing w:before="0" w:beforeAutospacing="0" w:after="0" w:afterAutospacing="0" w:line="360" w:lineRule="auto"/>
        <w:ind w:firstLine="420"/>
        <w:jc w:val="both"/>
        <w:divId w:val="1599289323"/>
        <w:rPr>
          <w:rFonts w:ascii="Times New Roman" w:hAnsi="Times New Roman" w:cs="Times New Roman"/>
          <w:sz w:val="21"/>
          <w:szCs w:val="21"/>
        </w:rPr>
      </w:pPr>
      <w:r w:rsidRPr="00672DC8">
        <w:rPr>
          <w:rFonts w:ascii="Times New Roman" w:hAnsi="Times New Roman" w:cs="Times New Roman"/>
          <w:sz w:val="21"/>
          <w:szCs w:val="21"/>
        </w:rPr>
        <w:t>合营安排，是指一项由两个或两个以上的参与方共同控制的安排。本公司根据在合营安排中享有的权利和承担的义务，将合营安排分为共同经营和合营企业。共同经营，是指本公司享有该安排相关资产且承担该安排相关负债的合营安排。合营企业，是指本公司仅对该安排的净资产享有权利的合营安排。</w:t>
      </w:r>
    </w:p>
    <w:p w:rsidR="000C0769" w:rsidRPr="00672DC8" w:rsidRDefault="000C0769">
      <w:pPr>
        <w:pStyle w:val="a3"/>
        <w:spacing w:before="0" w:beforeAutospacing="0" w:after="0" w:afterAutospacing="0" w:line="360" w:lineRule="auto"/>
        <w:ind w:firstLine="420"/>
        <w:jc w:val="both"/>
        <w:divId w:val="1599289323"/>
        <w:rPr>
          <w:rFonts w:ascii="Times New Roman" w:hAnsi="Times New Roman" w:cs="Times New Roman"/>
          <w:sz w:val="21"/>
          <w:szCs w:val="21"/>
        </w:rPr>
      </w:pPr>
      <w:r w:rsidRPr="00672DC8">
        <w:rPr>
          <w:rFonts w:ascii="Times New Roman" w:hAnsi="Times New Roman" w:cs="Times New Roman"/>
          <w:sz w:val="21"/>
          <w:szCs w:val="21"/>
        </w:rPr>
        <w:t>本公司对合营企业的投资采用权益法核算，按照本附注</w:t>
      </w:r>
      <w:r w:rsidRPr="00672DC8">
        <w:rPr>
          <w:rFonts w:ascii="Times New Roman" w:hAnsi="Times New Roman" w:cs="Times New Roman"/>
          <w:sz w:val="21"/>
          <w:szCs w:val="21"/>
        </w:rPr>
        <w:t xml:space="preserve">“22 </w:t>
      </w:r>
      <w:r w:rsidRPr="00672DC8">
        <w:rPr>
          <w:rFonts w:ascii="Times New Roman" w:hAnsi="Times New Roman" w:cs="Times New Roman"/>
          <w:sz w:val="21"/>
          <w:szCs w:val="21"/>
        </w:rPr>
        <w:t>、权益法核算的长期股权投资</w:t>
      </w:r>
      <w:r w:rsidRPr="00672DC8">
        <w:rPr>
          <w:rFonts w:ascii="Times New Roman" w:hAnsi="Times New Roman" w:cs="Times New Roman"/>
          <w:sz w:val="21"/>
          <w:szCs w:val="21"/>
        </w:rPr>
        <w:t>”</w:t>
      </w:r>
      <w:r w:rsidRPr="00672DC8">
        <w:rPr>
          <w:rFonts w:ascii="Times New Roman" w:hAnsi="Times New Roman" w:cs="Times New Roman"/>
          <w:sz w:val="21"/>
          <w:szCs w:val="21"/>
        </w:rPr>
        <w:t>中所述的会计政策处理。</w:t>
      </w:r>
    </w:p>
    <w:p w:rsidR="000C0769" w:rsidRPr="00672DC8" w:rsidRDefault="000C0769">
      <w:pPr>
        <w:pStyle w:val="a3"/>
        <w:spacing w:before="0" w:beforeAutospacing="0" w:after="0" w:afterAutospacing="0" w:line="360" w:lineRule="auto"/>
        <w:ind w:firstLine="420"/>
        <w:jc w:val="both"/>
        <w:divId w:val="1599289323"/>
        <w:rPr>
          <w:rFonts w:ascii="Times New Roman" w:hAnsi="Times New Roman" w:cs="Times New Roman"/>
          <w:sz w:val="21"/>
          <w:szCs w:val="21"/>
        </w:rPr>
      </w:pPr>
      <w:r w:rsidRPr="00672DC8">
        <w:rPr>
          <w:rFonts w:ascii="Times New Roman" w:hAnsi="Times New Roman" w:cs="Times New Roman"/>
          <w:sz w:val="21"/>
          <w:szCs w:val="21"/>
        </w:rPr>
        <w:t>本公司作为合营方对共同经营，确认本公司单独持有的资产、单独所承担的负债，以及按本公司份额确认共同持有的资产和共同承担的负债；确认出售本公司享有的共同经营产出份额所产生的收入；按本公司份额确认共同经营因出售产出所产生的收入；确认本公司单独所发生的费用，以及按本公司份额确认共同经营发生的费用。</w:t>
      </w:r>
    </w:p>
    <w:p w:rsidR="000C0769" w:rsidRPr="00672DC8" w:rsidRDefault="000C0769">
      <w:pPr>
        <w:pStyle w:val="a3"/>
        <w:spacing w:before="0" w:beforeAutospacing="0" w:after="0" w:afterAutospacing="0" w:line="360" w:lineRule="auto"/>
        <w:ind w:firstLine="420"/>
        <w:jc w:val="both"/>
        <w:divId w:val="1599289323"/>
        <w:rPr>
          <w:rFonts w:ascii="Times New Roman" w:hAnsi="Times New Roman" w:cs="Times New Roman"/>
          <w:sz w:val="21"/>
          <w:szCs w:val="21"/>
        </w:rPr>
      </w:pPr>
      <w:r w:rsidRPr="00672DC8">
        <w:rPr>
          <w:rFonts w:ascii="Times New Roman" w:hAnsi="Times New Roman" w:cs="Times New Roman"/>
          <w:sz w:val="21"/>
          <w:szCs w:val="21"/>
        </w:rPr>
        <w:t>当本公司作为合营方向共同经营投出或出售资产（该资产不构成业务，下同）、或者自共同经营购买资产时，在该等资产出售给第三方之前，本公司仅确认因该交易产生的损益中归属于共同经营其他参与方的部分。该等资产发生符合《企业会计准则第</w:t>
      </w:r>
      <w:r w:rsidRPr="00672DC8">
        <w:rPr>
          <w:rFonts w:ascii="Times New Roman" w:hAnsi="Times New Roman" w:cs="Times New Roman"/>
          <w:sz w:val="21"/>
          <w:szCs w:val="21"/>
        </w:rPr>
        <w:t>8</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资产减值》等规定的资产减值损失的，对于由</w:t>
      </w:r>
      <w:r w:rsidRPr="00672DC8">
        <w:rPr>
          <w:rFonts w:ascii="Times New Roman" w:hAnsi="Times New Roman" w:cs="Times New Roman"/>
          <w:sz w:val="21"/>
          <w:szCs w:val="21"/>
        </w:rPr>
        <w:lastRenderedPageBreak/>
        <w:t>本公司向共同经营投出或出售资产的情况，本公司全额确认该损失；对于本公司自共同经营购买资产的情况，本公司按承担的份额确认该损失。</w:t>
      </w:r>
    </w:p>
    <w:p w:rsidR="003D2BA8" w:rsidRPr="00672DC8" w:rsidRDefault="000C0769">
      <w:pPr>
        <w:pStyle w:val="3"/>
        <w:spacing w:line="280" w:lineRule="exact"/>
        <w:jc w:val="left"/>
        <w:rPr>
          <w:rFonts w:ascii="Times New Roman" w:hAnsi="Times New Roman" w:cs="Times New Roman"/>
          <w:b/>
          <w:bCs/>
        </w:rPr>
      </w:pPr>
      <w:bookmarkStart w:id="139" w:name="_Toc989006"/>
      <w:r w:rsidRPr="00672DC8">
        <w:rPr>
          <w:rFonts w:ascii="Times New Roman" w:hAnsi="Times New Roman" w:cs="Times New Roman"/>
          <w:b/>
          <w:bCs/>
        </w:rPr>
        <w:t>9</w:t>
      </w:r>
      <w:r w:rsidRPr="00672DC8">
        <w:rPr>
          <w:rFonts w:ascii="Times New Roman" w:hAnsi="Times New Roman" w:cs="Times New Roman"/>
          <w:b/>
          <w:bCs/>
        </w:rPr>
        <w:t>、现金及现金等价物的确定标准</w:t>
      </w:r>
      <w:bookmarkEnd w:id="139"/>
    </w:p>
    <w:p w:rsidR="000C0769" w:rsidRPr="00672DC8" w:rsidRDefault="000C0769">
      <w:pPr>
        <w:pStyle w:val="a3"/>
        <w:spacing w:before="0" w:beforeAutospacing="0" w:after="0" w:afterAutospacing="0" w:line="360" w:lineRule="auto"/>
        <w:ind w:firstLine="420"/>
        <w:jc w:val="both"/>
        <w:divId w:val="1510363854"/>
        <w:rPr>
          <w:rFonts w:ascii="Times New Roman" w:hAnsi="Times New Roman" w:cs="Times New Roman"/>
          <w:sz w:val="21"/>
          <w:szCs w:val="21"/>
        </w:rPr>
      </w:pPr>
      <w:r w:rsidRPr="00672DC8">
        <w:rPr>
          <w:rFonts w:ascii="Times New Roman" w:hAnsi="Times New Roman" w:cs="Times New Roman"/>
          <w:sz w:val="21"/>
          <w:szCs w:val="21"/>
        </w:rPr>
        <w:t>本公司现金及现金等价物包括库存现金、可以随时用于支付的存款以及本公司持有的期限短（一般为从购买日起三个月内到期）、流动性强、易于转换为已知金额现金、价值变动风险很小的投资。</w:t>
      </w:r>
    </w:p>
    <w:p w:rsidR="003D2BA8" w:rsidRPr="00672DC8" w:rsidRDefault="000C0769">
      <w:pPr>
        <w:pStyle w:val="3"/>
        <w:spacing w:line="280" w:lineRule="exact"/>
        <w:jc w:val="left"/>
        <w:rPr>
          <w:rFonts w:ascii="Times New Roman" w:hAnsi="Times New Roman" w:cs="Times New Roman"/>
          <w:b/>
          <w:bCs/>
        </w:rPr>
      </w:pPr>
      <w:bookmarkStart w:id="140" w:name="_Toc989007"/>
      <w:r w:rsidRPr="00672DC8">
        <w:rPr>
          <w:rFonts w:ascii="Times New Roman" w:hAnsi="Times New Roman" w:cs="Times New Roman"/>
          <w:b/>
          <w:bCs/>
        </w:rPr>
        <w:t>10</w:t>
      </w:r>
      <w:r w:rsidRPr="00672DC8">
        <w:rPr>
          <w:rFonts w:ascii="Times New Roman" w:hAnsi="Times New Roman" w:cs="Times New Roman"/>
          <w:b/>
          <w:bCs/>
        </w:rPr>
        <w:t>、外币业务和外币报表折算</w:t>
      </w:r>
      <w:bookmarkEnd w:id="140"/>
    </w:p>
    <w:p w:rsidR="000C0769" w:rsidRPr="00672DC8" w:rsidRDefault="000C0769">
      <w:pPr>
        <w:pStyle w:val="a3"/>
        <w:spacing w:before="0" w:beforeAutospacing="0" w:after="0" w:afterAutospacing="0" w:line="360" w:lineRule="auto"/>
        <w:ind w:left="420"/>
        <w:jc w:val="both"/>
        <w:divId w:val="1062602393"/>
        <w:rPr>
          <w:rFonts w:ascii="Times New Roman" w:hAnsi="Times New Roman" w:cs="Times New Roman"/>
          <w:b/>
          <w:bCs/>
          <w:sz w:val="21"/>
          <w:szCs w:val="21"/>
        </w:rPr>
      </w:pPr>
      <w:r w:rsidRPr="00672DC8">
        <w:rPr>
          <w:rFonts w:ascii="Times New Roman" w:hAnsi="Times New Roman" w:cs="Times New Roman"/>
          <w:b/>
          <w:bCs/>
          <w:sz w:val="21"/>
          <w:szCs w:val="21"/>
        </w:rPr>
        <w:t>10.1   </w:t>
      </w:r>
      <w:r w:rsidRPr="00672DC8">
        <w:rPr>
          <w:rFonts w:ascii="Times New Roman" w:hAnsi="Times New Roman" w:cs="Times New Roman"/>
          <w:b/>
          <w:bCs/>
          <w:sz w:val="21"/>
          <w:szCs w:val="21"/>
        </w:rPr>
        <w:t>外币业务</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Fonts w:ascii="Times New Roman" w:hAnsi="Times New Roman" w:cs="Times New Roman"/>
          <w:sz w:val="21"/>
          <w:szCs w:val="21"/>
        </w:rPr>
        <w:t>外币业务交易在初始确认时，采用交易发生日的即期汇率作为折算汇率折合成人民币记账。</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Fonts w:ascii="Times New Roman" w:hAnsi="Times New Roman" w:cs="Times New Roman"/>
          <w:sz w:val="21"/>
          <w:szCs w:val="21"/>
        </w:rPr>
        <w:t>资产负债表日，外币货币性项目按资产负债表日即期汇率折算，由此产生的汇兑差额，除属于与购建符合资本化条件的资产相关的外币专门借款产生的汇兑差额按照借款费用资本化的原则处理外，均计入当期损益。以历史成本计量的外币非货币性项目，仍采用交易发生日的即期汇率折算，不改变其记账本位币金额。</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Fonts w:ascii="Times New Roman" w:hAnsi="Times New Roman" w:cs="Times New Roman"/>
          <w:sz w:val="21"/>
          <w:szCs w:val="21"/>
        </w:rPr>
        <w:t>以公允价值计量的外币非货币性项目，采用公允价值确定日的即期汇率折算，折算后的记账本位币金额与原记账本位币金额的差额，作为公允价值变动</w:t>
      </w:r>
      <w:r w:rsidRPr="00672DC8">
        <w:rPr>
          <w:rFonts w:ascii="Times New Roman" w:hAnsi="Times New Roman" w:cs="Times New Roman"/>
          <w:sz w:val="21"/>
          <w:szCs w:val="21"/>
        </w:rPr>
        <w:t>(</w:t>
      </w:r>
      <w:r w:rsidRPr="00672DC8">
        <w:rPr>
          <w:rFonts w:ascii="Times New Roman" w:hAnsi="Times New Roman" w:cs="Times New Roman"/>
          <w:sz w:val="21"/>
          <w:szCs w:val="21"/>
        </w:rPr>
        <w:t>含汇率变动</w:t>
      </w:r>
      <w:r w:rsidRPr="00672DC8">
        <w:rPr>
          <w:rFonts w:ascii="Times New Roman" w:hAnsi="Times New Roman" w:cs="Times New Roman"/>
          <w:sz w:val="21"/>
          <w:szCs w:val="21"/>
        </w:rPr>
        <w:t>)</w:t>
      </w:r>
      <w:r w:rsidRPr="00672DC8">
        <w:rPr>
          <w:rFonts w:ascii="Times New Roman" w:hAnsi="Times New Roman" w:cs="Times New Roman"/>
          <w:sz w:val="21"/>
          <w:szCs w:val="21"/>
        </w:rPr>
        <w:t>处理，计入当期损益或确认为其他综合收益。</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Style w:val="a4"/>
          <w:rFonts w:ascii="Times New Roman" w:hAnsi="Times New Roman" w:cs="Times New Roman"/>
          <w:sz w:val="21"/>
          <w:szCs w:val="21"/>
        </w:rPr>
        <w:t>10.2   </w:t>
      </w:r>
      <w:r w:rsidRPr="00672DC8">
        <w:rPr>
          <w:rStyle w:val="a4"/>
          <w:rFonts w:ascii="Times New Roman" w:hAnsi="Times New Roman" w:cs="Times New Roman"/>
          <w:sz w:val="21"/>
          <w:szCs w:val="21"/>
        </w:rPr>
        <w:t>外币财务报表的折算</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Fonts w:ascii="Times New Roman" w:hAnsi="Times New Roman" w:cs="Times New Roman"/>
          <w:sz w:val="21"/>
          <w:szCs w:val="21"/>
        </w:rPr>
        <w:t>资产负债表中的资产和负债项目，采用资产负债表日的即期汇率折算；所有者权益项目除</w:t>
      </w:r>
      <w:r w:rsidRPr="00672DC8">
        <w:rPr>
          <w:rFonts w:ascii="Times New Roman" w:hAnsi="Times New Roman" w:cs="Times New Roman"/>
          <w:sz w:val="21"/>
          <w:szCs w:val="21"/>
        </w:rPr>
        <w:t>“</w:t>
      </w:r>
      <w:r w:rsidRPr="00672DC8">
        <w:rPr>
          <w:rFonts w:ascii="Times New Roman" w:hAnsi="Times New Roman" w:cs="Times New Roman"/>
          <w:sz w:val="21"/>
          <w:szCs w:val="21"/>
        </w:rPr>
        <w:t>未分配利润</w:t>
      </w:r>
      <w:r w:rsidRPr="00672DC8">
        <w:rPr>
          <w:rFonts w:ascii="Times New Roman" w:hAnsi="Times New Roman" w:cs="Times New Roman"/>
          <w:sz w:val="21"/>
          <w:szCs w:val="21"/>
        </w:rPr>
        <w:t>”</w:t>
      </w:r>
      <w:r w:rsidRPr="00672DC8">
        <w:rPr>
          <w:rFonts w:ascii="Times New Roman" w:hAnsi="Times New Roman" w:cs="Times New Roman"/>
          <w:sz w:val="21"/>
          <w:szCs w:val="21"/>
        </w:rPr>
        <w:t>项目外，其他项目采用发生时的即期汇率折算。利润表中的收入和费用项目，采用交易发生日的即期汇率折算。按照上述折算产生的外币财务报表折算差额计入其他综合收益。</w:t>
      </w:r>
    </w:p>
    <w:p w:rsidR="000C0769" w:rsidRPr="00672DC8" w:rsidRDefault="000C0769">
      <w:pPr>
        <w:pStyle w:val="a3"/>
        <w:spacing w:before="0" w:beforeAutospacing="0" w:after="0" w:afterAutospacing="0" w:line="360" w:lineRule="auto"/>
        <w:ind w:firstLine="420"/>
        <w:jc w:val="both"/>
        <w:divId w:val="1062602393"/>
        <w:rPr>
          <w:rFonts w:ascii="Times New Roman" w:hAnsi="Times New Roman" w:cs="Times New Roman"/>
          <w:sz w:val="21"/>
          <w:szCs w:val="21"/>
        </w:rPr>
      </w:pPr>
      <w:r w:rsidRPr="00672DC8">
        <w:rPr>
          <w:rFonts w:ascii="Times New Roman" w:hAnsi="Times New Roman" w:cs="Times New Roman"/>
          <w:sz w:val="21"/>
          <w:szCs w:val="21"/>
        </w:rPr>
        <w:t>处置境外经营时，将资产负债表中其他综合收益项目中列示的、与该境外经营相关的外币财务报表折算差额，自其他综合收益项目转入处置当期损益；</w:t>
      </w:r>
      <w:r w:rsidRPr="00672DC8">
        <w:rPr>
          <w:rFonts w:ascii="Times New Roman" w:hAnsi="Times New Roman" w:cs="Times New Roman"/>
          <w:color w:val="000000"/>
          <w:sz w:val="21"/>
          <w:szCs w:val="21"/>
        </w:rPr>
        <w:t>在处置部分股权投资或其他原因导致持有境外经营权益比例降低但不丧失对境外经营控制权时，与该境外经营处置部分相关的外币报表折算差额将归属于少数股东权益，不转入当期损益。在处置境外经营为联营企业或合营企业的部分股权时，与该境外经营相关的外币报表折算差额，按处置该境外经营的比例转入处置当期损益。</w:t>
      </w:r>
    </w:p>
    <w:p w:rsidR="003D2BA8" w:rsidRPr="00672DC8" w:rsidRDefault="000C0769">
      <w:pPr>
        <w:pStyle w:val="3"/>
        <w:spacing w:line="280" w:lineRule="exact"/>
        <w:jc w:val="left"/>
        <w:rPr>
          <w:rFonts w:ascii="Times New Roman" w:hAnsi="Times New Roman" w:cs="Times New Roman"/>
          <w:b/>
          <w:bCs/>
        </w:rPr>
      </w:pPr>
      <w:bookmarkStart w:id="141" w:name="_Toc989008"/>
      <w:r w:rsidRPr="00672DC8">
        <w:rPr>
          <w:rFonts w:ascii="Times New Roman" w:hAnsi="Times New Roman" w:cs="Times New Roman"/>
          <w:b/>
          <w:bCs/>
        </w:rPr>
        <w:t>11</w:t>
      </w:r>
      <w:r w:rsidRPr="00672DC8">
        <w:rPr>
          <w:rFonts w:ascii="Times New Roman" w:hAnsi="Times New Roman" w:cs="Times New Roman"/>
          <w:b/>
          <w:bCs/>
        </w:rPr>
        <w:t>、金融工具</w:t>
      </w:r>
      <w:bookmarkEnd w:id="141"/>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金融工具，是指形成一方的金融资产并形成其他方的金融负债或权益工具的合同。本公司成为金融工具合同的一方时，确认一项金融资产或金融负债。</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lastRenderedPageBreak/>
        <w:t>11.1   </w:t>
      </w:r>
      <w:r w:rsidRPr="00672DC8">
        <w:rPr>
          <w:rStyle w:val="a4"/>
          <w:rFonts w:ascii="Times New Roman" w:hAnsi="Times New Roman" w:cs="Times New Roman"/>
          <w:sz w:val="21"/>
          <w:szCs w:val="21"/>
        </w:rPr>
        <w:t>金融资产的分类和计量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根据管理金融资产的业务模式和金融资产的合同现金流量特征，将金融资产划分为：以摊余成本计量的金融资产、以公允价值计量且其变动计入其他综合收益的金融资产及以公允价值计量且其变动计入当期损益的金融资产。</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11.1.1  </w:t>
      </w:r>
      <w:r w:rsidRPr="00672DC8">
        <w:rPr>
          <w:rStyle w:val="a4"/>
          <w:rFonts w:ascii="Times New Roman" w:hAnsi="Times New Roman" w:cs="Times New Roman"/>
          <w:sz w:val="21"/>
          <w:szCs w:val="21"/>
        </w:rPr>
        <w:t>以摊余成本计量的债务工具投资</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资产同时符合以下条件的，分类为以摊余成本计量的金融资产：本公司管理此类金融资产的业务模式为以收取合同现金流量为目标；该金融资产的合同条款规定，在特定日期产生的现金流量，仅为对本金和以未偿付本金金额为基础的利息的支付。</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以摊余成本计量的金融资产包括应收票据及应收账款、其他应收款、长期应收款、债权投资等，按公允价值进行初始计量，相关交易费用计入初始确认金额；不包含重大融资成分的应收账款以及本公司决定不考虑不超过一年的融资成分的应收账款，以合同交易价格进行初始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此类金融资产按照实际利率法以摊余成本进行后续计量，持有期间采用实际利率法计算的利息计入当期损益。收回或处置时，将取得的价款与该金融资产账面价值之间的差额计入当期损益。其摊销或减值产生的利得或损失，均计入当期损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11.1.2  </w:t>
      </w:r>
      <w:r w:rsidRPr="00672DC8">
        <w:rPr>
          <w:rStyle w:val="a4"/>
          <w:rFonts w:ascii="Times New Roman" w:hAnsi="Times New Roman" w:cs="Times New Roman"/>
          <w:sz w:val="21"/>
          <w:szCs w:val="21"/>
        </w:rPr>
        <w:t>以公允价值计量且其变动计入其他综合收益的金融资产</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11.1.2.1  </w:t>
      </w:r>
      <w:r w:rsidRPr="00672DC8">
        <w:rPr>
          <w:rStyle w:val="a4"/>
          <w:rFonts w:ascii="Times New Roman" w:hAnsi="Times New Roman" w:cs="Times New Roman"/>
          <w:sz w:val="21"/>
          <w:szCs w:val="21"/>
        </w:rPr>
        <w:t>以公允价值计量且其变动计入其他综合收益的债务工具投资</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资产同时符合以下条件的，分类为以公允价值计量且其变动计入其他综合收益的金融资产：本公司管理此类金融资产的业务模式为既以收取合同现金流量为目标又以出售为目标；该金融资产的合同条款规定，在特定日期产生的现金流量，仅为对本金和以未偿付本金金额为基础的利息的支付。</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以公允价值计量且其变动计入其他综合收益的金融资产（债务工具）包括其他债权投资等，按公允价值进行初始计量，相关交易费用计入初始确认金额。该金融资产按公允价值进行后续计量，公允价值变动除采用实际利率法计算的利息、减值损失或利得和汇兑损益之外，均计入其他综合收益。</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终止确认时，之前计入其他综合收益的累计利得或损失从其他综合收益中转出，计入当期损益。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11.1.2.2  </w:t>
      </w:r>
      <w:r w:rsidRPr="00672DC8">
        <w:rPr>
          <w:rStyle w:val="a4"/>
          <w:rFonts w:ascii="Times New Roman" w:hAnsi="Times New Roman" w:cs="Times New Roman"/>
          <w:sz w:val="21"/>
          <w:szCs w:val="21"/>
        </w:rPr>
        <w:t>指定为以公允价值计量且其变动计入其他综合收益的权益工具投资</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不可撤销地选择将部分非交易性权益工具投资指定为以公允价值计量且其变动计入其他综合收益的金融资产，包括其他权益工具投资等，仅将相关股利收入计入当期损益，公允价值变动计入其他综合收益。当该金融资产终止确认时，之前计入其他综合收益的累计利得或损失从其他综合收益中转出，计入留存收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11.1.3   </w:t>
      </w:r>
      <w:r w:rsidRPr="00672DC8">
        <w:rPr>
          <w:rStyle w:val="a4"/>
          <w:rFonts w:ascii="Times New Roman" w:hAnsi="Times New Roman" w:cs="Times New Roman"/>
          <w:sz w:val="21"/>
          <w:szCs w:val="21"/>
        </w:rPr>
        <w:t>以公允价值计量且其变动计入当期损益的金融资产</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lastRenderedPageBreak/>
        <w:t>本公司将持有的未划分为上述以摊余成本计量的金融资产和以公允价值计量且其变动计入其他综合收益的金融资产之外的金融资产，分类为以公允价值计量且其变动计入当期损益的金融资产。包括交易性金融资产、衍生金融资产、其他非流动金融资产等，按公允价值进行初始计量，相关交易费用计入当期损益。该金融资产按公允价值进行后续计量，公允价值变动计入当期损益。终止确认时，其公允价值与初始入账金额之间的差额确认为投资收益。</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指定为以公允价值计量且其变动计入当期损益的金融资产情况。</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11.2   </w:t>
      </w:r>
      <w:r w:rsidRPr="00672DC8">
        <w:rPr>
          <w:rStyle w:val="a4"/>
          <w:rFonts w:ascii="Times New Roman" w:hAnsi="Times New Roman" w:cs="Times New Roman"/>
          <w:sz w:val="21"/>
          <w:szCs w:val="21"/>
        </w:rPr>
        <w:t>金融工具的减值</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对分类为以摊余成本计量的金融工具、分类为以公允价值计量且其变动计入其他综合收益的金融工具（债务工具）、租赁应收款、合同资产、应收款项以及财务担保合同以预期信用损失为基础确认损失准备。</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本公司按照下列方法确定相关金融工具的预期信用损失：</w:t>
      </w:r>
      <w:r w:rsidRPr="00672DC8">
        <w:rPr>
          <w:rFonts w:hint="eastAsia"/>
          <w:sz w:val="21"/>
          <w:szCs w:val="21"/>
        </w:rPr>
        <w:t>①</w:t>
      </w:r>
      <w:r w:rsidRPr="00672DC8">
        <w:rPr>
          <w:rFonts w:ascii="Times New Roman" w:hAnsi="Times New Roman" w:cs="Times New Roman"/>
          <w:sz w:val="21"/>
          <w:szCs w:val="21"/>
        </w:rPr>
        <w:t>对于金融资产，信用损失应为本公司应收取的合同现金流量与预期收取的现金流量之间差额的现值；</w:t>
      </w:r>
      <w:r w:rsidRPr="00672DC8">
        <w:rPr>
          <w:rFonts w:hint="eastAsia"/>
          <w:sz w:val="21"/>
          <w:szCs w:val="21"/>
        </w:rPr>
        <w:t>②</w:t>
      </w:r>
      <w:r w:rsidRPr="00672DC8">
        <w:rPr>
          <w:rFonts w:ascii="Times New Roman" w:hAnsi="Times New Roman" w:cs="Times New Roman"/>
          <w:sz w:val="21"/>
          <w:szCs w:val="21"/>
        </w:rPr>
        <w:t>对于租赁应收款项，信用损失应为本公司应收取的合同现金流量与预期收取的现金流量之间差额的现值；</w:t>
      </w:r>
      <w:r w:rsidRPr="00672DC8">
        <w:rPr>
          <w:rFonts w:hint="eastAsia"/>
          <w:sz w:val="21"/>
          <w:szCs w:val="21"/>
        </w:rPr>
        <w:t>③</w:t>
      </w:r>
      <w:r w:rsidRPr="00672DC8">
        <w:rPr>
          <w:rFonts w:ascii="Times New Roman" w:hAnsi="Times New Roman" w:cs="Times New Roman"/>
          <w:sz w:val="21"/>
          <w:szCs w:val="21"/>
        </w:rPr>
        <w:t>对于财务担保合同，信用损失应为本公司就该合同持有人发生的信用损失向其做出赔付的预计付款额，减去本公司预期向该合同持有人、债务人或任何其他方收取的金额之间差额的现值；</w:t>
      </w:r>
      <w:r w:rsidRPr="00672DC8">
        <w:rPr>
          <w:rFonts w:hint="eastAsia"/>
          <w:sz w:val="21"/>
          <w:szCs w:val="21"/>
        </w:rPr>
        <w:t>④</w:t>
      </w:r>
      <w:r w:rsidRPr="00672DC8">
        <w:rPr>
          <w:rFonts w:ascii="Times New Roman" w:hAnsi="Times New Roman" w:cs="Times New Roman"/>
          <w:sz w:val="21"/>
          <w:szCs w:val="21"/>
        </w:rPr>
        <w:t>对于未提用的贷款承诺，信用损失应为在贷款承诺持有人提用相应贷款的情况下，企业应收取的合同现金流量与预期收取的现金流量之间差额的现值。</w:t>
      </w:r>
      <w:r w:rsidRPr="00672DC8">
        <w:rPr>
          <w:rFonts w:hint="eastAsia"/>
          <w:sz w:val="21"/>
          <w:szCs w:val="21"/>
        </w:rPr>
        <w:t>⑤</w:t>
      </w:r>
      <w:r w:rsidRPr="00672DC8">
        <w:rPr>
          <w:rFonts w:ascii="Times New Roman" w:hAnsi="Times New Roman" w:cs="Times New Roman"/>
          <w:sz w:val="21"/>
          <w:szCs w:val="21"/>
        </w:rPr>
        <w:t>对于资产负债表日已发生信用减值但并非购买或源生已发生信用减值的金融资产，信用损失为该金融资产账面余额与按原实际利率折现的估计未来现金流量的现值之间的差额。</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计量金融工具预期信用损失的方法反映的因素包括：通过评价一系列可能的结果而确定的无偏概率加权平均金额；货币时间价值；在资产负债表日无须付出不必要的额外成本或努力即可获得的有关过去事项、当前状况以及未来经济状况预测的合理且有依据的信息。</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当本公司不再合理预期金融资产合同现金流量能够全部或部分收回的，直接减记该金融资产的账面余额。这种减记构成相关金融资产的终止确认。</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本公司对由收入准则规范的交易形成的应收款项和合同资产（无论是否包含重大融资成分），对由租赁准则规范的交易形成的租赁应收款，具体预期信用损失的确定方法及会计处理方法，详见</w:t>
      </w:r>
      <w:r w:rsidRPr="00672DC8">
        <w:rPr>
          <w:rFonts w:ascii="Times New Roman" w:hAnsi="Times New Roman" w:cs="Times New Roman"/>
          <w:sz w:val="21"/>
          <w:szCs w:val="21"/>
        </w:rPr>
        <w:t>3.12</w:t>
      </w:r>
      <w:r w:rsidRPr="00672DC8">
        <w:rPr>
          <w:rFonts w:ascii="Times New Roman" w:hAnsi="Times New Roman" w:cs="Times New Roman"/>
          <w:sz w:val="21"/>
          <w:szCs w:val="21"/>
        </w:rPr>
        <w:t>应收票据、</w:t>
      </w:r>
      <w:r w:rsidRPr="00672DC8">
        <w:rPr>
          <w:rFonts w:ascii="Times New Roman" w:hAnsi="Times New Roman" w:cs="Times New Roman"/>
          <w:sz w:val="21"/>
          <w:szCs w:val="21"/>
        </w:rPr>
        <w:t>3.13</w:t>
      </w:r>
      <w:r w:rsidRPr="00672DC8">
        <w:rPr>
          <w:rFonts w:ascii="Times New Roman" w:hAnsi="Times New Roman" w:cs="Times New Roman"/>
          <w:sz w:val="21"/>
          <w:szCs w:val="21"/>
        </w:rPr>
        <w:t>应收账款、</w:t>
      </w:r>
      <w:r w:rsidRPr="00672DC8">
        <w:rPr>
          <w:rFonts w:ascii="Times New Roman" w:hAnsi="Times New Roman" w:cs="Times New Roman"/>
          <w:sz w:val="21"/>
          <w:szCs w:val="21"/>
        </w:rPr>
        <w:t>3.16</w:t>
      </w:r>
      <w:r w:rsidRPr="00672DC8">
        <w:rPr>
          <w:rFonts w:ascii="Times New Roman" w:hAnsi="Times New Roman" w:cs="Times New Roman"/>
          <w:sz w:val="21"/>
          <w:szCs w:val="21"/>
        </w:rPr>
        <w:t>合同资产、</w:t>
      </w:r>
      <w:r w:rsidRPr="00672DC8">
        <w:rPr>
          <w:rFonts w:ascii="Times New Roman" w:hAnsi="Times New Roman" w:cs="Times New Roman"/>
          <w:sz w:val="21"/>
          <w:szCs w:val="21"/>
        </w:rPr>
        <w:t>3.21</w:t>
      </w:r>
      <w:r w:rsidRPr="00672DC8">
        <w:rPr>
          <w:rFonts w:ascii="Times New Roman" w:hAnsi="Times New Roman" w:cs="Times New Roman"/>
          <w:sz w:val="21"/>
          <w:szCs w:val="21"/>
        </w:rPr>
        <w:t>长期应收款。</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对于其他金融工具，除购买或源生的已发生信用减值的金融资产外，本公司在每个资产负债表日评估相关金融工具的信用风险自初始确认后的变动情况。若该金融工具的信用风险自初始确认后已显著增加，本公司按照相当于该金融工具整个存续期内预期信用损失的金额计量其损失准备；若该金融工具的信用风险自初始确认后并未显著增加，本公司按照相当于该金融工具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w:t>
      </w:r>
      <w:r w:rsidRPr="00672DC8">
        <w:rPr>
          <w:rFonts w:ascii="Times New Roman" w:hAnsi="Times New Roman" w:cs="Times New Roman"/>
          <w:sz w:val="21"/>
          <w:szCs w:val="21"/>
        </w:rPr>
        <w:lastRenderedPageBreak/>
        <w:t>计量其损失准备。信用损失准备的增加或转回金额，除分类为以公允价值计量且其变动计入其他综合收益的金融资产外，作为减值损失或利得计入当期损益。对于分类为以公允价值计量且其变动计入其他综合收益的金融资产，本公司在其他综合收益中确认其信用损失准备，并将减值损失或利得计入当期损益，且不减少该金融资产在资产负债表中列示的账面价值。具体预期信用损失的确定方法及会计处理方法，详见</w:t>
      </w:r>
      <w:r w:rsidRPr="00672DC8">
        <w:rPr>
          <w:rFonts w:ascii="Times New Roman" w:hAnsi="Times New Roman" w:cs="Times New Roman"/>
          <w:sz w:val="21"/>
          <w:szCs w:val="21"/>
        </w:rPr>
        <w:t>15</w:t>
      </w:r>
      <w:r w:rsidRPr="00672DC8">
        <w:rPr>
          <w:rFonts w:ascii="Times New Roman" w:hAnsi="Times New Roman" w:cs="Times New Roman"/>
          <w:sz w:val="21"/>
          <w:szCs w:val="21"/>
        </w:rPr>
        <w:t>、其他应收款、</w:t>
      </w:r>
      <w:r w:rsidRPr="00672DC8">
        <w:rPr>
          <w:rFonts w:ascii="Times New Roman" w:hAnsi="Times New Roman" w:cs="Times New Roman"/>
          <w:sz w:val="21"/>
          <w:szCs w:val="21"/>
        </w:rPr>
        <w:t>19</w:t>
      </w:r>
      <w:r w:rsidRPr="00672DC8">
        <w:rPr>
          <w:rFonts w:ascii="Times New Roman" w:hAnsi="Times New Roman" w:cs="Times New Roman"/>
          <w:sz w:val="21"/>
          <w:szCs w:val="21"/>
        </w:rPr>
        <w:t>、债权投资、</w:t>
      </w:r>
      <w:r w:rsidRPr="00672DC8">
        <w:rPr>
          <w:rFonts w:ascii="Times New Roman" w:hAnsi="Times New Roman" w:cs="Times New Roman"/>
          <w:sz w:val="21"/>
          <w:szCs w:val="21"/>
        </w:rPr>
        <w:t>20</w:t>
      </w:r>
      <w:r w:rsidRPr="00672DC8">
        <w:rPr>
          <w:rFonts w:ascii="Times New Roman" w:hAnsi="Times New Roman" w:cs="Times New Roman"/>
          <w:sz w:val="21"/>
          <w:szCs w:val="21"/>
        </w:rPr>
        <w:t>、其他债权投资、</w:t>
      </w:r>
      <w:r w:rsidRPr="00672DC8">
        <w:rPr>
          <w:rFonts w:ascii="Times New Roman" w:hAnsi="Times New Roman" w:cs="Times New Roman"/>
          <w:sz w:val="21"/>
          <w:szCs w:val="21"/>
        </w:rPr>
        <w:t>21</w:t>
      </w:r>
      <w:r w:rsidRPr="00672DC8">
        <w:rPr>
          <w:rFonts w:ascii="Times New Roman" w:hAnsi="Times New Roman" w:cs="Times New Roman"/>
          <w:sz w:val="21"/>
          <w:szCs w:val="21"/>
        </w:rPr>
        <w:t>、长期应收款。</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在前一会计期间已经按照相当于金融工具整个存续期内预期信用损失的金额计量了损失准备，但在当期资产负债表日，该金融工具已不再属于自初始确认后信用风险显著增加的情形的，本公司在当期资产负债表日按照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个月内预期信用损失的金额计量该金融工具的损失准备，由此形成的损失准备的转回金额作为减值利得计入当期损益。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11.2.1  </w:t>
      </w:r>
      <w:r w:rsidRPr="00672DC8">
        <w:rPr>
          <w:rStyle w:val="a4"/>
          <w:rFonts w:ascii="Times New Roman" w:hAnsi="Times New Roman" w:cs="Times New Roman"/>
          <w:sz w:val="21"/>
          <w:szCs w:val="21"/>
        </w:rPr>
        <w:t>信用风险显著增加</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本公司利用可获得的合理且有依据的前瞻性信息，通过比较金融工具在资产负债表日发生违约的风险与在初始确认日发生违约的风险，以确定金融工具的信用风险自初始确认后是否已显著增加。</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本公司在评估信用风险是否显著增加时会考虑如下因素：本公司判断信用风险显著增加的主要标准为逾期天数超过</w:t>
      </w:r>
      <w:r w:rsidRPr="00672DC8">
        <w:rPr>
          <w:rFonts w:ascii="Times New Roman" w:hAnsi="Times New Roman" w:cs="Times New Roman"/>
          <w:sz w:val="21"/>
          <w:szCs w:val="21"/>
        </w:rPr>
        <w:t>30</w:t>
      </w:r>
      <w:r w:rsidRPr="00672DC8">
        <w:rPr>
          <w:rFonts w:ascii="Times New Roman" w:hAnsi="Times New Roman" w:cs="Times New Roman"/>
          <w:sz w:val="21"/>
          <w:szCs w:val="21"/>
        </w:rPr>
        <w:t>日，或者以下一个或多个指标发生显著变化：债务人所处的经营环境、内外部信用评级、实际或预期经营成果的显著变化、担保物价值或担保方信用评级的显著下降等。</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于资产负债表日，若本公司判断金融工具只具有较低的信用风险的，则假设该金融工具的信用风险自初始确认后并未显著增加。如果金融工具违约风险较低，借款人在短期内履行其合同现金流量义务的能力很强，并且即使较长时间内经济形势和经营环境存在不利变化但未必一定降低借款人履行其合同现金义务，则该金融工具被视为具有较低的信用风险。</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11.2.2  </w:t>
      </w:r>
      <w:r w:rsidRPr="00672DC8">
        <w:rPr>
          <w:rStyle w:val="a4"/>
          <w:rFonts w:ascii="Times New Roman" w:hAnsi="Times New Roman" w:cs="Times New Roman"/>
          <w:sz w:val="21"/>
          <w:szCs w:val="21"/>
        </w:rPr>
        <w:t>已发生信用减值的金融资产</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当本公司预期对金融资产未来现金流量具有不利影响的一项或多项事件发生时，该金融资产成为已发生信用减值的金融资产。金融资产已发生信用减值的证据包括下列可观察信息：</w:t>
      </w:r>
      <w:r w:rsidRPr="00672DC8">
        <w:rPr>
          <w:rFonts w:hint="eastAsia"/>
          <w:sz w:val="21"/>
          <w:szCs w:val="21"/>
        </w:rPr>
        <w:t>①</w:t>
      </w:r>
      <w:r w:rsidRPr="00672DC8">
        <w:rPr>
          <w:rFonts w:ascii="Times New Roman" w:hAnsi="Times New Roman" w:cs="Times New Roman"/>
          <w:sz w:val="21"/>
          <w:szCs w:val="21"/>
        </w:rPr>
        <w:t>发行方或债务人发生重大财务困难；</w:t>
      </w:r>
      <w:r w:rsidRPr="00672DC8">
        <w:rPr>
          <w:rFonts w:hint="eastAsia"/>
          <w:sz w:val="21"/>
          <w:szCs w:val="21"/>
        </w:rPr>
        <w:t>②</w:t>
      </w:r>
      <w:r w:rsidRPr="00672DC8">
        <w:rPr>
          <w:rFonts w:ascii="Times New Roman" w:hAnsi="Times New Roman" w:cs="Times New Roman"/>
          <w:sz w:val="21"/>
          <w:szCs w:val="21"/>
        </w:rPr>
        <w:t>债务人违反合同，如偿付利息或本金违约或逾期等；</w:t>
      </w:r>
      <w:r w:rsidRPr="00672DC8">
        <w:rPr>
          <w:rFonts w:hint="eastAsia"/>
          <w:sz w:val="21"/>
          <w:szCs w:val="21"/>
        </w:rPr>
        <w:t>③</w:t>
      </w:r>
      <w:r w:rsidRPr="00672DC8">
        <w:rPr>
          <w:rFonts w:ascii="Times New Roman" w:hAnsi="Times New Roman" w:cs="Times New Roman"/>
          <w:sz w:val="21"/>
          <w:szCs w:val="21"/>
        </w:rPr>
        <w:t>债权人出于与债务人财务困难有关的经济或合同考虑，给予债务人在任何其他情况下都不会做出的让步；</w:t>
      </w:r>
      <w:r w:rsidRPr="00672DC8">
        <w:rPr>
          <w:rFonts w:hint="eastAsia"/>
          <w:sz w:val="21"/>
          <w:szCs w:val="21"/>
        </w:rPr>
        <w:t>④</w:t>
      </w:r>
      <w:r w:rsidRPr="00672DC8">
        <w:rPr>
          <w:rFonts w:ascii="Times New Roman" w:hAnsi="Times New Roman" w:cs="Times New Roman"/>
          <w:sz w:val="21"/>
          <w:szCs w:val="21"/>
        </w:rPr>
        <w:t>债务人很可能破产或进行其他财务重组；</w:t>
      </w:r>
      <w:r w:rsidRPr="00672DC8">
        <w:rPr>
          <w:rFonts w:hint="eastAsia"/>
          <w:sz w:val="21"/>
          <w:szCs w:val="21"/>
        </w:rPr>
        <w:t>⑤</w:t>
      </w:r>
      <w:r w:rsidRPr="00672DC8">
        <w:rPr>
          <w:rFonts w:ascii="Times New Roman" w:hAnsi="Times New Roman" w:cs="Times New Roman"/>
          <w:sz w:val="21"/>
          <w:szCs w:val="21"/>
        </w:rPr>
        <w:t>发行方或债务人财务困难导致该金融资产的活跃市场消失；</w:t>
      </w:r>
      <w:r w:rsidRPr="00672DC8">
        <w:rPr>
          <w:rFonts w:hint="eastAsia"/>
          <w:sz w:val="21"/>
          <w:szCs w:val="21"/>
        </w:rPr>
        <w:t>⑥</w:t>
      </w:r>
      <w:r w:rsidRPr="00672DC8">
        <w:rPr>
          <w:rFonts w:ascii="Times New Roman" w:hAnsi="Times New Roman" w:cs="Times New Roman"/>
          <w:sz w:val="21"/>
          <w:szCs w:val="21"/>
        </w:rPr>
        <w:t>以大幅折扣购买或源生一项金融资产，该折扣反映了发生信用损失的事实。</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当一项金融工具逾期超过（含）</w:t>
      </w:r>
      <w:r w:rsidRPr="00672DC8">
        <w:rPr>
          <w:rFonts w:ascii="Times New Roman" w:hAnsi="Times New Roman" w:cs="Times New Roman"/>
          <w:sz w:val="21"/>
          <w:szCs w:val="21"/>
        </w:rPr>
        <w:t>90</w:t>
      </w:r>
      <w:r w:rsidRPr="00672DC8">
        <w:rPr>
          <w:rFonts w:ascii="Times New Roman" w:hAnsi="Times New Roman" w:cs="Times New Roman"/>
          <w:sz w:val="21"/>
          <w:szCs w:val="21"/>
        </w:rPr>
        <w:t>日，本公司推定该金融工具已发生违约。</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11.3   </w:t>
      </w:r>
      <w:r w:rsidRPr="00672DC8">
        <w:rPr>
          <w:rStyle w:val="a4"/>
          <w:rFonts w:ascii="Times New Roman" w:hAnsi="Times New Roman" w:cs="Times New Roman"/>
          <w:sz w:val="21"/>
          <w:szCs w:val="21"/>
        </w:rPr>
        <w:t>金融资产转移确认依据和计量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金融资产满足下列条件之一的，本公司予以终止对该项金融资产的确认：收取该金融资产现金流量的合同权利终止；该金融资产已转移，且本公司将金融资产所有权上几乎所有的风险和报酬转移给转入</w:t>
      </w:r>
      <w:r w:rsidRPr="00672DC8">
        <w:rPr>
          <w:rFonts w:ascii="Times New Roman" w:hAnsi="Times New Roman" w:cs="Times New Roman"/>
          <w:sz w:val="21"/>
          <w:szCs w:val="21"/>
        </w:rPr>
        <w:lastRenderedPageBreak/>
        <w:t>方；该金融资产已转移，虽然本公司既没有转移也没有保留金融资产所有权上几乎所有的风险和报酬，但是放弃了对该金融资产控制。</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的金融资产部分转移满足终止确认条件的，将所转移金融资产整体的账面价值，在终止确认部分和未终止确认部分之间按照转移日各自相对的公允价值进行分摊，并将终止确认部分收到的对价与原计入其他综合收益的公允价值变动累计额中对应终止确认部分的金额之和与终止确认部分在终止确认日的账面价值之差额计入当期损益或留存收益。</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若本公司既没有转移也没有保留金融资产所有权上几乎所有的风险和报酬，且未放弃对该金融资产的控制的，则按照继续涉入所转移金融资产的程度确认有关金融资产，并相应确认有关负债。</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被转移金融资产以摊余成本计量的，相关负债的账面价值等于继续涉入被转移金融资产的账面价值减去本公司保留的权利（如果本公司因金融资产转移保留了相关权利）的摊余成本并加上本公司承担的义务（如果本公司因金融资产转移承担了相关义务）的摊余成本，相关负债不指定为以公允价值计量且其变动计入当期损益的金融负债；</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被转移金融资产以公允价值计量的，相关负债的账面价值等于继续涉入被转移金融资产的账面价值减去本公司保留的权利（如果本公司因金融资产转移保留了相关权利）的公允价值并加上本公司承担的义务（如果本公司因金融资产转移承担了相关义务）的公允价值，该权利和义务的公允价值应为按独立基础计量时的公允价值。</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金融资产转移不满足终止确认条件的，继续确认所转移金融资产整体，并将所收到的对价确认为一项金融负债。</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对于继续涉入条件下的金融资产转移，本公司根据继续涉入所转移金融资产的程度确认有关金融资产和金融负债，以充分反映本公司所保留的权利和承担的义务。</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11.4  </w:t>
      </w:r>
      <w:r w:rsidRPr="00672DC8">
        <w:rPr>
          <w:rStyle w:val="a4"/>
          <w:rFonts w:ascii="Times New Roman" w:hAnsi="Times New Roman" w:cs="Times New Roman"/>
          <w:sz w:val="21"/>
          <w:szCs w:val="21"/>
        </w:rPr>
        <w:t>金融负债的分类和计量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本公司的金融负债于初始确认时分类为以公允价值计量且其变动计入当期损益的金融负债和以摊余成本计量的金融负债。金融负债在初始确认时以公允价值计量。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以公允价值计量且其变动计入当期损益的金融负债，包括交易性金融负债（含属于金融负债的衍生工具）和指定为以公允价值计量且其变动计入当期损益的金融负债。该类金融负债以公允价值计量，公允价值变动形成的利得或损失，计入当期损益。</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以摊余成本计量的金融负债，采用实际利率法，按摊余成本进行后续计量。</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金融负债的现时义务全部或部分已经解除的，终止确认该金融负债或其一部分。本公司与债权人之间签订协议，以承担新金融负债方式替换现存金融负债，且新金融负债与现存金融负债的合同条款实质上不同的，终止确认现存金融负债，并同时确认新金融负债。</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lastRenderedPageBreak/>
        <w:t>金融负债全部或部分终止确认的，将终止确认部分的账面价值与支付的对价（包括转出的非现金资产或承担的新金融负债）之间的差额，计入当期损益。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 xml:space="preserve">11.5  </w:t>
      </w:r>
      <w:r w:rsidRPr="00672DC8">
        <w:rPr>
          <w:rStyle w:val="a4"/>
          <w:rFonts w:ascii="Times New Roman" w:hAnsi="Times New Roman" w:cs="Times New Roman"/>
          <w:sz w:val="21"/>
          <w:szCs w:val="21"/>
        </w:rPr>
        <w:t>金融负债的终止确认</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本公司金融负债的现时义务全部或部分已经解除的，终止确认该金融负债或其一部分。本公司与债权人之间签订协议，以承担新金融负债方式替换现存金融负债，且新金融负债与现存金融负债的合同条款实质上不同的，终止确认现存金融负债，并同时确认新金融负债。</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金融负债全部或部分终止确认的，将终止确认部分的账面价值与支付的对价（包括转出的非现金资产或承担的新金融负债）之间的差额，计入当期损益。</w:t>
      </w:r>
    </w:p>
    <w:p w:rsidR="000C0769" w:rsidRPr="00672DC8" w:rsidRDefault="000C0769">
      <w:pPr>
        <w:pStyle w:val="a3"/>
        <w:spacing w:before="0" w:beforeAutospacing="0" w:after="0" w:afterAutospacing="0" w:line="360" w:lineRule="auto"/>
        <w:ind w:firstLine="422"/>
        <w:jc w:val="both"/>
        <w:divId w:val="414015424"/>
        <w:rPr>
          <w:rFonts w:ascii="Times New Roman" w:hAnsi="Times New Roman" w:cs="Times New Roman"/>
          <w:sz w:val="21"/>
          <w:szCs w:val="21"/>
        </w:rPr>
      </w:pPr>
      <w:r w:rsidRPr="00672DC8">
        <w:rPr>
          <w:rStyle w:val="a4"/>
          <w:rFonts w:ascii="Times New Roman" w:hAnsi="Times New Roman" w:cs="Times New Roman"/>
          <w:sz w:val="21"/>
          <w:szCs w:val="21"/>
        </w:rPr>
        <w:t>11.6   </w:t>
      </w:r>
      <w:r w:rsidRPr="00672DC8">
        <w:rPr>
          <w:rStyle w:val="a4"/>
          <w:rFonts w:ascii="Times New Roman" w:hAnsi="Times New Roman" w:cs="Times New Roman"/>
          <w:sz w:val="21"/>
          <w:szCs w:val="21"/>
        </w:rPr>
        <w:t>金融资产和金融负债的抵销</w:t>
      </w:r>
    </w:p>
    <w:p w:rsidR="000C0769" w:rsidRPr="00672DC8" w:rsidRDefault="000C0769">
      <w:pPr>
        <w:pStyle w:val="a3"/>
        <w:spacing w:before="0" w:beforeAutospacing="0" w:after="0" w:afterAutospacing="0" w:line="360" w:lineRule="auto"/>
        <w:ind w:firstLine="420"/>
        <w:jc w:val="both"/>
        <w:divId w:val="414015424"/>
        <w:rPr>
          <w:rFonts w:ascii="Times New Roman" w:hAnsi="Times New Roman" w:cs="Times New Roman"/>
          <w:sz w:val="21"/>
          <w:szCs w:val="21"/>
        </w:rPr>
      </w:pPr>
      <w:r w:rsidRPr="00672DC8">
        <w:rPr>
          <w:rFonts w:ascii="Times New Roman" w:hAnsi="Times New Roman" w:cs="Times New Roman"/>
          <w:sz w:val="21"/>
          <w:szCs w:val="21"/>
        </w:rPr>
        <w:t>金融资产和金融负债在资产负债表内分别列示，不相互抵销。但同时满足下列条件的，以相互抵销后的净额在资产负债表内列示：本公司具有抵销已确认金额的法定权利，且该种法定权利是当前可执行的；本公司计划以净额结算，或同时变现该金融资产和清偿该金融负债。不满足终止确认条件的金融资产转移，转出方不得将已转移的金融资产和相关负债进行抵销。</w:t>
      </w:r>
    </w:p>
    <w:p w:rsidR="003D2BA8" w:rsidRPr="00672DC8" w:rsidRDefault="000C0769">
      <w:pPr>
        <w:pStyle w:val="3"/>
        <w:spacing w:line="280" w:lineRule="exact"/>
        <w:jc w:val="left"/>
        <w:rPr>
          <w:rFonts w:ascii="Times New Roman" w:hAnsi="Times New Roman" w:cs="Times New Roman"/>
          <w:b/>
          <w:bCs/>
        </w:rPr>
      </w:pPr>
      <w:bookmarkStart w:id="142" w:name="_Toc989009"/>
      <w:r w:rsidRPr="00672DC8">
        <w:rPr>
          <w:rFonts w:ascii="Times New Roman" w:hAnsi="Times New Roman" w:cs="Times New Roman"/>
          <w:b/>
          <w:bCs/>
        </w:rPr>
        <w:t>12</w:t>
      </w:r>
      <w:r w:rsidRPr="00672DC8">
        <w:rPr>
          <w:rFonts w:ascii="Times New Roman" w:hAnsi="Times New Roman" w:cs="Times New Roman"/>
          <w:b/>
          <w:bCs/>
        </w:rPr>
        <w:t>、应收票据</w:t>
      </w:r>
      <w:bookmarkEnd w:id="142"/>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应收票据项目，反映资产负债表日以摊余成本计量的、企业因销售商品、提供服务等收到的商业汇票，包括银行承兑汇票和商业承兑汇票。</w:t>
      </w:r>
    </w:p>
    <w:p w:rsidR="000C0769" w:rsidRPr="00672DC8" w:rsidRDefault="000C0769">
      <w:pPr>
        <w:pStyle w:val="a3"/>
        <w:spacing w:before="0" w:beforeAutospacing="0" w:after="0" w:afterAutospacing="0" w:line="360" w:lineRule="auto"/>
        <w:ind w:firstLine="422"/>
        <w:jc w:val="both"/>
        <w:divId w:val="1736392063"/>
        <w:rPr>
          <w:rFonts w:ascii="Times New Roman" w:hAnsi="Times New Roman" w:cs="Times New Roman"/>
          <w:sz w:val="21"/>
          <w:szCs w:val="21"/>
        </w:rPr>
      </w:pPr>
      <w:r w:rsidRPr="00672DC8">
        <w:rPr>
          <w:rStyle w:val="a4"/>
          <w:rFonts w:ascii="Times New Roman" w:hAnsi="Times New Roman" w:cs="Times New Roman"/>
          <w:sz w:val="21"/>
          <w:szCs w:val="21"/>
        </w:rPr>
        <w:t xml:space="preserve">12.1 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本公司对由收入准则规范的交易形成的应收款项（无论是否包含重大融资成分），按照相当于整个存续期内预期信用损失的金额计量损失准备。</w:t>
      </w:r>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本公司基于单项和组合评估应收款项的预期信用损失。如果有客观证据表明某项应收款项已经发生信用减值，则本公司对该应收款项在单项资产的基础上确定预期信用损失。对于划分为组合的应收款项，本公司参考历史信用损失经验，结合当前状况以及对未来经济状况的预测，通过违约风险敞口和整个存续期预期信用损失率，计算预期信用损失。</w:t>
      </w:r>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基于应收票据的信用风险特征，将其划分为不同组合：</w:t>
      </w:r>
    </w:p>
    <w:tbl>
      <w:tblPr>
        <w:tblStyle w:val="aa"/>
        <w:tblW w:w="4882" w:type="pct"/>
        <w:tblLook w:val="04A0" w:firstRow="1" w:lastRow="0" w:firstColumn="1" w:lastColumn="0" w:noHBand="0" w:noVBand="1"/>
      </w:tblPr>
      <w:tblGrid>
        <w:gridCol w:w="3322"/>
        <w:gridCol w:w="6078"/>
      </w:tblGrid>
      <w:tr w:rsidR="000C0769" w:rsidRPr="00672DC8" w:rsidTr="00F0176F">
        <w:trPr>
          <w:divId w:val="1736392063"/>
          <w:trHeight w:val="340"/>
        </w:trPr>
        <w:tc>
          <w:tcPr>
            <w:tcW w:w="1767" w:type="pct"/>
            <w:shd w:val="clear" w:color="auto" w:fill="BFBFBF" w:themeFill="background1" w:themeFillShade="BF"/>
            <w:vAlign w:val="center"/>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组合名称</w:t>
            </w:r>
          </w:p>
        </w:tc>
        <w:tc>
          <w:tcPr>
            <w:tcW w:w="3233" w:type="pct"/>
            <w:shd w:val="clear" w:color="auto" w:fill="BFBFBF" w:themeFill="background1" w:themeFillShade="BF"/>
            <w:vAlign w:val="center"/>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确定依据</w:t>
            </w:r>
          </w:p>
        </w:tc>
      </w:tr>
      <w:tr w:rsidR="000C0769" w:rsidRPr="00672DC8" w:rsidTr="00F0176F">
        <w:trPr>
          <w:divId w:val="1736392063"/>
          <w:trHeight w:val="340"/>
        </w:trPr>
        <w:tc>
          <w:tcPr>
            <w:tcW w:w="1767" w:type="pct"/>
            <w:vAlign w:val="center"/>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应收票据组合</w:t>
            </w:r>
            <w:r w:rsidRPr="00672DC8">
              <w:rPr>
                <w:rFonts w:ascii="Times New Roman" w:hAnsi="Times New Roman" w:cs="Times New Roman"/>
                <w:sz w:val="21"/>
                <w:szCs w:val="21"/>
              </w:rPr>
              <w:t>1</w:t>
            </w:r>
          </w:p>
        </w:tc>
        <w:tc>
          <w:tcPr>
            <w:tcW w:w="3233" w:type="pct"/>
            <w:vAlign w:val="center"/>
            <w:hideMark/>
          </w:tcPr>
          <w:p w:rsidR="000C0769" w:rsidRPr="00672DC8" w:rsidRDefault="000C0769" w:rsidP="00F0176F">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本组合为信用等级较高银行承兑的银行承兑汇票</w:t>
            </w:r>
          </w:p>
        </w:tc>
      </w:tr>
      <w:tr w:rsidR="000C0769" w:rsidRPr="00672DC8" w:rsidTr="00F0176F">
        <w:trPr>
          <w:divId w:val="1736392063"/>
          <w:trHeight w:val="340"/>
        </w:trPr>
        <w:tc>
          <w:tcPr>
            <w:tcW w:w="1767" w:type="pct"/>
            <w:vAlign w:val="center"/>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应收票据组合</w:t>
            </w:r>
            <w:r w:rsidRPr="00672DC8">
              <w:rPr>
                <w:rFonts w:ascii="Times New Roman" w:hAnsi="Times New Roman" w:cs="Times New Roman"/>
                <w:sz w:val="21"/>
                <w:szCs w:val="21"/>
              </w:rPr>
              <w:t>2</w:t>
            </w:r>
          </w:p>
        </w:tc>
        <w:tc>
          <w:tcPr>
            <w:tcW w:w="3233" w:type="pct"/>
            <w:vAlign w:val="center"/>
            <w:hideMark/>
          </w:tcPr>
          <w:p w:rsidR="000C0769" w:rsidRPr="00672DC8" w:rsidRDefault="000C0769" w:rsidP="00F0176F">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本组合为信用等级一般银行承兑的银行承兑汇票以及商业承兑汇票</w:t>
            </w:r>
          </w:p>
        </w:tc>
      </w:tr>
    </w:tbl>
    <w:p w:rsidR="000C0769" w:rsidRPr="00672DC8" w:rsidRDefault="000C0769">
      <w:pPr>
        <w:pStyle w:val="a3"/>
        <w:spacing w:before="12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注：信用等级较高银行是指信用等级较高的</w:t>
      </w:r>
      <w:r w:rsidRPr="00672DC8">
        <w:rPr>
          <w:rFonts w:ascii="Times New Roman" w:hAnsi="Times New Roman" w:cs="Times New Roman"/>
          <w:sz w:val="21"/>
          <w:szCs w:val="21"/>
        </w:rPr>
        <w:t>6</w:t>
      </w:r>
      <w:r w:rsidRPr="00672DC8">
        <w:rPr>
          <w:rFonts w:ascii="Times New Roman" w:hAnsi="Times New Roman" w:cs="Times New Roman"/>
          <w:sz w:val="21"/>
          <w:szCs w:val="21"/>
        </w:rPr>
        <w:t>家大型商业银行和</w:t>
      </w:r>
      <w:r w:rsidRPr="00672DC8">
        <w:rPr>
          <w:rFonts w:ascii="Times New Roman" w:hAnsi="Times New Roman" w:cs="Times New Roman"/>
          <w:sz w:val="21"/>
          <w:szCs w:val="21"/>
        </w:rPr>
        <w:t xml:space="preserve">9 </w:t>
      </w:r>
      <w:r w:rsidRPr="00672DC8">
        <w:rPr>
          <w:rFonts w:ascii="Times New Roman" w:hAnsi="Times New Roman" w:cs="Times New Roman"/>
          <w:sz w:val="21"/>
          <w:szCs w:val="21"/>
        </w:rPr>
        <w:t>家上市股份制商业银行。</w:t>
      </w:r>
      <w:r w:rsidRPr="00672DC8">
        <w:rPr>
          <w:rFonts w:ascii="Times New Roman" w:hAnsi="Times New Roman" w:cs="Times New Roman"/>
          <w:sz w:val="21"/>
          <w:szCs w:val="21"/>
        </w:rPr>
        <w:t>6</w:t>
      </w:r>
      <w:r w:rsidRPr="00672DC8">
        <w:rPr>
          <w:rFonts w:ascii="Times New Roman" w:hAnsi="Times New Roman" w:cs="Times New Roman"/>
          <w:sz w:val="21"/>
          <w:szCs w:val="21"/>
        </w:rPr>
        <w:t>家大型商业银行分别为中国银行、中国农业银行、中国建设银行、中国工商银行、中国邮政储蓄银行、交通银</w:t>
      </w:r>
      <w:r w:rsidRPr="00672DC8">
        <w:rPr>
          <w:rFonts w:ascii="Times New Roman" w:hAnsi="Times New Roman" w:cs="Times New Roman"/>
          <w:sz w:val="21"/>
          <w:szCs w:val="21"/>
        </w:rPr>
        <w:lastRenderedPageBreak/>
        <w:t>行，</w:t>
      </w:r>
      <w:r w:rsidRPr="00672DC8">
        <w:rPr>
          <w:rFonts w:ascii="Times New Roman" w:hAnsi="Times New Roman" w:cs="Times New Roman"/>
          <w:sz w:val="21"/>
          <w:szCs w:val="21"/>
        </w:rPr>
        <w:t xml:space="preserve">9 </w:t>
      </w:r>
      <w:r w:rsidRPr="00672DC8">
        <w:rPr>
          <w:rFonts w:ascii="Times New Roman" w:hAnsi="Times New Roman" w:cs="Times New Roman"/>
          <w:sz w:val="21"/>
          <w:szCs w:val="21"/>
        </w:rPr>
        <w:t>家上市股份制商业银行分别为招商银行、浦发银行、中信银行、中国光大银行、华夏银行、中国民生银行、平安银行、兴业银行、浙商银行。上述银行信用良好，拥有国资背景或为上市银行，资金实力雄厚，经营情况良好，根据银行主体评级情况，上述银行主体评级均达到</w:t>
      </w:r>
      <w:r w:rsidRPr="00672DC8">
        <w:rPr>
          <w:rFonts w:ascii="Times New Roman" w:hAnsi="Times New Roman" w:cs="Times New Roman"/>
          <w:sz w:val="21"/>
          <w:szCs w:val="21"/>
        </w:rPr>
        <w:t xml:space="preserve"> AAA </w:t>
      </w:r>
      <w:r w:rsidRPr="00672DC8">
        <w:rPr>
          <w:rFonts w:ascii="Times New Roman" w:hAnsi="Times New Roman" w:cs="Times New Roman"/>
          <w:sz w:val="21"/>
          <w:szCs w:val="21"/>
        </w:rPr>
        <w:t>级且未来展望稳定，公开信息未发现曾出现票据违约到期无法兑付的负面新闻，因此本集团将其划分为信用等级较高银行，且不计坏账准备。除上述信用等级较高银行以外的其他银行划分为信用等级一般银行。</w:t>
      </w:r>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基于账龄确认信用风险特征组合的账龄计算方法：</w:t>
      </w:r>
    </w:p>
    <w:tbl>
      <w:tblPr>
        <w:tblStyle w:val="aa"/>
        <w:tblW w:w="5039" w:type="pct"/>
        <w:tblLook w:val="04A0" w:firstRow="1" w:lastRow="0" w:firstColumn="1" w:lastColumn="0" w:noHBand="0" w:noVBand="1"/>
      </w:tblPr>
      <w:tblGrid>
        <w:gridCol w:w="3212"/>
        <w:gridCol w:w="3246"/>
        <w:gridCol w:w="3244"/>
      </w:tblGrid>
      <w:tr w:rsidR="000C0769" w:rsidRPr="00672DC8" w:rsidTr="00F0176F">
        <w:trPr>
          <w:divId w:val="1736392063"/>
          <w:trHeight w:val="348"/>
        </w:trPr>
        <w:tc>
          <w:tcPr>
            <w:tcW w:w="1655" w:type="pct"/>
            <w:shd w:val="clear" w:color="auto" w:fill="BFBFBF" w:themeFill="background1" w:themeFillShade="BF"/>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账龄</w:t>
            </w:r>
          </w:p>
        </w:tc>
        <w:tc>
          <w:tcPr>
            <w:tcW w:w="1673" w:type="pct"/>
            <w:shd w:val="clear" w:color="auto" w:fill="BFBFBF" w:themeFill="background1" w:themeFillShade="BF"/>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应收票据组合</w:t>
            </w:r>
            <w:r w:rsidRPr="00672DC8">
              <w:rPr>
                <w:rStyle w:val="a4"/>
                <w:rFonts w:ascii="Times New Roman" w:hAnsi="Times New Roman" w:cs="Times New Roman"/>
                <w:sz w:val="21"/>
                <w:szCs w:val="21"/>
              </w:rPr>
              <w:t>1</w:t>
            </w:r>
          </w:p>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c>
          <w:tcPr>
            <w:tcW w:w="1672" w:type="pct"/>
            <w:shd w:val="clear" w:color="auto" w:fill="BFBFBF" w:themeFill="background1" w:themeFillShade="BF"/>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应收票据组合</w:t>
            </w:r>
            <w:r w:rsidRPr="00672DC8">
              <w:rPr>
                <w:rStyle w:val="a4"/>
                <w:rFonts w:ascii="Times New Roman" w:hAnsi="Times New Roman" w:cs="Times New Roman"/>
                <w:sz w:val="21"/>
                <w:szCs w:val="21"/>
              </w:rPr>
              <w:t>2</w:t>
            </w:r>
          </w:p>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w:t>
            </w:r>
            <w:r w:rsidRPr="00672DC8">
              <w:rPr>
                <w:rFonts w:ascii="Times New Roman" w:hAnsi="Times New Roman" w:cs="Times New Roman"/>
                <w:sz w:val="21"/>
                <w:szCs w:val="21"/>
              </w:rPr>
              <w:t>年以内（含</w:t>
            </w:r>
            <w:r w:rsidRPr="00672DC8">
              <w:rPr>
                <w:rFonts w:ascii="Times New Roman" w:hAnsi="Times New Roman" w:cs="Times New Roman"/>
                <w:sz w:val="21"/>
                <w:szCs w:val="21"/>
              </w:rPr>
              <w:t>1</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1-2</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2-3</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30</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3-4</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50</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4-5</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80</w:t>
            </w:r>
          </w:p>
        </w:tc>
      </w:tr>
      <w:tr w:rsidR="000C0769" w:rsidRPr="00672DC8" w:rsidTr="00F0176F">
        <w:trPr>
          <w:divId w:val="1736392063"/>
          <w:trHeight w:val="348"/>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5</w:t>
            </w:r>
            <w:r w:rsidRPr="00672DC8">
              <w:rPr>
                <w:rFonts w:ascii="Times New Roman" w:hAnsi="Times New Roman" w:cs="Times New Roman"/>
                <w:sz w:val="21"/>
                <w:szCs w:val="21"/>
              </w:rPr>
              <w:t>年以上</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r>
    </w:tbl>
    <w:p w:rsidR="000C0769" w:rsidRPr="00672DC8" w:rsidRDefault="000C0769">
      <w:pPr>
        <w:pStyle w:val="a3"/>
        <w:spacing w:before="12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对于存在客观证据表明存在减值，以及其他适用于单项评估的应收票据单独进行减值测试，确认预期信用损失，计提单项减值准备。</w:t>
      </w:r>
    </w:p>
    <w:p w:rsidR="000C0769" w:rsidRPr="00672DC8" w:rsidRDefault="000C0769">
      <w:pPr>
        <w:pStyle w:val="a3"/>
        <w:spacing w:before="0" w:beforeAutospacing="0" w:after="0" w:afterAutospacing="0" w:line="360" w:lineRule="auto"/>
        <w:ind w:firstLine="422"/>
        <w:jc w:val="both"/>
        <w:divId w:val="1736392063"/>
        <w:rPr>
          <w:rFonts w:ascii="Times New Roman" w:hAnsi="Times New Roman" w:cs="Times New Roman"/>
          <w:sz w:val="21"/>
          <w:szCs w:val="21"/>
        </w:rPr>
      </w:pPr>
      <w:r w:rsidRPr="00672DC8">
        <w:rPr>
          <w:rStyle w:val="a4"/>
          <w:rFonts w:ascii="Times New Roman" w:hAnsi="Times New Roman" w:cs="Times New Roman"/>
          <w:sz w:val="21"/>
          <w:szCs w:val="21"/>
        </w:rPr>
        <w:t>12.2</w:t>
      </w:r>
      <w:r w:rsidRPr="00672DC8">
        <w:rPr>
          <w:rFonts w:ascii="Times New Roman" w:hAnsi="Times New Roman" w:cs="Times New Roman"/>
          <w:sz w:val="21"/>
          <w:szCs w:val="21"/>
        </w:rPr>
        <w:t>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1736392063"/>
        <w:rPr>
          <w:rFonts w:ascii="Times New Roman" w:hAnsi="Times New Roman" w:cs="Times New Roman"/>
          <w:sz w:val="21"/>
          <w:szCs w:val="21"/>
        </w:rPr>
      </w:pPr>
      <w:r w:rsidRPr="00672DC8">
        <w:rPr>
          <w:rFonts w:ascii="Times New Roman" w:hAnsi="Times New Roman" w:cs="Times New Roman"/>
          <w:sz w:val="21"/>
          <w:szCs w:val="21"/>
        </w:rPr>
        <w:t>信用损失准备的增加或转回金额，作为减值损失或利得计入当期损益。</w:t>
      </w:r>
      <w:r w:rsidRPr="00672DC8">
        <w:rPr>
          <w:rFonts w:ascii="Times New Roman" w:hAnsi="Times New Roman" w:cs="Times New Roman"/>
          <w:sz w:val="21"/>
          <w:szCs w:val="21"/>
        </w:rPr>
        <w:t> </w:t>
      </w:r>
    </w:p>
    <w:p w:rsidR="003D2BA8" w:rsidRPr="00672DC8" w:rsidRDefault="000C0769">
      <w:pPr>
        <w:pStyle w:val="3"/>
        <w:spacing w:line="280" w:lineRule="exact"/>
        <w:jc w:val="left"/>
        <w:rPr>
          <w:rFonts w:ascii="Times New Roman" w:hAnsi="Times New Roman" w:cs="Times New Roman"/>
          <w:b/>
          <w:bCs/>
        </w:rPr>
      </w:pPr>
      <w:bookmarkStart w:id="143" w:name="_Toc989010"/>
      <w:r w:rsidRPr="00672DC8">
        <w:rPr>
          <w:rFonts w:ascii="Times New Roman" w:hAnsi="Times New Roman" w:cs="Times New Roman"/>
          <w:b/>
          <w:bCs/>
        </w:rPr>
        <w:t>13</w:t>
      </w:r>
      <w:r w:rsidRPr="00672DC8">
        <w:rPr>
          <w:rFonts w:ascii="Times New Roman" w:hAnsi="Times New Roman" w:cs="Times New Roman"/>
          <w:b/>
          <w:bCs/>
        </w:rPr>
        <w:t>、应收账款</w:t>
      </w:r>
      <w:bookmarkEnd w:id="143"/>
    </w:p>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应收账款项目，反映资产负债表日以摊余成本计量的、企业因销售商品、提供服务等经营活动应收取的款项。</w:t>
      </w:r>
    </w:p>
    <w:p w:rsidR="000C0769" w:rsidRPr="00672DC8" w:rsidRDefault="000C0769">
      <w:pPr>
        <w:pStyle w:val="a3"/>
        <w:spacing w:before="0" w:beforeAutospacing="0" w:after="0" w:afterAutospacing="0" w:line="360" w:lineRule="auto"/>
        <w:ind w:firstLine="422"/>
        <w:jc w:val="both"/>
        <w:divId w:val="589973193"/>
        <w:rPr>
          <w:rFonts w:ascii="Times New Roman" w:hAnsi="Times New Roman" w:cs="Times New Roman"/>
          <w:sz w:val="21"/>
          <w:szCs w:val="21"/>
        </w:rPr>
      </w:pPr>
      <w:r w:rsidRPr="00672DC8">
        <w:rPr>
          <w:rStyle w:val="a4"/>
          <w:rFonts w:ascii="Times New Roman" w:hAnsi="Times New Roman" w:cs="Times New Roman"/>
          <w:sz w:val="21"/>
          <w:szCs w:val="21"/>
        </w:rPr>
        <w:t xml:space="preserve">13.1 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本公司对由收入准则规范的交易形成的应收款项（无论是否包含重大融资成分），按照相当于整个存续期内预期信用损失的金额计量损失准备。</w:t>
      </w:r>
    </w:p>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本公司基于单项和组合评估应收款项的预期信用损失。如果有客观证据表明某项应收款项已经发生信用减值，则本公司对该应收款项在单项资产的基础上确定预期信用损失。对于划分为组合的应收款项，本公司参考历史信用损失经验，结合当前状况以及对未来经济状况的预测，通过违约风险敞口和整个存续期预期信用损失率，计算预期信用损失。</w:t>
      </w:r>
    </w:p>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除了单项评估信用风险的应收账款外，基于其信用风险特征，将其划分为不同组合：</w:t>
      </w:r>
    </w:p>
    <w:tbl>
      <w:tblPr>
        <w:tblStyle w:val="aa"/>
        <w:tblW w:w="4882" w:type="pct"/>
        <w:tblLook w:val="04A0" w:firstRow="1" w:lastRow="0" w:firstColumn="1" w:lastColumn="0" w:noHBand="0" w:noVBand="1"/>
      </w:tblPr>
      <w:tblGrid>
        <w:gridCol w:w="3322"/>
        <w:gridCol w:w="6078"/>
      </w:tblGrid>
      <w:tr w:rsidR="000C0769" w:rsidRPr="00672DC8" w:rsidTr="00F0176F">
        <w:trPr>
          <w:divId w:val="589973193"/>
          <w:trHeight w:val="340"/>
          <w:tblHeader/>
        </w:trPr>
        <w:tc>
          <w:tcPr>
            <w:tcW w:w="1767"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组合名称</w:t>
            </w:r>
          </w:p>
        </w:tc>
        <w:tc>
          <w:tcPr>
            <w:tcW w:w="3233"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确定依据</w:t>
            </w:r>
          </w:p>
        </w:tc>
      </w:tr>
      <w:tr w:rsidR="000C0769" w:rsidRPr="00672DC8" w:rsidTr="00F0176F">
        <w:trPr>
          <w:divId w:val="589973193"/>
          <w:trHeight w:val="340"/>
        </w:trPr>
        <w:tc>
          <w:tcPr>
            <w:tcW w:w="1767"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应收账款组合</w:t>
            </w:r>
            <w:r w:rsidRPr="00672DC8">
              <w:rPr>
                <w:rFonts w:ascii="Times New Roman" w:hAnsi="Times New Roman" w:cs="Times New Roman"/>
                <w:sz w:val="21"/>
                <w:szCs w:val="21"/>
              </w:rPr>
              <w:t>1</w:t>
            </w:r>
          </w:p>
        </w:tc>
        <w:tc>
          <w:tcPr>
            <w:tcW w:w="3233"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本组合为政府部门、教育医疗单位的应收款项</w:t>
            </w:r>
          </w:p>
        </w:tc>
      </w:tr>
      <w:tr w:rsidR="000C0769" w:rsidRPr="00672DC8" w:rsidTr="00F0176F">
        <w:trPr>
          <w:divId w:val="589973193"/>
          <w:trHeight w:val="340"/>
        </w:trPr>
        <w:tc>
          <w:tcPr>
            <w:tcW w:w="1767"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lastRenderedPageBreak/>
              <w:t>应收账款组合</w:t>
            </w:r>
            <w:r w:rsidRPr="00672DC8">
              <w:rPr>
                <w:rFonts w:ascii="Times New Roman" w:hAnsi="Times New Roman" w:cs="Times New Roman"/>
                <w:sz w:val="21"/>
                <w:szCs w:val="21"/>
              </w:rPr>
              <w:t>2</w:t>
            </w:r>
          </w:p>
        </w:tc>
        <w:tc>
          <w:tcPr>
            <w:tcW w:w="3233"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本组合为企业及其他单位的应收款项</w:t>
            </w:r>
          </w:p>
        </w:tc>
      </w:tr>
    </w:tbl>
    <w:p w:rsidR="000C0769" w:rsidRPr="00672DC8" w:rsidRDefault="000C0769">
      <w:pPr>
        <w:pStyle w:val="a3"/>
        <w:spacing w:before="12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基于账龄确认信用风险特征组合的账龄计算方法如下：</w:t>
      </w:r>
    </w:p>
    <w:tbl>
      <w:tblPr>
        <w:tblStyle w:val="aa"/>
        <w:tblW w:w="5000" w:type="pct"/>
        <w:tblLook w:val="04A0" w:firstRow="1" w:lastRow="0" w:firstColumn="1" w:lastColumn="0" w:noHBand="0" w:noVBand="1"/>
      </w:tblPr>
      <w:tblGrid>
        <w:gridCol w:w="3187"/>
        <w:gridCol w:w="3221"/>
        <w:gridCol w:w="3219"/>
      </w:tblGrid>
      <w:tr w:rsidR="000C0769" w:rsidRPr="00672DC8" w:rsidTr="00F0176F">
        <w:trPr>
          <w:divId w:val="589973193"/>
          <w:trHeight w:val="340"/>
        </w:trPr>
        <w:tc>
          <w:tcPr>
            <w:tcW w:w="1655" w:type="pct"/>
            <w:shd w:val="clear" w:color="auto" w:fill="BFBFBF" w:themeFill="background1" w:themeFillShade="BF"/>
            <w:vAlign w:val="center"/>
            <w:hideMark/>
          </w:tcPr>
          <w:p w:rsidR="000C0769" w:rsidRPr="00672DC8" w:rsidRDefault="000C0769" w:rsidP="00F0176F">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账龄</w:t>
            </w:r>
          </w:p>
        </w:tc>
        <w:tc>
          <w:tcPr>
            <w:tcW w:w="1673" w:type="pct"/>
            <w:shd w:val="clear" w:color="auto" w:fill="BFBFBF" w:themeFill="background1" w:themeFillShade="BF"/>
            <w:hideMark/>
          </w:tcPr>
          <w:p w:rsidR="000C0769" w:rsidRPr="00672DC8" w:rsidRDefault="000C0769">
            <w:pPr>
              <w:pStyle w:val="a3"/>
              <w:spacing w:before="0" w:beforeAutospacing="0" w:after="0" w:afterAutospacing="0" w:line="360" w:lineRule="atLeast"/>
              <w:jc w:val="center"/>
              <w:rPr>
                <w:rFonts w:ascii="Times New Roman" w:hAnsi="Times New Roman" w:cs="Times New Roman"/>
                <w:sz w:val="21"/>
                <w:szCs w:val="21"/>
              </w:rPr>
            </w:pPr>
            <w:r w:rsidRPr="00672DC8">
              <w:rPr>
                <w:rStyle w:val="a4"/>
                <w:rFonts w:ascii="Times New Roman" w:hAnsi="Times New Roman" w:cs="Times New Roman"/>
                <w:sz w:val="21"/>
                <w:szCs w:val="21"/>
              </w:rPr>
              <w:t>应收账款组合</w:t>
            </w:r>
            <w:r w:rsidRPr="00672DC8">
              <w:rPr>
                <w:rStyle w:val="a4"/>
                <w:rFonts w:ascii="Times New Roman" w:hAnsi="Times New Roman" w:cs="Times New Roman"/>
                <w:sz w:val="21"/>
                <w:szCs w:val="21"/>
              </w:rPr>
              <w:t>1</w:t>
            </w:r>
          </w:p>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c>
          <w:tcPr>
            <w:tcW w:w="1672" w:type="pct"/>
            <w:shd w:val="clear" w:color="auto" w:fill="BFBFBF" w:themeFill="background1" w:themeFillShade="BF"/>
            <w:hideMark/>
          </w:tcPr>
          <w:p w:rsidR="000C0769" w:rsidRPr="00672DC8" w:rsidRDefault="000C0769">
            <w:pPr>
              <w:pStyle w:val="a3"/>
              <w:spacing w:before="0" w:beforeAutospacing="0" w:after="0" w:afterAutospacing="0" w:line="360" w:lineRule="atLeast"/>
              <w:jc w:val="center"/>
              <w:rPr>
                <w:rFonts w:ascii="Times New Roman" w:hAnsi="Times New Roman" w:cs="Times New Roman"/>
                <w:sz w:val="21"/>
                <w:szCs w:val="21"/>
              </w:rPr>
            </w:pPr>
            <w:r w:rsidRPr="00672DC8">
              <w:rPr>
                <w:rStyle w:val="a4"/>
                <w:rFonts w:ascii="Times New Roman" w:hAnsi="Times New Roman" w:cs="Times New Roman"/>
                <w:sz w:val="21"/>
                <w:szCs w:val="21"/>
              </w:rPr>
              <w:t>应收账款组合</w:t>
            </w:r>
            <w:r w:rsidRPr="00672DC8">
              <w:rPr>
                <w:rStyle w:val="a4"/>
                <w:rFonts w:ascii="Times New Roman" w:hAnsi="Times New Roman" w:cs="Times New Roman"/>
                <w:sz w:val="21"/>
                <w:szCs w:val="21"/>
              </w:rPr>
              <w:t>2</w:t>
            </w:r>
          </w:p>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w:t>
            </w:r>
            <w:r w:rsidRPr="00672DC8">
              <w:rPr>
                <w:rFonts w:ascii="Times New Roman" w:hAnsi="Times New Roman" w:cs="Times New Roman"/>
                <w:sz w:val="21"/>
                <w:szCs w:val="21"/>
              </w:rPr>
              <w:t>年以内（含</w:t>
            </w:r>
            <w:r w:rsidRPr="00672DC8">
              <w:rPr>
                <w:rFonts w:ascii="Times New Roman" w:hAnsi="Times New Roman" w:cs="Times New Roman"/>
                <w:sz w:val="21"/>
                <w:szCs w:val="21"/>
              </w:rPr>
              <w:t>1</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1-2</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2-3</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30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30</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3-4</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50</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4-5</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80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r>
      <w:tr w:rsidR="000C0769" w:rsidRPr="00672DC8" w:rsidTr="00F0176F">
        <w:trPr>
          <w:divId w:val="589973193"/>
          <w:trHeight w:val="340"/>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5</w:t>
            </w:r>
            <w:r w:rsidRPr="00672DC8">
              <w:rPr>
                <w:rFonts w:ascii="Times New Roman" w:hAnsi="Times New Roman" w:cs="Times New Roman"/>
                <w:sz w:val="21"/>
                <w:szCs w:val="21"/>
              </w:rPr>
              <w:t>年以上</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r>
    </w:tbl>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对于存在客观证据表明存在减值，以及其他适用于单项评估的应收账款单独进行减值测试，确认预期信用损失，计提单项减值准备。</w:t>
      </w:r>
    </w:p>
    <w:p w:rsidR="000C0769" w:rsidRPr="00672DC8" w:rsidRDefault="000C0769">
      <w:pPr>
        <w:pStyle w:val="a3"/>
        <w:spacing w:before="0" w:beforeAutospacing="0" w:after="0" w:afterAutospacing="0" w:line="360" w:lineRule="auto"/>
        <w:ind w:firstLine="422"/>
        <w:jc w:val="both"/>
        <w:divId w:val="589973193"/>
        <w:rPr>
          <w:rFonts w:ascii="Times New Roman" w:hAnsi="Times New Roman" w:cs="Times New Roman"/>
          <w:sz w:val="21"/>
          <w:szCs w:val="21"/>
        </w:rPr>
      </w:pPr>
      <w:r w:rsidRPr="00672DC8">
        <w:rPr>
          <w:rStyle w:val="a4"/>
          <w:rFonts w:ascii="Times New Roman" w:hAnsi="Times New Roman" w:cs="Times New Roman"/>
          <w:sz w:val="21"/>
          <w:szCs w:val="21"/>
        </w:rPr>
        <w:t xml:space="preserve">13.2 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589973193"/>
        <w:rPr>
          <w:rFonts w:ascii="Times New Roman" w:hAnsi="Times New Roman" w:cs="Times New Roman"/>
          <w:sz w:val="21"/>
          <w:szCs w:val="21"/>
        </w:rPr>
      </w:pPr>
      <w:r w:rsidRPr="00672DC8">
        <w:rPr>
          <w:rFonts w:ascii="Times New Roman" w:hAnsi="Times New Roman" w:cs="Times New Roman"/>
          <w:sz w:val="21"/>
          <w:szCs w:val="21"/>
        </w:rPr>
        <w:t>信用损失准备的增加或转回金额，作为减值损失或利得计入当期损益。</w:t>
      </w:r>
    </w:p>
    <w:p w:rsidR="003D2BA8" w:rsidRPr="00672DC8" w:rsidRDefault="000C0769">
      <w:pPr>
        <w:pStyle w:val="3"/>
        <w:spacing w:line="280" w:lineRule="exact"/>
        <w:jc w:val="left"/>
        <w:rPr>
          <w:rFonts w:ascii="Times New Roman" w:hAnsi="Times New Roman" w:cs="Times New Roman"/>
          <w:b/>
          <w:bCs/>
        </w:rPr>
      </w:pPr>
      <w:bookmarkStart w:id="144" w:name="_Toc989011"/>
      <w:r w:rsidRPr="00672DC8">
        <w:rPr>
          <w:rFonts w:ascii="Times New Roman" w:hAnsi="Times New Roman" w:cs="Times New Roman"/>
          <w:b/>
          <w:bCs/>
        </w:rPr>
        <w:t>14</w:t>
      </w:r>
      <w:r w:rsidRPr="00672DC8">
        <w:rPr>
          <w:rFonts w:ascii="Times New Roman" w:hAnsi="Times New Roman" w:cs="Times New Roman"/>
          <w:b/>
          <w:bCs/>
        </w:rPr>
        <w:t>、应收款项融资</w:t>
      </w:r>
      <w:bookmarkEnd w:id="144"/>
    </w:p>
    <w:p w:rsidR="000C0769" w:rsidRPr="00672DC8" w:rsidRDefault="000C0769">
      <w:pPr>
        <w:pStyle w:val="a3"/>
        <w:spacing w:before="0" w:beforeAutospacing="0" w:after="0" w:afterAutospacing="0" w:line="360" w:lineRule="auto"/>
        <w:ind w:firstLine="420"/>
        <w:jc w:val="both"/>
        <w:divId w:val="1798907306"/>
        <w:rPr>
          <w:rFonts w:ascii="Times New Roman" w:hAnsi="Times New Roman" w:cs="Times New Roman"/>
          <w:sz w:val="21"/>
          <w:szCs w:val="21"/>
        </w:rPr>
      </w:pPr>
      <w:r w:rsidRPr="00672DC8">
        <w:rPr>
          <w:rFonts w:ascii="Times New Roman" w:hAnsi="Times New Roman" w:cs="Times New Roman"/>
          <w:sz w:val="21"/>
          <w:szCs w:val="21"/>
        </w:rPr>
        <w:t>应收款项融资项目，反映资产负债表日以公允价值计量且其变动计入其他综合收益的应收票据和应收账款等。</w:t>
      </w:r>
    </w:p>
    <w:p w:rsidR="000C0769" w:rsidRPr="00672DC8" w:rsidRDefault="000C0769">
      <w:pPr>
        <w:pStyle w:val="a3"/>
        <w:spacing w:before="0" w:beforeAutospacing="0" w:after="0" w:afterAutospacing="0" w:line="360" w:lineRule="auto"/>
        <w:ind w:firstLine="420"/>
        <w:jc w:val="both"/>
        <w:divId w:val="1798907306"/>
        <w:rPr>
          <w:rFonts w:ascii="Times New Roman" w:hAnsi="Times New Roman" w:cs="Times New Roman"/>
          <w:sz w:val="21"/>
          <w:szCs w:val="21"/>
        </w:rPr>
      </w:pPr>
      <w:r w:rsidRPr="00672DC8">
        <w:rPr>
          <w:rFonts w:ascii="Times New Roman" w:hAnsi="Times New Roman" w:cs="Times New Roman"/>
          <w:sz w:val="21"/>
          <w:szCs w:val="21"/>
        </w:rPr>
        <w:t>此类金融资产的业务模式为既以收取合同现金流量为目标又以出售为目标，且此类金融资产的合同现金流量特征与基本借贷安排相一致。按照公允价值计量且其变动计入其他综合收益，但减值损失或利得、汇兑损益和按照实际利率法计算的利息收入计入当期损益。</w:t>
      </w:r>
    </w:p>
    <w:p w:rsidR="000C0769" w:rsidRPr="00672DC8" w:rsidRDefault="000C0769">
      <w:pPr>
        <w:pStyle w:val="a3"/>
        <w:spacing w:before="0" w:beforeAutospacing="0" w:after="0" w:afterAutospacing="0" w:line="360" w:lineRule="auto"/>
        <w:ind w:firstLine="420"/>
        <w:jc w:val="both"/>
        <w:divId w:val="1798907306"/>
        <w:rPr>
          <w:rFonts w:ascii="Times New Roman" w:hAnsi="Times New Roman" w:cs="Times New Roman"/>
          <w:sz w:val="21"/>
          <w:szCs w:val="21"/>
        </w:rPr>
      </w:pPr>
      <w:r w:rsidRPr="00672DC8">
        <w:rPr>
          <w:rFonts w:ascii="Times New Roman" w:hAnsi="Times New Roman" w:cs="Times New Roman"/>
          <w:sz w:val="21"/>
          <w:szCs w:val="21"/>
        </w:rPr>
        <w:t>除了单项评估信用风险的应收款项融资外，基于其信用风险特征，将其划分为不同组合：</w:t>
      </w:r>
    </w:p>
    <w:tbl>
      <w:tblPr>
        <w:tblStyle w:val="aa"/>
        <w:tblW w:w="5000" w:type="pct"/>
        <w:tblLook w:val="04A0" w:firstRow="1" w:lastRow="0" w:firstColumn="1" w:lastColumn="0" w:noHBand="0" w:noVBand="1"/>
      </w:tblPr>
      <w:tblGrid>
        <w:gridCol w:w="2842"/>
        <w:gridCol w:w="6785"/>
      </w:tblGrid>
      <w:tr w:rsidR="000C0769" w:rsidRPr="00672DC8" w:rsidTr="00995525">
        <w:trPr>
          <w:divId w:val="1798907306"/>
          <w:trHeight w:val="477"/>
        </w:trPr>
        <w:tc>
          <w:tcPr>
            <w:tcW w:w="1476" w:type="pct"/>
            <w:shd w:val="clear" w:color="auto" w:fill="BFBFBF" w:themeFill="background1" w:themeFillShade="BF"/>
            <w:vAlign w:val="center"/>
            <w:hideMark/>
          </w:tcPr>
          <w:p w:rsidR="000C0769" w:rsidRPr="00672DC8" w:rsidRDefault="000C0769" w:rsidP="00995525">
            <w:pPr>
              <w:pStyle w:val="a3"/>
              <w:spacing w:before="0" w:beforeAutospacing="0" w:after="0" w:afterAutospacing="0" w:line="288" w:lineRule="auto"/>
              <w:ind w:firstLine="420"/>
              <w:jc w:val="center"/>
              <w:rPr>
                <w:rFonts w:ascii="Times New Roman" w:hAnsi="Times New Roman" w:cs="Times New Roman"/>
                <w:sz w:val="21"/>
                <w:szCs w:val="21"/>
              </w:rPr>
            </w:pPr>
            <w:r w:rsidRPr="00672DC8">
              <w:rPr>
                <w:rStyle w:val="a4"/>
                <w:rFonts w:ascii="Times New Roman" w:hAnsi="Times New Roman" w:cs="Times New Roman"/>
                <w:sz w:val="21"/>
                <w:szCs w:val="21"/>
              </w:rPr>
              <w:t>项</w:t>
            </w:r>
            <w:r w:rsidRPr="00672DC8">
              <w:rPr>
                <w:rStyle w:val="a4"/>
                <w:rFonts w:ascii="Times New Roman" w:hAnsi="Times New Roman" w:cs="Times New Roman"/>
                <w:sz w:val="21"/>
                <w:szCs w:val="21"/>
              </w:rPr>
              <w:t xml:space="preserve">  </w:t>
            </w:r>
            <w:r w:rsidRPr="00672DC8">
              <w:rPr>
                <w:rStyle w:val="a4"/>
                <w:rFonts w:ascii="Times New Roman" w:hAnsi="Times New Roman" w:cs="Times New Roman"/>
                <w:sz w:val="21"/>
                <w:szCs w:val="21"/>
              </w:rPr>
              <w:t>目</w:t>
            </w:r>
          </w:p>
        </w:tc>
        <w:tc>
          <w:tcPr>
            <w:tcW w:w="3524" w:type="pct"/>
            <w:shd w:val="clear" w:color="auto" w:fill="BFBFBF" w:themeFill="background1" w:themeFillShade="BF"/>
            <w:vAlign w:val="center"/>
            <w:hideMark/>
          </w:tcPr>
          <w:p w:rsidR="000C0769" w:rsidRPr="00672DC8" w:rsidRDefault="000C0769" w:rsidP="00995525">
            <w:pPr>
              <w:pStyle w:val="a3"/>
              <w:spacing w:before="0" w:beforeAutospacing="0" w:after="0" w:afterAutospacing="0" w:line="288" w:lineRule="auto"/>
              <w:ind w:firstLine="420"/>
              <w:jc w:val="center"/>
              <w:rPr>
                <w:rFonts w:ascii="Times New Roman" w:hAnsi="Times New Roman" w:cs="Times New Roman"/>
                <w:sz w:val="21"/>
                <w:szCs w:val="21"/>
              </w:rPr>
            </w:pPr>
            <w:r w:rsidRPr="00672DC8">
              <w:rPr>
                <w:rStyle w:val="a4"/>
                <w:rFonts w:ascii="Times New Roman" w:hAnsi="Times New Roman" w:cs="Times New Roman"/>
                <w:sz w:val="21"/>
                <w:szCs w:val="21"/>
              </w:rPr>
              <w:t>确定组合的依据</w:t>
            </w:r>
          </w:p>
        </w:tc>
      </w:tr>
      <w:tr w:rsidR="000C0769" w:rsidRPr="00672DC8" w:rsidTr="00995525">
        <w:trPr>
          <w:divId w:val="1798907306"/>
          <w:trHeight w:val="372"/>
        </w:trPr>
        <w:tc>
          <w:tcPr>
            <w:tcW w:w="1476" w:type="pct"/>
            <w:noWrap/>
            <w:hideMark/>
          </w:tcPr>
          <w:p w:rsidR="000C0769" w:rsidRPr="00672DC8" w:rsidRDefault="000C0769" w:rsidP="00995525">
            <w:pPr>
              <w:pStyle w:val="a3"/>
              <w:spacing w:before="0" w:beforeAutospacing="0" w:after="0" w:afterAutospacing="0" w:line="288" w:lineRule="auto"/>
              <w:jc w:val="both"/>
              <w:rPr>
                <w:rFonts w:ascii="Times New Roman" w:hAnsi="Times New Roman" w:cs="Times New Roman"/>
                <w:sz w:val="21"/>
                <w:szCs w:val="21"/>
              </w:rPr>
            </w:pPr>
            <w:r w:rsidRPr="00672DC8">
              <w:rPr>
                <w:rFonts w:ascii="Times New Roman" w:hAnsi="Times New Roman" w:cs="Times New Roman"/>
                <w:sz w:val="21"/>
                <w:szCs w:val="21"/>
              </w:rPr>
              <w:t>应收款项融资组合</w:t>
            </w:r>
            <w:r w:rsidRPr="00672DC8">
              <w:rPr>
                <w:rFonts w:ascii="Times New Roman" w:hAnsi="Times New Roman" w:cs="Times New Roman"/>
                <w:sz w:val="21"/>
                <w:szCs w:val="21"/>
              </w:rPr>
              <w:t>1</w:t>
            </w:r>
          </w:p>
        </w:tc>
        <w:tc>
          <w:tcPr>
            <w:tcW w:w="3524" w:type="pct"/>
            <w:noWrap/>
            <w:hideMark/>
          </w:tcPr>
          <w:p w:rsidR="000C0769" w:rsidRPr="00672DC8" w:rsidRDefault="000C0769" w:rsidP="00995525">
            <w:pPr>
              <w:pStyle w:val="a3"/>
              <w:spacing w:before="0" w:beforeAutospacing="0" w:after="0" w:afterAutospacing="0" w:line="288" w:lineRule="auto"/>
              <w:ind w:firstLine="420"/>
              <w:jc w:val="both"/>
              <w:rPr>
                <w:rFonts w:ascii="Times New Roman" w:hAnsi="Times New Roman" w:cs="Times New Roman"/>
                <w:sz w:val="21"/>
                <w:szCs w:val="21"/>
              </w:rPr>
            </w:pPr>
            <w:r w:rsidRPr="00672DC8">
              <w:rPr>
                <w:rFonts w:ascii="Times New Roman" w:hAnsi="Times New Roman" w:cs="Times New Roman"/>
                <w:sz w:val="21"/>
                <w:szCs w:val="21"/>
              </w:rPr>
              <w:t>本组合为信用等级较高银行承兑的银行承兑汇票</w:t>
            </w:r>
          </w:p>
        </w:tc>
      </w:tr>
      <w:tr w:rsidR="000C0769" w:rsidRPr="00672DC8" w:rsidTr="00995525">
        <w:trPr>
          <w:divId w:val="1798907306"/>
          <w:trHeight w:val="372"/>
        </w:trPr>
        <w:tc>
          <w:tcPr>
            <w:tcW w:w="1476" w:type="pct"/>
            <w:noWrap/>
            <w:hideMark/>
          </w:tcPr>
          <w:p w:rsidR="000C0769" w:rsidRPr="00672DC8" w:rsidRDefault="000C0769" w:rsidP="00995525">
            <w:pPr>
              <w:pStyle w:val="a3"/>
              <w:spacing w:before="0" w:beforeAutospacing="0" w:after="0" w:afterAutospacing="0" w:line="288" w:lineRule="auto"/>
              <w:jc w:val="both"/>
              <w:rPr>
                <w:rFonts w:ascii="Times New Roman" w:hAnsi="Times New Roman" w:cs="Times New Roman"/>
                <w:sz w:val="21"/>
                <w:szCs w:val="21"/>
              </w:rPr>
            </w:pPr>
            <w:r w:rsidRPr="00672DC8">
              <w:rPr>
                <w:rFonts w:ascii="Times New Roman" w:hAnsi="Times New Roman" w:cs="Times New Roman"/>
                <w:sz w:val="21"/>
                <w:szCs w:val="21"/>
              </w:rPr>
              <w:t>应收款项融资组合</w:t>
            </w:r>
            <w:r w:rsidRPr="00672DC8">
              <w:rPr>
                <w:rFonts w:ascii="Times New Roman" w:hAnsi="Times New Roman" w:cs="Times New Roman"/>
                <w:sz w:val="21"/>
                <w:szCs w:val="21"/>
              </w:rPr>
              <w:t>2</w:t>
            </w:r>
          </w:p>
        </w:tc>
        <w:tc>
          <w:tcPr>
            <w:tcW w:w="3524" w:type="pct"/>
            <w:noWrap/>
            <w:hideMark/>
          </w:tcPr>
          <w:p w:rsidR="000C0769" w:rsidRPr="00672DC8" w:rsidRDefault="000C0769" w:rsidP="00995525">
            <w:pPr>
              <w:pStyle w:val="a3"/>
              <w:spacing w:before="0" w:beforeAutospacing="0" w:after="0" w:afterAutospacing="0" w:line="288" w:lineRule="auto"/>
              <w:ind w:firstLine="420"/>
              <w:jc w:val="both"/>
              <w:rPr>
                <w:rFonts w:ascii="Times New Roman" w:hAnsi="Times New Roman" w:cs="Times New Roman"/>
                <w:sz w:val="21"/>
                <w:szCs w:val="21"/>
              </w:rPr>
            </w:pPr>
            <w:r w:rsidRPr="00672DC8">
              <w:rPr>
                <w:rFonts w:ascii="Times New Roman" w:hAnsi="Times New Roman" w:cs="Times New Roman"/>
                <w:sz w:val="21"/>
                <w:szCs w:val="21"/>
              </w:rPr>
              <w:t>本组合为应收客户账款</w:t>
            </w:r>
          </w:p>
        </w:tc>
      </w:tr>
    </w:tbl>
    <w:p w:rsidR="003D2BA8" w:rsidRPr="00672DC8" w:rsidRDefault="000C0769">
      <w:pPr>
        <w:pStyle w:val="3"/>
        <w:spacing w:line="280" w:lineRule="exact"/>
        <w:jc w:val="left"/>
        <w:rPr>
          <w:rFonts w:ascii="Times New Roman" w:hAnsi="Times New Roman" w:cs="Times New Roman"/>
          <w:b/>
          <w:bCs/>
        </w:rPr>
      </w:pPr>
      <w:bookmarkStart w:id="145" w:name="_Toc989012"/>
      <w:r w:rsidRPr="00672DC8">
        <w:rPr>
          <w:rFonts w:ascii="Times New Roman" w:hAnsi="Times New Roman" w:cs="Times New Roman"/>
          <w:b/>
          <w:bCs/>
        </w:rPr>
        <w:t>15</w:t>
      </w:r>
      <w:r w:rsidRPr="00672DC8">
        <w:rPr>
          <w:rFonts w:ascii="Times New Roman" w:hAnsi="Times New Roman" w:cs="Times New Roman"/>
          <w:b/>
          <w:bCs/>
        </w:rPr>
        <w:t>、其他应收款</w:t>
      </w:r>
      <w:bookmarkEnd w:id="14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其他应收款的预期信用损失的确定方法及会计处理方法</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其他应收款项目，反映资产负债表日</w:t>
      </w:r>
      <w:r w:rsidRPr="00672DC8">
        <w:rPr>
          <w:rFonts w:ascii="Times New Roman" w:hAnsi="Times New Roman" w:cs="Times New Roman"/>
          <w:sz w:val="21"/>
          <w:szCs w:val="21"/>
        </w:rPr>
        <w:t>“</w:t>
      </w:r>
      <w:r w:rsidRPr="00672DC8">
        <w:rPr>
          <w:rFonts w:ascii="Times New Roman" w:hAnsi="Times New Roman" w:cs="Times New Roman"/>
          <w:sz w:val="21"/>
          <w:szCs w:val="21"/>
        </w:rPr>
        <w:t>应收利息</w:t>
      </w:r>
      <w:r w:rsidRPr="00672DC8">
        <w:rPr>
          <w:rFonts w:ascii="Times New Roman" w:hAnsi="Times New Roman" w:cs="Times New Roman"/>
          <w:sz w:val="21"/>
          <w:szCs w:val="21"/>
        </w:rPr>
        <w:t>”</w:t>
      </w:r>
      <w:r w:rsidRPr="00672DC8">
        <w:rPr>
          <w:rFonts w:ascii="Times New Roman" w:hAnsi="Times New Roman" w:cs="Times New Roman"/>
          <w:sz w:val="21"/>
          <w:szCs w:val="21"/>
        </w:rPr>
        <w:t>、</w:t>
      </w:r>
      <w:r w:rsidRPr="00672DC8">
        <w:rPr>
          <w:rFonts w:ascii="Times New Roman" w:hAnsi="Times New Roman" w:cs="Times New Roman"/>
          <w:sz w:val="21"/>
          <w:szCs w:val="21"/>
        </w:rPr>
        <w:t>“</w:t>
      </w:r>
      <w:r w:rsidRPr="00672DC8">
        <w:rPr>
          <w:rFonts w:ascii="Times New Roman" w:hAnsi="Times New Roman" w:cs="Times New Roman"/>
          <w:sz w:val="21"/>
          <w:szCs w:val="21"/>
        </w:rPr>
        <w:t>应收股利</w:t>
      </w:r>
      <w:r w:rsidRPr="00672DC8">
        <w:rPr>
          <w:rFonts w:ascii="Times New Roman" w:hAnsi="Times New Roman" w:cs="Times New Roman"/>
          <w:sz w:val="21"/>
          <w:szCs w:val="21"/>
        </w:rPr>
        <w:t>”</w:t>
      </w:r>
      <w:r w:rsidRPr="00672DC8">
        <w:rPr>
          <w:rFonts w:ascii="Times New Roman" w:hAnsi="Times New Roman" w:cs="Times New Roman"/>
          <w:sz w:val="21"/>
          <w:szCs w:val="21"/>
        </w:rPr>
        <w:t>和</w:t>
      </w:r>
      <w:r w:rsidRPr="00672DC8">
        <w:rPr>
          <w:rFonts w:ascii="Times New Roman" w:hAnsi="Times New Roman" w:cs="Times New Roman"/>
          <w:sz w:val="21"/>
          <w:szCs w:val="21"/>
        </w:rPr>
        <w:t>“</w:t>
      </w:r>
      <w:r w:rsidRPr="00672DC8">
        <w:rPr>
          <w:rFonts w:ascii="Times New Roman" w:hAnsi="Times New Roman" w:cs="Times New Roman"/>
          <w:sz w:val="21"/>
          <w:szCs w:val="21"/>
        </w:rPr>
        <w:t>其他应收款</w:t>
      </w:r>
      <w:r w:rsidRPr="00672DC8">
        <w:rPr>
          <w:rFonts w:ascii="Times New Roman" w:hAnsi="Times New Roman" w:cs="Times New Roman"/>
          <w:sz w:val="21"/>
          <w:szCs w:val="21"/>
        </w:rPr>
        <w:t>”</w:t>
      </w:r>
      <w:r w:rsidRPr="00672DC8">
        <w:rPr>
          <w:rFonts w:ascii="Times New Roman" w:hAnsi="Times New Roman" w:cs="Times New Roman"/>
          <w:sz w:val="21"/>
          <w:szCs w:val="21"/>
        </w:rPr>
        <w:t>。其中的</w:t>
      </w:r>
      <w:r w:rsidRPr="00672DC8">
        <w:rPr>
          <w:rFonts w:ascii="Times New Roman" w:hAnsi="Times New Roman" w:cs="Times New Roman"/>
          <w:sz w:val="21"/>
          <w:szCs w:val="21"/>
        </w:rPr>
        <w:t>“</w:t>
      </w:r>
      <w:r w:rsidRPr="00672DC8">
        <w:rPr>
          <w:rFonts w:ascii="Times New Roman" w:hAnsi="Times New Roman" w:cs="Times New Roman"/>
          <w:sz w:val="21"/>
          <w:szCs w:val="21"/>
        </w:rPr>
        <w:t>应收利息</w:t>
      </w:r>
      <w:r w:rsidRPr="00672DC8">
        <w:rPr>
          <w:rFonts w:ascii="Times New Roman" w:hAnsi="Times New Roman" w:cs="Times New Roman"/>
          <w:sz w:val="21"/>
          <w:szCs w:val="21"/>
        </w:rPr>
        <w:t>”</w:t>
      </w:r>
      <w:r w:rsidRPr="00672DC8">
        <w:rPr>
          <w:rFonts w:ascii="Times New Roman" w:hAnsi="Times New Roman" w:cs="Times New Roman"/>
          <w:sz w:val="21"/>
          <w:szCs w:val="21"/>
        </w:rPr>
        <w:t>仅反映相关金融工具已到期可收取但于资产负债表日尚未收到的利息。</w:t>
      </w:r>
    </w:p>
    <w:p w:rsidR="000C0769" w:rsidRPr="00672DC8" w:rsidRDefault="000C0769">
      <w:pPr>
        <w:pStyle w:val="a3"/>
        <w:spacing w:before="0" w:beforeAutospacing="0" w:after="0" w:afterAutospacing="0" w:line="360" w:lineRule="auto"/>
        <w:ind w:firstLine="422"/>
        <w:jc w:val="both"/>
        <w:divId w:val="1949190185"/>
        <w:rPr>
          <w:rFonts w:ascii="Times New Roman" w:hAnsi="Times New Roman" w:cs="Times New Roman"/>
          <w:sz w:val="21"/>
          <w:szCs w:val="21"/>
        </w:rPr>
      </w:pPr>
      <w:r w:rsidRPr="00672DC8">
        <w:rPr>
          <w:rStyle w:val="a4"/>
          <w:rFonts w:ascii="Times New Roman" w:hAnsi="Times New Roman" w:cs="Times New Roman"/>
          <w:sz w:val="21"/>
          <w:szCs w:val="21"/>
        </w:rPr>
        <w:t>15.1   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lastRenderedPageBreak/>
        <w:t>本公司基于单项和组合评估其他应收款的预期信用损失。如果有客观证据表明某项其他应收款已经发生信用减值，则本公司对该其他应收款在单项资产的基础上确定预期信用损失。</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对于划分为组合的其他应收款，本公司依据其信用风险自初始确认后是否已经显著增加，采用相当于未来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个月内或整个存续期的预期信用损失的金额计量减值损失。</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除了单项评估信用风险的其他应收款外，基于其信用风险特征，将其划分为不同组合：</w:t>
      </w:r>
    </w:p>
    <w:tbl>
      <w:tblPr>
        <w:tblStyle w:val="aa"/>
        <w:tblW w:w="4882" w:type="pct"/>
        <w:tblLook w:val="04A0" w:firstRow="1" w:lastRow="0" w:firstColumn="1" w:lastColumn="0" w:noHBand="0" w:noVBand="1"/>
      </w:tblPr>
      <w:tblGrid>
        <w:gridCol w:w="3482"/>
        <w:gridCol w:w="5918"/>
      </w:tblGrid>
      <w:tr w:rsidR="000C0769" w:rsidRPr="00672DC8" w:rsidTr="00707526">
        <w:trPr>
          <w:divId w:val="1949190185"/>
          <w:trHeight w:val="20"/>
        </w:trPr>
        <w:tc>
          <w:tcPr>
            <w:tcW w:w="1852" w:type="pct"/>
            <w:shd w:val="clear" w:color="auto" w:fill="BFBFBF" w:themeFill="background1" w:themeFillShade="BF"/>
            <w:vAlign w:val="center"/>
            <w:hideMark/>
          </w:tcPr>
          <w:p w:rsidR="000C0769" w:rsidRPr="00672DC8" w:rsidRDefault="000C0769" w:rsidP="00995525">
            <w:pPr>
              <w:pStyle w:val="a3"/>
              <w:spacing w:before="0" w:beforeAutospacing="0" w:after="0" w:afterAutospacing="0" w:line="288" w:lineRule="auto"/>
              <w:jc w:val="center"/>
              <w:rPr>
                <w:rFonts w:ascii="Times New Roman" w:hAnsi="Times New Roman" w:cs="Times New Roman"/>
                <w:sz w:val="21"/>
                <w:szCs w:val="21"/>
              </w:rPr>
            </w:pPr>
            <w:r w:rsidRPr="00672DC8">
              <w:rPr>
                <w:rStyle w:val="a4"/>
                <w:rFonts w:ascii="Times New Roman" w:hAnsi="Times New Roman" w:cs="Times New Roman"/>
                <w:sz w:val="21"/>
                <w:szCs w:val="21"/>
              </w:rPr>
              <w:t>组合名称</w:t>
            </w:r>
          </w:p>
        </w:tc>
        <w:tc>
          <w:tcPr>
            <w:tcW w:w="3148" w:type="pct"/>
            <w:shd w:val="clear" w:color="auto" w:fill="BFBFBF" w:themeFill="background1" w:themeFillShade="BF"/>
            <w:vAlign w:val="center"/>
            <w:hideMark/>
          </w:tcPr>
          <w:p w:rsidR="000C0769" w:rsidRPr="00672DC8" w:rsidRDefault="000C0769" w:rsidP="00995525">
            <w:pPr>
              <w:pStyle w:val="a3"/>
              <w:spacing w:before="0" w:beforeAutospacing="0" w:after="0" w:afterAutospacing="0" w:line="288" w:lineRule="auto"/>
              <w:jc w:val="center"/>
              <w:rPr>
                <w:rFonts w:ascii="Times New Roman" w:hAnsi="Times New Roman" w:cs="Times New Roman"/>
                <w:sz w:val="21"/>
                <w:szCs w:val="21"/>
              </w:rPr>
            </w:pPr>
            <w:r w:rsidRPr="00672DC8">
              <w:rPr>
                <w:rStyle w:val="a4"/>
                <w:rFonts w:ascii="Times New Roman" w:hAnsi="Times New Roman" w:cs="Times New Roman"/>
                <w:sz w:val="21"/>
                <w:szCs w:val="21"/>
              </w:rPr>
              <w:t>确定依据</w:t>
            </w:r>
          </w:p>
        </w:tc>
      </w:tr>
      <w:tr w:rsidR="000C0769" w:rsidRPr="00672DC8" w:rsidTr="00707526">
        <w:trPr>
          <w:divId w:val="1949190185"/>
          <w:trHeight w:val="20"/>
        </w:trPr>
        <w:tc>
          <w:tcPr>
            <w:tcW w:w="1852" w:type="pct"/>
            <w:vAlign w:val="center"/>
            <w:hideMark/>
          </w:tcPr>
          <w:p w:rsidR="000C0769" w:rsidRPr="00672DC8" w:rsidRDefault="000C0769" w:rsidP="00995525">
            <w:pPr>
              <w:pStyle w:val="a3"/>
              <w:spacing w:before="0" w:beforeAutospacing="0" w:after="0" w:afterAutospacing="0" w:line="288" w:lineRule="auto"/>
              <w:jc w:val="center"/>
              <w:rPr>
                <w:rFonts w:ascii="Times New Roman" w:hAnsi="Times New Roman" w:cs="Times New Roman"/>
                <w:sz w:val="21"/>
                <w:szCs w:val="21"/>
              </w:rPr>
            </w:pPr>
            <w:r w:rsidRPr="00672DC8">
              <w:rPr>
                <w:rFonts w:ascii="Times New Roman" w:hAnsi="Times New Roman" w:cs="Times New Roman"/>
                <w:sz w:val="21"/>
                <w:szCs w:val="21"/>
              </w:rPr>
              <w:t>其他应收款组合</w:t>
            </w:r>
            <w:r w:rsidRPr="00672DC8">
              <w:rPr>
                <w:rFonts w:ascii="Times New Roman" w:hAnsi="Times New Roman" w:cs="Times New Roman"/>
                <w:sz w:val="21"/>
                <w:szCs w:val="21"/>
              </w:rPr>
              <w:t>1</w:t>
            </w:r>
          </w:p>
        </w:tc>
        <w:tc>
          <w:tcPr>
            <w:tcW w:w="3148" w:type="pct"/>
            <w:vAlign w:val="center"/>
            <w:hideMark/>
          </w:tcPr>
          <w:p w:rsidR="000C0769" w:rsidRPr="00672DC8" w:rsidRDefault="000C0769" w:rsidP="00995525">
            <w:pPr>
              <w:pStyle w:val="a3"/>
              <w:spacing w:before="0" w:beforeAutospacing="0" w:after="0" w:afterAutospacing="0" w:line="288" w:lineRule="auto"/>
              <w:jc w:val="both"/>
              <w:rPr>
                <w:rFonts w:ascii="Times New Roman" w:hAnsi="Times New Roman" w:cs="Times New Roman"/>
                <w:sz w:val="21"/>
                <w:szCs w:val="21"/>
              </w:rPr>
            </w:pPr>
            <w:r w:rsidRPr="00672DC8">
              <w:rPr>
                <w:rFonts w:ascii="Times New Roman" w:hAnsi="Times New Roman" w:cs="Times New Roman"/>
                <w:sz w:val="21"/>
                <w:szCs w:val="21"/>
              </w:rPr>
              <w:t>本组合为日常经常活动中应收取的各类押金、投标保证金、履约保证金、质量保证金等应收款项</w:t>
            </w:r>
          </w:p>
        </w:tc>
      </w:tr>
      <w:tr w:rsidR="000C0769" w:rsidRPr="00672DC8" w:rsidTr="00707526">
        <w:trPr>
          <w:divId w:val="1949190185"/>
          <w:trHeight w:val="20"/>
        </w:trPr>
        <w:tc>
          <w:tcPr>
            <w:tcW w:w="1852" w:type="pct"/>
            <w:vAlign w:val="center"/>
            <w:hideMark/>
          </w:tcPr>
          <w:p w:rsidR="000C0769" w:rsidRPr="00672DC8" w:rsidRDefault="000C0769" w:rsidP="00995525">
            <w:pPr>
              <w:pStyle w:val="a3"/>
              <w:spacing w:before="0" w:beforeAutospacing="0" w:after="0" w:afterAutospacing="0" w:line="288" w:lineRule="auto"/>
              <w:jc w:val="center"/>
              <w:rPr>
                <w:rFonts w:ascii="Times New Roman" w:hAnsi="Times New Roman" w:cs="Times New Roman"/>
                <w:sz w:val="21"/>
                <w:szCs w:val="21"/>
              </w:rPr>
            </w:pPr>
            <w:r w:rsidRPr="00672DC8">
              <w:rPr>
                <w:rFonts w:ascii="Times New Roman" w:hAnsi="Times New Roman" w:cs="Times New Roman"/>
                <w:sz w:val="21"/>
                <w:szCs w:val="21"/>
              </w:rPr>
              <w:t>其他应收款组合</w:t>
            </w:r>
            <w:r w:rsidRPr="00672DC8">
              <w:rPr>
                <w:rFonts w:ascii="Times New Roman" w:hAnsi="Times New Roman" w:cs="Times New Roman"/>
                <w:sz w:val="21"/>
                <w:szCs w:val="21"/>
              </w:rPr>
              <w:t>2</w:t>
            </w:r>
          </w:p>
        </w:tc>
        <w:tc>
          <w:tcPr>
            <w:tcW w:w="3148" w:type="pct"/>
            <w:vAlign w:val="center"/>
            <w:hideMark/>
          </w:tcPr>
          <w:p w:rsidR="000C0769" w:rsidRPr="00672DC8" w:rsidRDefault="000C0769" w:rsidP="00995525">
            <w:pPr>
              <w:pStyle w:val="a3"/>
              <w:spacing w:before="0" w:beforeAutospacing="0" w:after="0" w:afterAutospacing="0" w:line="288" w:lineRule="auto"/>
              <w:jc w:val="both"/>
              <w:rPr>
                <w:rFonts w:ascii="Times New Roman" w:hAnsi="Times New Roman" w:cs="Times New Roman"/>
                <w:sz w:val="21"/>
                <w:szCs w:val="21"/>
              </w:rPr>
            </w:pPr>
            <w:r w:rsidRPr="00672DC8">
              <w:rPr>
                <w:rFonts w:ascii="Times New Roman" w:hAnsi="Times New Roman" w:cs="Times New Roman"/>
                <w:sz w:val="21"/>
                <w:szCs w:val="21"/>
              </w:rPr>
              <w:t>本组合为应向员工收取的备用金、代垫社保公积金、代垫费用等应收款项</w:t>
            </w:r>
          </w:p>
        </w:tc>
      </w:tr>
      <w:tr w:rsidR="000C0769" w:rsidRPr="00672DC8" w:rsidTr="00707526">
        <w:trPr>
          <w:divId w:val="1949190185"/>
          <w:trHeight w:val="20"/>
        </w:trPr>
        <w:tc>
          <w:tcPr>
            <w:tcW w:w="1852" w:type="pct"/>
            <w:vAlign w:val="center"/>
            <w:hideMark/>
          </w:tcPr>
          <w:p w:rsidR="000C0769" w:rsidRPr="00672DC8" w:rsidRDefault="000C0769" w:rsidP="00995525">
            <w:pPr>
              <w:pStyle w:val="a3"/>
              <w:spacing w:before="0" w:beforeAutospacing="0" w:after="0" w:afterAutospacing="0" w:line="288" w:lineRule="auto"/>
              <w:jc w:val="center"/>
              <w:rPr>
                <w:rFonts w:ascii="Times New Roman" w:hAnsi="Times New Roman" w:cs="Times New Roman"/>
                <w:sz w:val="21"/>
                <w:szCs w:val="21"/>
              </w:rPr>
            </w:pPr>
            <w:r w:rsidRPr="00672DC8">
              <w:rPr>
                <w:rFonts w:ascii="Times New Roman" w:hAnsi="Times New Roman" w:cs="Times New Roman"/>
                <w:sz w:val="21"/>
                <w:szCs w:val="21"/>
              </w:rPr>
              <w:t>其他应收款组合</w:t>
            </w:r>
            <w:r w:rsidRPr="00672DC8">
              <w:rPr>
                <w:rFonts w:ascii="Times New Roman" w:hAnsi="Times New Roman" w:cs="Times New Roman"/>
                <w:sz w:val="21"/>
                <w:szCs w:val="21"/>
              </w:rPr>
              <w:t>3</w:t>
            </w:r>
          </w:p>
        </w:tc>
        <w:tc>
          <w:tcPr>
            <w:tcW w:w="3148" w:type="pct"/>
            <w:vAlign w:val="center"/>
            <w:hideMark/>
          </w:tcPr>
          <w:p w:rsidR="000C0769" w:rsidRPr="00672DC8" w:rsidRDefault="000C0769" w:rsidP="00995525">
            <w:pPr>
              <w:pStyle w:val="a3"/>
              <w:spacing w:before="0" w:beforeAutospacing="0" w:after="0" w:afterAutospacing="0" w:line="288" w:lineRule="auto"/>
              <w:jc w:val="both"/>
              <w:rPr>
                <w:rFonts w:ascii="Times New Roman" w:hAnsi="Times New Roman" w:cs="Times New Roman"/>
                <w:sz w:val="21"/>
                <w:szCs w:val="21"/>
              </w:rPr>
            </w:pPr>
            <w:r w:rsidRPr="00672DC8">
              <w:rPr>
                <w:rFonts w:ascii="Times New Roman" w:hAnsi="Times New Roman" w:cs="Times New Roman"/>
                <w:sz w:val="21"/>
                <w:szCs w:val="21"/>
              </w:rPr>
              <w:t>本组合为应收其他款项</w:t>
            </w:r>
          </w:p>
        </w:tc>
      </w:tr>
    </w:tbl>
    <w:p w:rsidR="000C0769" w:rsidRPr="00672DC8" w:rsidRDefault="000C0769">
      <w:pPr>
        <w:pStyle w:val="a3"/>
        <w:spacing w:before="12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本公司在每个资产负债表日评估相关其他应收款的信用风险自初始确认后的变动情况。若该其他应收款的信用风险自初始确认后已显著增加，本公司按照相当于该其他应收款整个存续期内预期信用损失的金额计量其损失准备；若该其他应收款的信用风险自初始确认后并未显著增加，本公司按照相当于该其他应收款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个月内预期信用损失的金额计量其损失准备。</w:t>
      </w:r>
    </w:p>
    <w:p w:rsidR="000C0769" w:rsidRPr="00672DC8" w:rsidRDefault="000C0769">
      <w:pPr>
        <w:pStyle w:val="a3"/>
        <w:spacing w:before="0" w:beforeAutospacing="0" w:after="0" w:afterAutospacing="0" w:line="360" w:lineRule="auto"/>
        <w:ind w:firstLine="422"/>
        <w:jc w:val="both"/>
        <w:divId w:val="1949190185"/>
        <w:rPr>
          <w:rFonts w:ascii="Times New Roman" w:hAnsi="Times New Roman" w:cs="Times New Roman"/>
          <w:sz w:val="21"/>
          <w:szCs w:val="21"/>
        </w:rPr>
      </w:pPr>
      <w:r w:rsidRPr="00672DC8">
        <w:rPr>
          <w:rStyle w:val="a4"/>
          <w:rFonts w:ascii="Times New Roman" w:hAnsi="Times New Roman" w:cs="Times New Roman"/>
          <w:sz w:val="21"/>
          <w:szCs w:val="21"/>
        </w:rPr>
        <w:t>15.2   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信用损失准备的增加或转回金额，作为减值损失或利得计入当期损益。</w:t>
      </w:r>
    </w:p>
    <w:p w:rsidR="000C0769" w:rsidRPr="00672DC8" w:rsidRDefault="000C0769">
      <w:pPr>
        <w:pStyle w:val="a3"/>
        <w:spacing w:before="0" w:beforeAutospacing="0" w:after="0" w:afterAutospacing="0" w:line="360" w:lineRule="auto"/>
        <w:ind w:firstLine="420"/>
        <w:jc w:val="both"/>
        <w:divId w:val="1949190185"/>
        <w:rPr>
          <w:rFonts w:ascii="Times New Roman" w:hAnsi="Times New Roman" w:cs="Times New Roman"/>
          <w:sz w:val="21"/>
          <w:szCs w:val="21"/>
        </w:rPr>
      </w:pPr>
      <w:r w:rsidRPr="00672DC8">
        <w:rPr>
          <w:rFonts w:ascii="Times New Roman" w:hAnsi="Times New Roman" w:cs="Times New Roman"/>
          <w:sz w:val="21"/>
          <w:szCs w:val="21"/>
        </w:rPr>
        <w:t>本公司在前一会计期间已经按照相当于其他应收款整个存续期内预期信用损失的金额计量了损失准备，但在当期资产负债表日，该其他应收款已不再属于自初始确认后信用风险显著增加的情形的，本公司在当期资产负债表日按照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个月内预期信用损失的金额计量该其他应收款的损失准备，由此形成的损失准备的转回金额作为减值利得计入当期损益。</w:t>
      </w:r>
    </w:p>
    <w:p w:rsidR="003D2BA8" w:rsidRPr="00672DC8" w:rsidRDefault="000C0769">
      <w:pPr>
        <w:pStyle w:val="3"/>
        <w:spacing w:line="280" w:lineRule="exact"/>
        <w:jc w:val="left"/>
        <w:rPr>
          <w:rFonts w:ascii="Times New Roman" w:hAnsi="Times New Roman" w:cs="Times New Roman"/>
          <w:b/>
          <w:bCs/>
        </w:rPr>
      </w:pPr>
      <w:bookmarkStart w:id="146" w:name="_Toc989013"/>
      <w:r w:rsidRPr="00672DC8">
        <w:rPr>
          <w:rFonts w:ascii="Times New Roman" w:hAnsi="Times New Roman" w:cs="Times New Roman"/>
          <w:b/>
          <w:bCs/>
        </w:rPr>
        <w:t>16</w:t>
      </w:r>
      <w:r w:rsidRPr="00672DC8">
        <w:rPr>
          <w:rFonts w:ascii="Times New Roman" w:hAnsi="Times New Roman" w:cs="Times New Roman"/>
          <w:b/>
          <w:bCs/>
        </w:rPr>
        <w:t>、合同资产</w:t>
      </w:r>
      <w:bookmarkEnd w:id="146"/>
    </w:p>
    <w:p w:rsidR="000C0769" w:rsidRPr="00672DC8" w:rsidRDefault="000C0769">
      <w:pPr>
        <w:pStyle w:val="a3"/>
        <w:spacing w:before="0" w:beforeAutospacing="0" w:after="0" w:afterAutospacing="0" w:line="360" w:lineRule="auto"/>
        <w:ind w:firstLine="422"/>
        <w:jc w:val="both"/>
        <w:divId w:val="1604410566"/>
        <w:rPr>
          <w:rFonts w:ascii="Times New Roman" w:hAnsi="Times New Roman" w:cs="Times New Roman"/>
          <w:sz w:val="21"/>
          <w:szCs w:val="21"/>
        </w:rPr>
      </w:pPr>
      <w:r w:rsidRPr="00672DC8">
        <w:rPr>
          <w:rStyle w:val="a4"/>
          <w:rFonts w:ascii="Times New Roman" w:hAnsi="Times New Roman" w:cs="Times New Roman"/>
          <w:sz w:val="21"/>
          <w:szCs w:val="21"/>
        </w:rPr>
        <w:t>16.1   </w:t>
      </w:r>
      <w:r w:rsidRPr="00672DC8">
        <w:rPr>
          <w:rStyle w:val="a4"/>
          <w:rFonts w:ascii="Times New Roman" w:hAnsi="Times New Roman" w:cs="Times New Roman"/>
          <w:sz w:val="21"/>
          <w:szCs w:val="21"/>
        </w:rPr>
        <w:t>合同资产的确认方法及标准</w:t>
      </w:r>
    </w:p>
    <w:p w:rsidR="000C0769" w:rsidRPr="00672DC8" w:rsidRDefault="000C0769">
      <w:pPr>
        <w:pStyle w:val="a3"/>
        <w:spacing w:before="0" w:beforeAutospacing="0" w:after="0" w:afterAutospacing="0" w:line="360" w:lineRule="auto"/>
        <w:ind w:firstLine="420"/>
        <w:jc w:val="both"/>
        <w:divId w:val="1604410566"/>
        <w:rPr>
          <w:rFonts w:ascii="Times New Roman" w:hAnsi="Times New Roman" w:cs="Times New Roman"/>
          <w:sz w:val="21"/>
          <w:szCs w:val="21"/>
        </w:rPr>
      </w:pPr>
      <w:r w:rsidRPr="00672DC8">
        <w:rPr>
          <w:rFonts w:ascii="Times New Roman" w:hAnsi="Times New Roman" w:cs="Times New Roman"/>
          <w:sz w:val="21"/>
          <w:szCs w:val="21"/>
        </w:rPr>
        <w:t>合同资产，是指本公司已向客户转让商品而有权收取对价的权利，且该权利取决于时间流逝之外的其他因素。本公司已向客户转移商品而拥有的、无条件（仅取决于时间流逝）向客户收取对价的权利作为应收款项列示。同一合同下的合同资产和合同负债以净额列示，不同合同下的合同资产和合同负债不予抵销。</w:t>
      </w:r>
    </w:p>
    <w:p w:rsidR="000C0769" w:rsidRPr="00672DC8" w:rsidRDefault="000C0769">
      <w:pPr>
        <w:pStyle w:val="a3"/>
        <w:spacing w:before="0" w:beforeAutospacing="0" w:after="0" w:afterAutospacing="0" w:line="360" w:lineRule="auto"/>
        <w:ind w:firstLine="422"/>
        <w:jc w:val="both"/>
        <w:divId w:val="1657301508"/>
        <w:rPr>
          <w:rFonts w:ascii="Times New Roman" w:hAnsi="Times New Roman" w:cs="Times New Roman"/>
          <w:sz w:val="21"/>
          <w:szCs w:val="21"/>
        </w:rPr>
      </w:pPr>
      <w:r w:rsidRPr="00672DC8">
        <w:rPr>
          <w:rStyle w:val="a4"/>
          <w:rFonts w:ascii="Times New Roman" w:hAnsi="Times New Roman" w:cs="Times New Roman"/>
          <w:sz w:val="21"/>
          <w:szCs w:val="21"/>
        </w:rPr>
        <w:t xml:space="preserve">16.2  </w:t>
      </w:r>
      <w:r w:rsidRPr="00672DC8">
        <w:rPr>
          <w:rStyle w:val="a4"/>
          <w:rFonts w:ascii="Times New Roman" w:hAnsi="Times New Roman" w:cs="Times New Roman"/>
          <w:sz w:val="21"/>
          <w:szCs w:val="21"/>
        </w:rPr>
        <w:t>合同资产预期信用损失的确定方法及会计处理方法</w:t>
      </w:r>
    </w:p>
    <w:p w:rsidR="000C0769" w:rsidRPr="00672DC8" w:rsidRDefault="000C0769">
      <w:pPr>
        <w:pStyle w:val="a3"/>
        <w:spacing w:before="0" w:beforeAutospacing="0" w:after="0" w:afterAutospacing="0" w:line="360" w:lineRule="auto"/>
        <w:ind w:firstLine="420"/>
        <w:jc w:val="both"/>
        <w:divId w:val="1657301508"/>
        <w:rPr>
          <w:rFonts w:ascii="Times New Roman" w:hAnsi="Times New Roman" w:cs="Times New Roman"/>
          <w:sz w:val="21"/>
          <w:szCs w:val="21"/>
        </w:rPr>
      </w:pPr>
      <w:r w:rsidRPr="00672DC8">
        <w:rPr>
          <w:rFonts w:ascii="Times New Roman" w:hAnsi="Times New Roman" w:cs="Times New Roman"/>
          <w:sz w:val="21"/>
          <w:szCs w:val="21"/>
        </w:rPr>
        <w:t>本公司对由收入准则规范的交易形成的合同资产（无论是否包含重大融资成分），按照相当于整个存续期内预期信用损失的金额计量损失准备。</w:t>
      </w:r>
    </w:p>
    <w:p w:rsidR="000C0769" w:rsidRPr="00672DC8" w:rsidRDefault="000C0769">
      <w:pPr>
        <w:pStyle w:val="a3"/>
        <w:spacing w:before="0" w:beforeAutospacing="0" w:after="0" w:afterAutospacing="0" w:line="360" w:lineRule="auto"/>
        <w:ind w:firstLine="420"/>
        <w:jc w:val="both"/>
        <w:divId w:val="1657301508"/>
        <w:rPr>
          <w:rFonts w:ascii="Times New Roman" w:hAnsi="Times New Roman" w:cs="Times New Roman"/>
          <w:sz w:val="21"/>
          <w:szCs w:val="21"/>
        </w:rPr>
      </w:pPr>
      <w:r w:rsidRPr="00672DC8">
        <w:rPr>
          <w:rFonts w:ascii="Times New Roman" w:hAnsi="Times New Roman" w:cs="Times New Roman"/>
          <w:sz w:val="21"/>
          <w:szCs w:val="21"/>
        </w:rPr>
        <w:lastRenderedPageBreak/>
        <w:t>本公司基于单项和组合评估合同资产的预期信用损失。如果有客观证据表明某项合同资产已经发生信用减值，则本公司对该合同资产在单项资产的基础上确定预期信用损失。对于划分为组合的合同资产，本公司参考历史信用损失经验，结合当前状况以及对未来经济状况的预测，通过违约风险敞口和整个存续期预期信用损失率，计算预期信用损失。</w:t>
      </w:r>
    </w:p>
    <w:p w:rsidR="000C0769" w:rsidRPr="00672DC8" w:rsidRDefault="000C0769">
      <w:pPr>
        <w:pStyle w:val="a3"/>
        <w:spacing w:before="0" w:beforeAutospacing="0" w:after="0" w:afterAutospacing="0" w:line="360" w:lineRule="auto"/>
        <w:ind w:firstLine="420"/>
        <w:jc w:val="both"/>
        <w:divId w:val="1657301508"/>
        <w:rPr>
          <w:rFonts w:ascii="Times New Roman" w:hAnsi="Times New Roman" w:cs="Times New Roman"/>
          <w:sz w:val="21"/>
          <w:szCs w:val="21"/>
        </w:rPr>
      </w:pPr>
      <w:r w:rsidRPr="00672DC8">
        <w:rPr>
          <w:rFonts w:ascii="Times New Roman" w:hAnsi="Times New Roman" w:cs="Times New Roman"/>
          <w:sz w:val="21"/>
          <w:szCs w:val="21"/>
        </w:rPr>
        <w:t>按照信用风险特征组合计提坏账准备的组合类别及确定依据如下：</w:t>
      </w:r>
    </w:p>
    <w:tbl>
      <w:tblPr>
        <w:tblStyle w:val="aa"/>
        <w:tblW w:w="4882" w:type="pct"/>
        <w:tblLook w:val="04A0" w:firstRow="1" w:lastRow="0" w:firstColumn="1" w:lastColumn="0" w:noHBand="0" w:noVBand="1"/>
      </w:tblPr>
      <w:tblGrid>
        <w:gridCol w:w="3482"/>
        <w:gridCol w:w="5918"/>
      </w:tblGrid>
      <w:tr w:rsidR="000C0769" w:rsidRPr="00672DC8" w:rsidTr="006643CA">
        <w:trPr>
          <w:divId w:val="1657301508"/>
          <w:trHeight w:val="283"/>
        </w:trPr>
        <w:tc>
          <w:tcPr>
            <w:tcW w:w="1852"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组合名称</w:t>
            </w:r>
          </w:p>
        </w:tc>
        <w:tc>
          <w:tcPr>
            <w:tcW w:w="3148"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确定依据</w:t>
            </w:r>
          </w:p>
        </w:tc>
      </w:tr>
      <w:tr w:rsidR="000C0769" w:rsidRPr="00672DC8" w:rsidTr="006643CA">
        <w:trPr>
          <w:divId w:val="1657301508"/>
          <w:trHeight w:val="283"/>
        </w:trPr>
        <w:tc>
          <w:tcPr>
            <w:tcW w:w="1852"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合同资产组合</w:t>
            </w:r>
            <w:r w:rsidRPr="00672DC8">
              <w:rPr>
                <w:rFonts w:ascii="Times New Roman" w:hAnsi="Times New Roman" w:cs="Times New Roman"/>
                <w:sz w:val="21"/>
                <w:szCs w:val="21"/>
              </w:rPr>
              <w:t>1</w:t>
            </w:r>
          </w:p>
        </w:tc>
        <w:tc>
          <w:tcPr>
            <w:tcW w:w="3148"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本组合为政府部门、教育医疗单位的应收款项</w:t>
            </w:r>
          </w:p>
        </w:tc>
      </w:tr>
      <w:tr w:rsidR="000C0769" w:rsidRPr="00672DC8" w:rsidTr="006643CA">
        <w:trPr>
          <w:divId w:val="1657301508"/>
          <w:trHeight w:val="283"/>
        </w:trPr>
        <w:tc>
          <w:tcPr>
            <w:tcW w:w="1852"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合同资产组合</w:t>
            </w:r>
            <w:r w:rsidRPr="00672DC8">
              <w:rPr>
                <w:rFonts w:ascii="Times New Roman" w:hAnsi="Times New Roman" w:cs="Times New Roman"/>
                <w:sz w:val="21"/>
                <w:szCs w:val="21"/>
              </w:rPr>
              <w:t>2</w:t>
            </w:r>
          </w:p>
        </w:tc>
        <w:tc>
          <w:tcPr>
            <w:tcW w:w="3148"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本组合为企业及其他单位的应收款项</w:t>
            </w:r>
          </w:p>
        </w:tc>
      </w:tr>
    </w:tbl>
    <w:p w:rsidR="000C0769" w:rsidRPr="00672DC8" w:rsidRDefault="000C0769">
      <w:pPr>
        <w:pStyle w:val="a3"/>
        <w:spacing w:before="120" w:beforeAutospacing="0" w:after="0" w:afterAutospacing="0" w:line="360" w:lineRule="auto"/>
        <w:ind w:firstLine="420"/>
        <w:jc w:val="both"/>
        <w:divId w:val="1657301508"/>
        <w:rPr>
          <w:rFonts w:ascii="Times New Roman" w:hAnsi="Times New Roman" w:cs="Times New Roman"/>
          <w:sz w:val="21"/>
          <w:szCs w:val="21"/>
        </w:rPr>
      </w:pPr>
      <w:r w:rsidRPr="00672DC8">
        <w:rPr>
          <w:rFonts w:ascii="Times New Roman" w:hAnsi="Times New Roman" w:cs="Times New Roman"/>
          <w:sz w:val="21"/>
          <w:szCs w:val="21"/>
        </w:rPr>
        <w:t>预期信用损失的会计处理方法，信用损失准备的增加或转回金额，作为减值损失或利得计入当期损益。</w:t>
      </w:r>
    </w:p>
    <w:p w:rsidR="000C0769" w:rsidRPr="00672DC8" w:rsidRDefault="000C0769">
      <w:pPr>
        <w:pStyle w:val="a3"/>
        <w:spacing w:before="0" w:beforeAutospacing="0" w:after="0" w:afterAutospacing="0" w:line="360" w:lineRule="auto"/>
        <w:ind w:firstLine="420"/>
        <w:jc w:val="both"/>
        <w:divId w:val="1657301508"/>
        <w:rPr>
          <w:rFonts w:ascii="Times New Roman" w:hAnsi="Times New Roman" w:cs="Times New Roman"/>
          <w:sz w:val="21"/>
          <w:szCs w:val="21"/>
        </w:rPr>
      </w:pPr>
      <w:r w:rsidRPr="00672DC8">
        <w:rPr>
          <w:rFonts w:ascii="Times New Roman" w:hAnsi="Times New Roman" w:cs="Times New Roman"/>
          <w:sz w:val="21"/>
          <w:szCs w:val="21"/>
        </w:rPr>
        <w:t>基于账龄确认信用风险特征组合的账龄计算方法如下：</w:t>
      </w:r>
    </w:p>
    <w:tbl>
      <w:tblPr>
        <w:tblStyle w:val="aa"/>
        <w:tblW w:w="5000" w:type="pct"/>
        <w:tblLook w:val="04A0" w:firstRow="1" w:lastRow="0" w:firstColumn="1" w:lastColumn="0" w:noHBand="0" w:noVBand="1"/>
      </w:tblPr>
      <w:tblGrid>
        <w:gridCol w:w="3187"/>
        <w:gridCol w:w="3221"/>
        <w:gridCol w:w="3219"/>
      </w:tblGrid>
      <w:tr w:rsidR="000C0769" w:rsidRPr="00672DC8" w:rsidTr="006643CA">
        <w:trPr>
          <w:divId w:val="1657301508"/>
          <w:trHeight w:val="283"/>
          <w:tblHeader/>
        </w:trPr>
        <w:tc>
          <w:tcPr>
            <w:tcW w:w="1655" w:type="pct"/>
            <w:shd w:val="clear" w:color="auto" w:fill="BFBFBF" w:themeFill="background1" w:themeFillShade="BF"/>
            <w:vAlign w:val="center"/>
            <w:hideMark/>
          </w:tcPr>
          <w:p w:rsidR="000C0769" w:rsidRPr="00672DC8" w:rsidRDefault="000C0769" w:rsidP="006643CA">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账龄</w:t>
            </w:r>
          </w:p>
        </w:tc>
        <w:tc>
          <w:tcPr>
            <w:tcW w:w="1673" w:type="pct"/>
            <w:shd w:val="clear" w:color="auto" w:fill="BFBFBF" w:themeFill="background1" w:themeFillShade="BF"/>
            <w:vAlign w:val="center"/>
            <w:hideMark/>
          </w:tcPr>
          <w:p w:rsidR="000C0769" w:rsidRPr="00672DC8" w:rsidRDefault="000C0769" w:rsidP="006643CA">
            <w:pPr>
              <w:pStyle w:val="a3"/>
              <w:spacing w:before="0" w:beforeAutospacing="0" w:after="0" w:afterAutospacing="0" w:line="360" w:lineRule="atLeast"/>
              <w:jc w:val="center"/>
              <w:rPr>
                <w:rFonts w:ascii="Times New Roman" w:hAnsi="Times New Roman" w:cs="Times New Roman"/>
                <w:sz w:val="21"/>
                <w:szCs w:val="21"/>
              </w:rPr>
            </w:pPr>
            <w:r w:rsidRPr="00672DC8">
              <w:rPr>
                <w:rStyle w:val="a4"/>
                <w:rFonts w:ascii="Times New Roman" w:hAnsi="Times New Roman" w:cs="Times New Roman"/>
                <w:sz w:val="21"/>
                <w:szCs w:val="21"/>
              </w:rPr>
              <w:t>合同资产组合</w:t>
            </w:r>
            <w:r w:rsidRPr="00672DC8">
              <w:rPr>
                <w:rStyle w:val="a4"/>
                <w:rFonts w:ascii="Times New Roman" w:hAnsi="Times New Roman" w:cs="Times New Roman"/>
                <w:sz w:val="21"/>
                <w:szCs w:val="21"/>
              </w:rPr>
              <w:t>1</w:t>
            </w:r>
          </w:p>
          <w:p w:rsidR="000C0769" w:rsidRPr="00672DC8" w:rsidRDefault="000C0769" w:rsidP="006643CA">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c>
          <w:tcPr>
            <w:tcW w:w="1672" w:type="pct"/>
            <w:shd w:val="clear" w:color="auto" w:fill="BFBFBF" w:themeFill="background1" w:themeFillShade="BF"/>
            <w:vAlign w:val="center"/>
            <w:hideMark/>
          </w:tcPr>
          <w:p w:rsidR="000C0769" w:rsidRPr="00672DC8" w:rsidRDefault="000C0769" w:rsidP="006643CA">
            <w:pPr>
              <w:pStyle w:val="a3"/>
              <w:spacing w:before="0" w:beforeAutospacing="0" w:after="0" w:afterAutospacing="0" w:line="360" w:lineRule="atLeast"/>
              <w:jc w:val="center"/>
              <w:rPr>
                <w:rFonts w:ascii="Times New Roman" w:hAnsi="Times New Roman" w:cs="Times New Roman"/>
                <w:sz w:val="21"/>
                <w:szCs w:val="21"/>
              </w:rPr>
            </w:pPr>
            <w:r w:rsidRPr="00672DC8">
              <w:rPr>
                <w:rStyle w:val="a4"/>
                <w:rFonts w:ascii="Times New Roman" w:hAnsi="Times New Roman" w:cs="Times New Roman"/>
                <w:sz w:val="21"/>
                <w:szCs w:val="21"/>
              </w:rPr>
              <w:t>合同资产组合</w:t>
            </w:r>
            <w:r w:rsidRPr="00672DC8">
              <w:rPr>
                <w:rStyle w:val="a4"/>
                <w:rFonts w:ascii="Times New Roman" w:hAnsi="Times New Roman" w:cs="Times New Roman"/>
                <w:sz w:val="21"/>
                <w:szCs w:val="21"/>
              </w:rPr>
              <w:t>2</w:t>
            </w:r>
          </w:p>
          <w:p w:rsidR="000C0769" w:rsidRPr="00672DC8" w:rsidRDefault="000C0769" w:rsidP="006643CA">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预期信用损失率（</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w:t>
            </w:r>
            <w:r w:rsidRPr="00672DC8">
              <w:rPr>
                <w:rFonts w:ascii="Times New Roman" w:hAnsi="Times New Roman" w:cs="Times New Roman"/>
                <w:sz w:val="21"/>
                <w:szCs w:val="21"/>
              </w:rPr>
              <w:t>年以内（含</w:t>
            </w:r>
            <w:r w:rsidRPr="00672DC8">
              <w:rPr>
                <w:rFonts w:ascii="Times New Roman" w:hAnsi="Times New Roman" w:cs="Times New Roman"/>
                <w:sz w:val="21"/>
                <w:szCs w:val="21"/>
              </w:rPr>
              <w:t>1</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1-2</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2-3</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30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30</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3-4</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50</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4-5</w:t>
            </w:r>
            <w:r w:rsidRPr="00672DC8">
              <w:rPr>
                <w:rFonts w:ascii="Times New Roman" w:hAnsi="Times New Roman" w:cs="Times New Roman"/>
                <w:sz w:val="21"/>
                <w:szCs w:val="21"/>
              </w:rPr>
              <w:t>年</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80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r>
      <w:tr w:rsidR="000C0769" w:rsidRPr="00672DC8" w:rsidTr="006643CA">
        <w:trPr>
          <w:divId w:val="1657301508"/>
          <w:trHeight w:val="283"/>
        </w:trPr>
        <w:tc>
          <w:tcPr>
            <w:tcW w:w="1655"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5</w:t>
            </w:r>
            <w:r w:rsidRPr="00672DC8">
              <w:rPr>
                <w:rFonts w:ascii="Times New Roman" w:hAnsi="Times New Roman" w:cs="Times New Roman"/>
                <w:sz w:val="21"/>
                <w:szCs w:val="21"/>
              </w:rPr>
              <w:t>年以上</w:t>
            </w:r>
          </w:p>
        </w:tc>
        <w:tc>
          <w:tcPr>
            <w:tcW w:w="1673"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c>
          <w:tcPr>
            <w:tcW w:w="1672"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100</w:t>
            </w:r>
          </w:p>
        </w:tc>
      </w:tr>
    </w:tbl>
    <w:p w:rsidR="000C0769" w:rsidRPr="00672DC8" w:rsidRDefault="000C0769" w:rsidP="009D018E">
      <w:pPr>
        <w:pStyle w:val="a3"/>
        <w:divId w:val="1657301508"/>
        <w:rPr>
          <w:rFonts w:ascii="Times New Roman" w:hAnsi="Times New Roman" w:cs="Times New Roman"/>
          <w:sz w:val="21"/>
          <w:szCs w:val="21"/>
        </w:rPr>
      </w:pPr>
      <w:r w:rsidRPr="00672DC8">
        <w:rPr>
          <w:rFonts w:ascii="Times New Roman" w:hAnsi="Times New Roman" w:cs="Times New Roman"/>
          <w:sz w:val="21"/>
          <w:szCs w:val="21"/>
        </w:rPr>
        <w:t>  </w:t>
      </w:r>
      <w:r w:rsidRPr="00672DC8">
        <w:rPr>
          <w:rFonts w:ascii="Times New Roman" w:hAnsi="Times New Roman" w:cs="Times New Roman"/>
          <w:sz w:val="21"/>
          <w:szCs w:val="21"/>
        </w:rPr>
        <w:t>对于存在客观证据表明存在减值，以及其他适用于单项评估的合同资产单独进行减值测试，确认预期信用损失，计提单项减值准备。</w:t>
      </w:r>
    </w:p>
    <w:p w:rsidR="003D2BA8" w:rsidRPr="00672DC8" w:rsidRDefault="000C0769">
      <w:pPr>
        <w:pStyle w:val="3"/>
        <w:spacing w:line="280" w:lineRule="exact"/>
        <w:jc w:val="left"/>
        <w:rPr>
          <w:rFonts w:ascii="Times New Roman" w:hAnsi="Times New Roman" w:cs="Times New Roman"/>
          <w:b/>
          <w:bCs/>
        </w:rPr>
      </w:pPr>
      <w:bookmarkStart w:id="147" w:name="_Toc989014"/>
      <w:r w:rsidRPr="00672DC8">
        <w:rPr>
          <w:rFonts w:ascii="Times New Roman" w:hAnsi="Times New Roman" w:cs="Times New Roman"/>
          <w:b/>
          <w:bCs/>
        </w:rPr>
        <w:t>17</w:t>
      </w:r>
      <w:r w:rsidRPr="00672DC8">
        <w:rPr>
          <w:rFonts w:ascii="Times New Roman" w:hAnsi="Times New Roman" w:cs="Times New Roman"/>
          <w:b/>
          <w:bCs/>
        </w:rPr>
        <w:t>、存货</w:t>
      </w:r>
      <w:bookmarkEnd w:id="147"/>
    </w:p>
    <w:p w:rsidR="000C0769" w:rsidRPr="00672DC8" w:rsidRDefault="000C0769">
      <w:pPr>
        <w:pStyle w:val="a3"/>
        <w:spacing w:before="0" w:beforeAutospacing="0" w:after="0" w:afterAutospacing="0" w:line="360" w:lineRule="auto"/>
        <w:ind w:firstLine="422"/>
        <w:jc w:val="both"/>
        <w:divId w:val="316955453"/>
        <w:rPr>
          <w:rFonts w:ascii="Times New Roman" w:hAnsi="Times New Roman" w:cs="Times New Roman"/>
          <w:sz w:val="21"/>
          <w:szCs w:val="21"/>
        </w:rPr>
      </w:pPr>
      <w:r w:rsidRPr="00672DC8">
        <w:rPr>
          <w:rStyle w:val="a4"/>
          <w:rFonts w:ascii="Times New Roman" w:hAnsi="Times New Roman" w:cs="Times New Roman"/>
          <w:sz w:val="21"/>
          <w:szCs w:val="21"/>
        </w:rPr>
        <w:t xml:space="preserve">17.1  </w:t>
      </w:r>
      <w:r w:rsidRPr="00672DC8">
        <w:rPr>
          <w:rStyle w:val="a4"/>
          <w:rFonts w:ascii="Times New Roman" w:hAnsi="Times New Roman" w:cs="Times New Roman"/>
          <w:sz w:val="21"/>
          <w:szCs w:val="21"/>
        </w:rPr>
        <w:t>存货的分类</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存货主要包括原材料、在产品、库存商品、发出商品等。</w:t>
      </w:r>
    </w:p>
    <w:p w:rsidR="000C0769" w:rsidRPr="00672DC8" w:rsidRDefault="000C0769">
      <w:pPr>
        <w:pStyle w:val="a3"/>
        <w:spacing w:before="0" w:beforeAutospacing="0" w:after="0" w:afterAutospacing="0" w:line="360" w:lineRule="auto"/>
        <w:ind w:firstLine="422"/>
        <w:jc w:val="both"/>
        <w:divId w:val="316955453"/>
        <w:rPr>
          <w:rFonts w:ascii="Times New Roman" w:hAnsi="Times New Roman" w:cs="Times New Roman"/>
          <w:sz w:val="21"/>
          <w:szCs w:val="21"/>
        </w:rPr>
      </w:pPr>
      <w:r w:rsidRPr="00672DC8">
        <w:rPr>
          <w:rStyle w:val="a4"/>
          <w:rFonts w:ascii="Times New Roman" w:hAnsi="Times New Roman" w:cs="Times New Roman"/>
          <w:sz w:val="21"/>
          <w:szCs w:val="21"/>
        </w:rPr>
        <w:t xml:space="preserve">17.2  </w:t>
      </w:r>
      <w:r w:rsidRPr="00672DC8">
        <w:rPr>
          <w:rStyle w:val="a4"/>
          <w:rFonts w:ascii="Times New Roman" w:hAnsi="Times New Roman" w:cs="Times New Roman"/>
          <w:sz w:val="21"/>
          <w:szCs w:val="21"/>
        </w:rPr>
        <w:t>存货取得和发出的计价方法</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存货在取得时按实际成本计价，存货成本包括采购成本、加工成本和其他成本。领用和发出时按加权平均法计价</w:t>
      </w:r>
      <w:r w:rsidRPr="00672DC8">
        <w:rPr>
          <w:rStyle w:val="a5"/>
          <w:rFonts w:ascii="Times New Roman" w:hAnsi="Times New Roman" w:cs="Times New Roman"/>
          <w:sz w:val="21"/>
          <w:szCs w:val="21"/>
        </w:rPr>
        <w:t>。</w:t>
      </w:r>
    </w:p>
    <w:p w:rsidR="000C0769" w:rsidRPr="00672DC8" w:rsidRDefault="000C0769">
      <w:pPr>
        <w:pStyle w:val="a3"/>
        <w:spacing w:before="0" w:beforeAutospacing="0" w:after="0" w:afterAutospacing="0" w:line="360" w:lineRule="auto"/>
        <w:ind w:firstLine="422"/>
        <w:jc w:val="both"/>
        <w:divId w:val="316955453"/>
        <w:rPr>
          <w:rFonts w:ascii="Times New Roman" w:hAnsi="Times New Roman" w:cs="Times New Roman"/>
          <w:sz w:val="21"/>
          <w:szCs w:val="21"/>
        </w:rPr>
      </w:pPr>
      <w:r w:rsidRPr="00672DC8">
        <w:rPr>
          <w:rStyle w:val="a4"/>
          <w:rFonts w:ascii="Times New Roman" w:hAnsi="Times New Roman" w:cs="Times New Roman"/>
          <w:sz w:val="21"/>
          <w:szCs w:val="21"/>
        </w:rPr>
        <w:t xml:space="preserve">17.3  </w:t>
      </w:r>
      <w:r w:rsidRPr="00672DC8">
        <w:rPr>
          <w:rStyle w:val="a4"/>
          <w:rFonts w:ascii="Times New Roman" w:hAnsi="Times New Roman" w:cs="Times New Roman"/>
          <w:sz w:val="21"/>
          <w:szCs w:val="21"/>
        </w:rPr>
        <w:t>存货可变现净值的确认和跌价准备的计提方法</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可变现净值是指在日常活动中，存货的估计售价减去至完工时估计将要发生的成本、估计的销售费用以及相关税费后的金额。在确定存货的可变现净值时，以取得的确凿证据为基础，同时考虑持有存货的目的以及资产负债表日后事项的影响。</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lastRenderedPageBreak/>
        <w:t>在资产负债表日，存货按照成本与可变现净值孰低计量。当其可变现净值低于成本时，提取存货跌价准备。存货跌价准备通常按单个存货项目的成本高于其可变现净值的差额提取。</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本公司的在产品均是按照订单生产，按照订单售价减去销售费用及应缴纳的税费后的金额作为可变现净值，将可变现净值与账面成本进行对比，当其可变现净值低于成本时，提取存货跌价准备。对于原材料、库存商品、发出商品，由于本公司项目建设期一般情况下</w:t>
      </w:r>
      <w:r w:rsidRPr="00672DC8">
        <w:rPr>
          <w:rFonts w:ascii="Times New Roman" w:hAnsi="Times New Roman" w:cs="Times New Roman"/>
          <w:sz w:val="21"/>
          <w:szCs w:val="21"/>
        </w:rPr>
        <w:t>12</w:t>
      </w:r>
      <w:r w:rsidRPr="00672DC8">
        <w:rPr>
          <w:rFonts w:ascii="Times New Roman" w:hAnsi="Times New Roman" w:cs="Times New Roman"/>
          <w:sz w:val="21"/>
          <w:szCs w:val="21"/>
        </w:rPr>
        <w:t>个月内可以完成，因此对于库龄超过一年以上的存货计提跌价，计提比例如下：</w:t>
      </w:r>
    </w:p>
    <w:tbl>
      <w:tblPr>
        <w:tblStyle w:val="aa"/>
        <w:tblW w:w="5000" w:type="pct"/>
        <w:tblLook w:val="04A0" w:firstRow="1" w:lastRow="0" w:firstColumn="1" w:lastColumn="0" w:noHBand="0" w:noVBand="1"/>
      </w:tblPr>
      <w:tblGrid>
        <w:gridCol w:w="4813"/>
        <w:gridCol w:w="4814"/>
      </w:tblGrid>
      <w:tr w:rsidR="000C0769" w:rsidRPr="00672DC8" w:rsidTr="00280ECC">
        <w:trPr>
          <w:divId w:val="316955453"/>
          <w:trHeight w:val="284"/>
        </w:trPr>
        <w:tc>
          <w:tcPr>
            <w:tcW w:w="2500" w:type="pct"/>
            <w:shd w:val="clear" w:color="auto" w:fill="BFBFBF" w:themeFill="background1" w:themeFillShade="BF"/>
            <w:hideMark/>
          </w:tcPr>
          <w:p w:rsidR="000C0769" w:rsidRPr="00672DC8" w:rsidRDefault="000C0769">
            <w:pPr>
              <w:pStyle w:val="a3"/>
              <w:spacing w:before="0" w:beforeAutospacing="0" w:after="0" w:afterAutospacing="0"/>
              <w:ind w:firstLine="361"/>
              <w:jc w:val="center"/>
              <w:rPr>
                <w:rFonts w:ascii="Times New Roman" w:hAnsi="Times New Roman" w:cs="Times New Roman"/>
                <w:sz w:val="21"/>
                <w:szCs w:val="21"/>
              </w:rPr>
            </w:pPr>
            <w:r w:rsidRPr="00672DC8">
              <w:rPr>
                <w:rStyle w:val="a4"/>
                <w:rFonts w:ascii="Times New Roman" w:hAnsi="Times New Roman" w:cs="Times New Roman"/>
                <w:sz w:val="21"/>
                <w:szCs w:val="21"/>
              </w:rPr>
              <w:t>库龄</w:t>
            </w:r>
          </w:p>
        </w:tc>
        <w:tc>
          <w:tcPr>
            <w:tcW w:w="2500" w:type="pct"/>
            <w:shd w:val="clear" w:color="auto" w:fill="BFBFBF" w:themeFill="background1" w:themeFillShade="BF"/>
            <w:hideMark/>
          </w:tcPr>
          <w:p w:rsidR="000C0769" w:rsidRPr="00672DC8" w:rsidRDefault="000C0769">
            <w:pPr>
              <w:pStyle w:val="a3"/>
              <w:spacing w:before="0" w:beforeAutospacing="0" w:after="0" w:afterAutospacing="0"/>
              <w:ind w:firstLine="361"/>
              <w:jc w:val="center"/>
              <w:rPr>
                <w:rFonts w:ascii="Times New Roman" w:hAnsi="Times New Roman" w:cs="Times New Roman"/>
                <w:sz w:val="21"/>
                <w:szCs w:val="21"/>
              </w:rPr>
            </w:pPr>
            <w:r w:rsidRPr="00672DC8">
              <w:rPr>
                <w:rStyle w:val="a4"/>
                <w:rFonts w:ascii="Times New Roman" w:hAnsi="Times New Roman" w:cs="Times New Roman"/>
                <w:sz w:val="21"/>
                <w:szCs w:val="21"/>
              </w:rPr>
              <w:t>计提比例</w:t>
            </w:r>
          </w:p>
        </w:tc>
      </w:tr>
      <w:tr w:rsidR="000C0769" w:rsidRPr="00672DC8" w:rsidTr="00280ECC">
        <w:trPr>
          <w:divId w:val="316955453"/>
          <w:trHeight w:val="284"/>
        </w:trPr>
        <w:tc>
          <w:tcPr>
            <w:tcW w:w="2500" w:type="pct"/>
            <w:hideMark/>
          </w:tcPr>
          <w:p w:rsidR="000C0769" w:rsidRPr="00672DC8" w:rsidRDefault="000C0769">
            <w:pPr>
              <w:pStyle w:val="a3"/>
              <w:spacing w:before="0" w:beforeAutospacing="0" w:after="0" w:afterAutospacing="0"/>
              <w:ind w:firstLine="360"/>
              <w:jc w:val="both"/>
              <w:rPr>
                <w:rFonts w:ascii="Times New Roman" w:hAnsi="Times New Roman" w:cs="Times New Roman"/>
                <w:sz w:val="21"/>
                <w:szCs w:val="21"/>
              </w:rPr>
            </w:pPr>
            <w:r w:rsidRPr="00672DC8">
              <w:rPr>
                <w:rFonts w:ascii="Times New Roman" w:hAnsi="Times New Roman" w:cs="Times New Roman"/>
                <w:sz w:val="21"/>
                <w:szCs w:val="21"/>
              </w:rPr>
              <w:t>1</w:t>
            </w:r>
            <w:r w:rsidRPr="00672DC8">
              <w:rPr>
                <w:rFonts w:ascii="Times New Roman" w:hAnsi="Times New Roman" w:cs="Times New Roman"/>
                <w:sz w:val="21"/>
                <w:szCs w:val="21"/>
              </w:rPr>
              <w:t>年以内</w:t>
            </w:r>
          </w:p>
        </w:tc>
        <w:tc>
          <w:tcPr>
            <w:tcW w:w="2500" w:type="pct"/>
            <w:hideMark/>
          </w:tcPr>
          <w:p w:rsidR="000C0769" w:rsidRPr="00672DC8" w:rsidRDefault="000C0769">
            <w:pPr>
              <w:pStyle w:val="a3"/>
              <w:spacing w:before="0" w:beforeAutospacing="0" w:after="0" w:afterAutospacing="0"/>
              <w:ind w:firstLine="360"/>
              <w:jc w:val="right"/>
              <w:rPr>
                <w:rFonts w:ascii="Times New Roman" w:hAnsi="Times New Roman" w:cs="Times New Roman"/>
                <w:sz w:val="21"/>
                <w:szCs w:val="21"/>
              </w:rPr>
            </w:pPr>
            <w:r w:rsidRPr="00672DC8">
              <w:rPr>
                <w:rFonts w:ascii="Times New Roman" w:hAnsi="Times New Roman" w:cs="Times New Roman"/>
                <w:sz w:val="21"/>
                <w:szCs w:val="21"/>
              </w:rPr>
              <w:t>0%</w:t>
            </w:r>
          </w:p>
        </w:tc>
      </w:tr>
      <w:tr w:rsidR="000C0769" w:rsidRPr="00672DC8" w:rsidTr="00280ECC">
        <w:trPr>
          <w:divId w:val="316955453"/>
          <w:trHeight w:val="284"/>
        </w:trPr>
        <w:tc>
          <w:tcPr>
            <w:tcW w:w="2500" w:type="pct"/>
            <w:hideMark/>
          </w:tcPr>
          <w:p w:rsidR="000C0769" w:rsidRPr="00672DC8" w:rsidRDefault="000C0769">
            <w:pPr>
              <w:pStyle w:val="a3"/>
              <w:spacing w:before="0" w:beforeAutospacing="0" w:after="0" w:afterAutospacing="0"/>
              <w:ind w:firstLine="360"/>
              <w:rPr>
                <w:rFonts w:ascii="Times New Roman" w:hAnsi="Times New Roman" w:cs="Times New Roman"/>
                <w:sz w:val="21"/>
                <w:szCs w:val="21"/>
              </w:rPr>
            </w:pPr>
            <w:r w:rsidRPr="00672DC8">
              <w:rPr>
                <w:rFonts w:ascii="Times New Roman" w:hAnsi="Times New Roman" w:cs="Times New Roman"/>
                <w:sz w:val="21"/>
                <w:szCs w:val="21"/>
              </w:rPr>
              <w:t>1-2</w:t>
            </w:r>
            <w:r w:rsidRPr="00672DC8">
              <w:rPr>
                <w:rFonts w:ascii="Times New Roman" w:hAnsi="Times New Roman" w:cs="Times New Roman"/>
                <w:sz w:val="21"/>
                <w:szCs w:val="21"/>
              </w:rPr>
              <w:t>年</w:t>
            </w:r>
          </w:p>
        </w:tc>
        <w:tc>
          <w:tcPr>
            <w:tcW w:w="2500" w:type="pct"/>
            <w:hideMark/>
          </w:tcPr>
          <w:p w:rsidR="000C0769" w:rsidRPr="00672DC8" w:rsidRDefault="000C0769">
            <w:pPr>
              <w:pStyle w:val="a3"/>
              <w:spacing w:before="0" w:beforeAutospacing="0" w:after="0" w:afterAutospacing="0"/>
              <w:ind w:firstLine="360"/>
              <w:jc w:val="right"/>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280ECC">
        <w:trPr>
          <w:divId w:val="316955453"/>
          <w:trHeight w:val="284"/>
        </w:trPr>
        <w:tc>
          <w:tcPr>
            <w:tcW w:w="2500" w:type="pct"/>
            <w:hideMark/>
          </w:tcPr>
          <w:p w:rsidR="000C0769" w:rsidRPr="00672DC8" w:rsidRDefault="000C0769">
            <w:pPr>
              <w:pStyle w:val="a3"/>
              <w:spacing w:before="0" w:beforeAutospacing="0" w:after="0" w:afterAutospacing="0"/>
              <w:ind w:firstLine="360"/>
              <w:jc w:val="both"/>
              <w:rPr>
                <w:rFonts w:ascii="Times New Roman" w:hAnsi="Times New Roman" w:cs="Times New Roman"/>
                <w:sz w:val="21"/>
                <w:szCs w:val="21"/>
              </w:rPr>
            </w:pPr>
            <w:r w:rsidRPr="00672DC8">
              <w:rPr>
                <w:rFonts w:ascii="Times New Roman" w:hAnsi="Times New Roman" w:cs="Times New Roman"/>
                <w:sz w:val="21"/>
                <w:szCs w:val="21"/>
              </w:rPr>
              <w:t>2-3</w:t>
            </w:r>
            <w:r w:rsidRPr="00672DC8">
              <w:rPr>
                <w:rFonts w:ascii="Times New Roman" w:hAnsi="Times New Roman" w:cs="Times New Roman"/>
                <w:sz w:val="21"/>
                <w:szCs w:val="21"/>
              </w:rPr>
              <w:t>年</w:t>
            </w:r>
          </w:p>
        </w:tc>
        <w:tc>
          <w:tcPr>
            <w:tcW w:w="2500" w:type="pct"/>
            <w:hideMark/>
          </w:tcPr>
          <w:p w:rsidR="000C0769" w:rsidRPr="00672DC8" w:rsidRDefault="000C0769">
            <w:pPr>
              <w:pStyle w:val="a3"/>
              <w:spacing w:before="0" w:beforeAutospacing="0" w:after="0" w:afterAutospacing="0"/>
              <w:ind w:firstLine="360"/>
              <w:jc w:val="right"/>
              <w:rPr>
                <w:rFonts w:ascii="Times New Roman" w:hAnsi="Times New Roman" w:cs="Times New Roman"/>
                <w:sz w:val="21"/>
                <w:szCs w:val="21"/>
              </w:rPr>
            </w:pPr>
            <w:r w:rsidRPr="00672DC8">
              <w:rPr>
                <w:rFonts w:ascii="Times New Roman" w:hAnsi="Times New Roman" w:cs="Times New Roman"/>
                <w:sz w:val="21"/>
                <w:szCs w:val="21"/>
              </w:rPr>
              <w:t>10%</w:t>
            </w:r>
          </w:p>
        </w:tc>
      </w:tr>
      <w:tr w:rsidR="000C0769" w:rsidRPr="00672DC8" w:rsidTr="00280ECC">
        <w:trPr>
          <w:divId w:val="316955453"/>
          <w:trHeight w:val="284"/>
        </w:trPr>
        <w:tc>
          <w:tcPr>
            <w:tcW w:w="2500" w:type="pct"/>
            <w:hideMark/>
          </w:tcPr>
          <w:p w:rsidR="000C0769" w:rsidRPr="00672DC8" w:rsidRDefault="000C0769">
            <w:pPr>
              <w:pStyle w:val="a3"/>
              <w:spacing w:before="0" w:beforeAutospacing="0" w:after="0" w:afterAutospacing="0"/>
              <w:ind w:firstLine="360"/>
              <w:jc w:val="both"/>
              <w:rPr>
                <w:rFonts w:ascii="Times New Roman" w:hAnsi="Times New Roman" w:cs="Times New Roman"/>
                <w:sz w:val="21"/>
                <w:szCs w:val="21"/>
              </w:rPr>
            </w:pPr>
            <w:r w:rsidRPr="00672DC8">
              <w:rPr>
                <w:rFonts w:ascii="Times New Roman" w:hAnsi="Times New Roman" w:cs="Times New Roman"/>
                <w:sz w:val="21"/>
                <w:szCs w:val="21"/>
              </w:rPr>
              <w:t>3-4</w:t>
            </w:r>
            <w:r w:rsidRPr="00672DC8">
              <w:rPr>
                <w:rFonts w:ascii="Times New Roman" w:hAnsi="Times New Roman" w:cs="Times New Roman"/>
                <w:sz w:val="21"/>
                <w:szCs w:val="21"/>
              </w:rPr>
              <w:t>年</w:t>
            </w:r>
          </w:p>
        </w:tc>
        <w:tc>
          <w:tcPr>
            <w:tcW w:w="2500" w:type="pct"/>
            <w:hideMark/>
          </w:tcPr>
          <w:p w:rsidR="000C0769" w:rsidRPr="00672DC8" w:rsidRDefault="000C0769">
            <w:pPr>
              <w:pStyle w:val="a3"/>
              <w:spacing w:before="0" w:beforeAutospacing="0" w:after="0" w:afterAutospacing="0"/>
              <w:ind w:firstLine="360"/>
              <w:jc w:val="right"/>
              <w:rPr>
                <w:rFonts w:ascii="Times New Roman" w:hAnsi="Times New Roman" w:cs="Times New Roman"/>
                <w:sz w:val="21"/>
                <w:szCs w:val="21"/>
              </w:rPr>
            </w:pPr>
            <w:r w:rsidRPr="00672DC8">
              <w:rPr>
                <w:rFonts w:ascii="Times New Roman" w:hAnsi="Times New Roman" w:cs="Times New Roman"/>
                <w:sz w:val="21"/>
                <w:szCs w:val="21"/>
              </w:rPr>
              <w:t>30%</w:t>
            </w:r>
          </w:p>
        </w:tc>
      </w:tr>
    </w:tbl>
    <w:p w:rsidR="000C0769" w:rsidRPr="00672DC8" w:rsidRDefault="000C0769">
      <w:pPr>
        <w:pStyle w:val="a3"/>
        <w:spacing w:before="12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计提存货跌价准备后，如果以前减记存货价值的影响因素已经消失，导致存货的可变现净值高于其账面价值的，在原已计提的存货跌价准备金额内予以转回，转回的金额计入当期损益。</w:t>
      </w:r>
    </w:p>
    <w:p w:rsidR="000C0769" w:rsidRPr="00672DC8" w:rsidRDefault="000C0769">
      <w:pPr>
        <w:pStyle w:val="a3"/>
        <w:spacing w:before="0" w:beforeAutospacing="0" w:after="0" w:afterAutospacing="0" w:line="360" w:lineRule="auto"/>
        <w:ind w:firstLine="422"/>
        <w:jc w:val="both"/>
        <w:divId w:val="316955453"/>
        <w:rPr>
          <w:rFonts w:ascii="Times New Roman" w:hAnsi="Times New Roman" w:cs="Times New Roman"/>
          <w:sz w:val="21"/>
          <w:szCs w:val="21"/>
        </w:rPr>
      </w:pPr>
      <w:r w:rsidRPr="00672DC8">
        <w:rPr>
          <w:rStyle w:val="a4"/>
          <w:rFonts w:ascii="Times New Roman" w:hAnsi="Times New Roman" w:cs="Times New Roman"/>
          <w:sz w:val="21"/>
          <w:szCs w:val="21"/>
        </w:rPr>
        <w:t>17.4   </w:t>
      </w:r>
      <w:r w:rsidRPr="00672DC8">
        <w:rPr>
          <w:rStyle w:val="a4"/>
          <w:rFonts w:ascii="Times New Roman" w:hAnsi="Times New Roman" w:cs="Times New Roman"/>
          <w:sz w:val="21"/>
          <w:szCs w:val="21"/>
        </w:rPr>
        <w:t>存货的盘存制度</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本公司存货的盘存制度为永续盘存制。</w:t>
      </w:r>
    </w:p>
    <w:p w:rsidR="000C0769" w:rsidRPr="00672DC8" w:rsidRDefault="000C0769">
      <w:pPr>
        <w:pStyle w:val="a3"/>
        <w:spacing w:before="0" w:beforeAutospacing="0" w:after="0" w:afterAutospacing="0" w:line="360" w:lineRule="auto"/>
        <w:ind w:firstLine="422"/>
        <w:jc w:val="both"/>
        <w:divId w:val="316955453"/>
        <w:rPr>
          <w:rFonts w:ascii="Times New Roman" w:hAnsi="Times New Roman" w:cs="Times New Roman"/>
          <w:sz w:val="21"/>
          <w:szCs w:val="21"/>
        </w:rPr>
      </w:pPr>
      <w:r w:rsidRPr="00672DC8">
        <w:rPr>
          <w:rStyle w:val="a4"/>
          <w:rFonts w:ascii="Times New Roman" w:hAnsi="Times New Roman" w:cs="Times New Roman"/>
          <w:sz w:val="21"/>
          <w:szCs w:val="21"/>
        </w:rPr>
        <w:t>17.5   </w:t>
      </w:r>
      <w:r w:rsidRPr="00672DC8">
        <w:rPr>
          <w:rStyle w:val="a4"/>
          <w:rFonts w:ascii="Times New Roman" w:hAnsi="Times New Roman" w:cs="Times New Roman"/>
          <w:sz w:val="21"/>
          <w:szCs w:val="21"/>
        </w:rPr>
        <w:t>低值易耗品和包装物的摊销方法</w:t>
      </w:r>
    </w:p>
    <w:p w:rsidR="000C0769" w:rsidRPr="00672DC8" w:rsidRDefault="000C0769">
      <w:pPr>
        <w:pStyle w:val="a3"/>
        <w:spacing w:before="0" w:beforeAutospacing="0" w:after="0" w:afterAutospacing="0" w:line="360" w:lineRule="auto"/>
        <w:ind w:firstLine="420"/>
        <w:jc w:val="both"/>
        <w:divId w:val="316955453"/>
        <w:rPr>
          <w:rFonts w:ascii="Times New Roman" w:hAnsi="Times New Roman" w:cs="Times New Roman"/>
          <w:sz w:val="21"/>
          <w:szCs w:val="21"/>
        </w:rPr>
      </w:pPr>
      <w:r w:rsidRPr="00672DC8">
        <w:rPr>
          <w:rFonts w:ascii="Times New Roman" w:hAnsi="Times New Roman" w:cs="Times New Roman"/>
          <w:sz w:val="21"/>
          <w:szCs w:val="21"/>
        </w:rPr>
        <w:t>低值易耗品于领用时按一次摊销法摊销；包装物于领用时按一次摊销法摊销。</w:t>
      </w:r>
    </w:p>
    <w:p w:rsidR="003D2BA8" w:rsidRPr="00672DC8" w:rsidRDefault="000C0769">
      <w:pPr>
        <w:pStyle w:val="3"/>
        <w:spacing w:line="280" w:lineRule="exact"/>
        <w:jc w:val="left"/>
        <w:rPr>
          <w:rFonts w:ascii="Times New Roman" w:hAnsi="Times New Roman" w:cs="Times New Roman"/>
          <w:b/>
          <w:bCs/>
        </w:rPr>
      </w:pPr>
      <w:bookmarkStart w:id="148" w:name="_Toc989015"/>
      <w:r w:rsidRPr="00672DC8">
        <w:rPr>
          <w:rFonts w:ascii="Times New Roman" w:hAnsi="Times New Roman" w:cs="Times New Roman"/>
          <w:b/>
          <w:bCs/>
        </w:rPr>
        <w:t>18</w:t>
      </w:r>
      <w:r w:rsidRPr="00672DC8">
        <w:rPr>
          <w:rFonts w:ascii="Times New Roman" w:hAnsi="Times New Roman" w:cs="Times New Roman"/>
          <w:b/>
          <w:bCs/>
        </w:rPr>
        <w:t>、持有待售资产</w:t>
      </w:r>
      <w:bookmarkEnd w:id="148"/>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本公司若主要通过出售（包括具有商业实质的非货币性资产交换，下同）而非持续使用一项非流动资产或处置组收回其账面价值的，则将其划分为持有待售类别。具体标准为同时满足以下条件：某项非流动资产或处置组根据类似交易中出售此类资产或处置组的惯例，在当前状况下即可立即出售；本公司已经就出售计划作出决议且获得确定的购买承诺；预计出售将在一年内完成。其中，处置组是指在一项交易中作为整体通过出售或其他方式一并处置的一组资产，以及在该交易中转让的与这些资产直接相关的负债。处置组所属的资产组或资产组组合按照《企业会计准则第</w:t>
      </w:r>
      <w:r w:rsidRPr="00672DC8">
        <w:rPr>
          <w:rFonts w:ascii="Times New Roman" w:hAnsi="Times New Roman" w:cs="Times New Roman"/>
          <w:sz w:val="21"/>
          <w:szCs w:val="21"/>
        </w:rPr>
        <w:t>8</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资产减值》分摊了企业合并中取得的商誉的，该处置组应当包含分摊至处置组的商誉。</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本公司初始计量或在资产负债表日重新计量划分为持有待售的非流动资产和处置组时，其账面价值高于公允价值减去出售费用后的净额的，将账面价值减记至公允价值减去出售费用后的净额，减记的金额确认为资产减值损失，计入当期损益，同时计提持有待售资产减值准备。对于处置组，所确认的资产减值损失先抵减处置组中商誉的账面价值，再按比例抵减该处置组内适用《企业会计准则第</w:t>
      </w:r>
      <w:r w:rsidRPr="00672DC8">
        <w:rPr>
          <w:rFonts w:ascii="Times New Roman" w:hAnsi="Times New Roman" w:cs="Times New Roman"/>
          <w:sz w:val="21"/>
          <w:szCs w:val="21"/>
        </w:rPr>
        <w:t>42</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持有待售的非流动资产、处置组和终止经营》（以下简称</w:t>
      </w:r>
      <w:r w:rsidRPr="00672DC8">
        <w:rPr>
          <w:rFonts w:ascii="Times New Roman" w:hAnsi="Times New Roman" w:cs="Times New Roman"/>
          <w:sz w:val="21"/>
          <w:szCs w:val="21"/>
        </w:rPr>
        <w:t>“</w:t>
      </w:r>
      <w:r w:rsidRPr="00672DC8">
        <w:rPr>
          <w:rFonts w:ascii="Times New Roman" w:hAnsi="Times New Roman" w:cs="Times New Roman"/>
          <w:sz w:val="21"/>
          <w:szCs w:val="21"/>
        </w:rPr>
        <w:t>持有待售准则</w:t>
      </w:r>
      <w:r w:rsidRPr="00672DC8">
        <w:rPr>
          <w:rFonts w:ascii="Times New Roman" w:hAnsi="Times New Roman" w:cs="Times New Roman"/>
          <w:sz w:val="21"/>
          <w:szCs w:val="21"/>
        </w:rPr>
        <w:t>”</w:t>
      </w:r>
      <w:r w:rsidRPr="00672DC8">
        <w:rPr>
          <w:rFonts w:ascii="Times New Roman" w:hAnsi="Times New Roman" w:cs="Times New Roman"/>
          <w:sz w:val="21"/>
          <w:szCs w:val="21"/>
        </w:rPr>
        <w:t>）的计量规定的各项非流动资产的</w:t>
      </w:r>
      <w:r w:rsidRPr="00672DC8">
        <w:rPr>
          <w:rFonts w:ascii="Times New Roman" w:hAnsi="Times New Roman" w:cs="Times New Roman"/>
          <w:sz w:val="21"/>
          <w:szCs w:val="21"/>
        </w:rPr>
        <w:lastRenderedPageBreak/>
        <w:t>账面价值。后续资产负债表日持有待售的处置组公允价值减去出售费用后的净额增加的，以前减记的金额应当予以恢复，并在划分为持有待售类别后适用持有待售准则计量规定的非流动资产确认的资产减值损失金额内转回，转回金额计入当期损益，并根据处置组中除商誉外适用持有待售准则计量规定的各项非流动资产账面价值所占比重按比例增加其账面价值；已抵减的商誉账面价值，以及适用持有待售准则计量规定的非流动资产在划分为持有待售类别前确认的资产减值损失不得转回。</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持有待售的非流动资产或处置组中的非流动资产不计提折旧或摊销，持有待售的处置组中负债的利息和其他费用继续予以确认。</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非流动资产或处置组不再满足持有待售类别的划分条件时，本公司不再将其继续划分为持有待售类别或将非流动资产从持有待售的处置组中移除，并按照以下两者孰低计量：</w:t>
      </w:r>
      <w:r w:rsidRPr="00672DC8">
        <w:rPr>
          <w:rFonts w:hint="eastAsia"/>
          <w:sz w:val="21"/>
          <w:szCs w:val="21"/>
        </w:rPr>
        <w:t>①</w:t>
      </w:r>
      <w:r w:rsidRPr="00672DC8">
        <w:rPr>
          <w:rFonts w:ascii="Times New Roman" w:hAnsi="Times New Roman" w:cs="Times New Roman"/>
          <w:sz w:val="21"/>
          <w:szCs w:val="21"/>
        </w:rPr>
        <w:t>划分为持有待售类别前的账面价值，按照假定不划分为持有待售类别情况下本应确认的折旧、摊销或减值等进行调整后的金额；</w:t>
      </w:r>
      <w:r w:rsidRPr="00672DC8">
        <w:rPr>
          <w:rFonts w:hint="eastAsia"/>
          <w:sz w:val="21"/>
          <w:szCs w:val="21"/>
        </w:rPr>
        <w:t>②</w:t>
      </w:r>
      <w:r w:rsidRPr="00672DC8">
        <w:rPr>
          <w:rFonts w:ascii="Times New Roman" w:hAnsi="Times New Roman" w:cs="Times New Roman"/>
          <w:sz w:val="21"/>
          <w:szCs w:val="21"/>
        </w:rPr>
        <w:t>可收回金额。</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终止经营，是指企业满足下列条件之一的、能够单独区分的组成部分，且该组成部分已经处置或划分为持有待售类别：（一）该组成部分代表一项独立的主要业务或一个单独的主要经营地区；（二）该组成部分是拟对一项独立的主要业务或一个单独的主要经营地区进行处置的一项相关联计划的一部分；（三）该组成部分是专为转售而取得的子公司。</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企业应当在资产负债表中区别于其他资产单独列示持有待售的非流动资产或持有待售的处置组中的资产，区别于其他负债单独列示持有待售的处置组中的负债。持有待售的非流动资产或持有待售的处置组中的资产与持有待售的处置组中的负债不应当相互抵销，应当分别作为流动资产和流动负债列示。</w:t>
      </w:r>
    </w:p>
    <w:p w:rsidR="000C0769" w:rsidRPr="00672DC8" w:rsidRDefault="000C0769">
      <w:pPr>
        <w:pStyle w:val="a3"/>
        <w:spacing w:before="0" w:beforeAutospacing="0" w:after="0" w:afterAutospacing="0" w:line="360" w:lineRule="auto"/>
        <w:ind w:firstLine="420"/>
        <w:jc w:val="both"/>
        <w:divId w:val="1276448045"/>
        <w:rPr>
          <w:rFonts w:ascii="Times New Roman" w:hAnsi="Times New Roman" w:cs="Times New Roman"/>
          <w:sz w:val="21"/>
          <w:szCs w:val="21"/>
        </w:rPr>
      </w:pPr>
      <w:r w:rsidRPr="00672DC8">
        <w:rPr>
          <w:rFonts w:ascii="Times New Roman" w:hAnsi="Times New Roman" w:cs="Times New Roman"/>
          <w:sz w:val="21"/>
          <w:szCs w:val="21"/>
        </w:rPr>
        <w:t>企业应当在利润表中分别列示持续经营损益和终止经营损益。不符合终止经营定义的持有待售的非流动资产或处置组，其减值损失和转回金额及处置损益应当作为持续经营损益列报。终止经营的减值损失和转回金额等经营损益及处置损益应当作为终止经营损益列报。</w:t>
      </w:r>
    </w:p>
    <w:p w:rsidR="003D2BA8" w:rsidRPr="00672DC8" w:rsidRDefault="000C0769">
      <w:pPr>
        <w:pStyle w:val="3"/>
        <w:spacing w:line="280" w:lineRule="exact"/>
        <w:jc w:val="left"/>
        <w:rPr>
          <w:rFonts w:ascii="Times New Roman" w:hAnsi="Times New Roman" w:cs="Times New Roman"/>
          <w:b/>
          <w:bCs/>
        </w:rPr>
      </w:pPr>
      <w:bookmarkStart w:id="149" w:name="_Toc989016"/>
      <w:r w:rsidRPr="00672DC8">
        <w:rPr>
          <w:rFonts w:ascii="Times New Roman" w:hAnsi="Times New Roman" w:cs="Times New Roman"/>
          <w:b/>
          <w:bCs/>
        </w:rPr>
        <w:t>19</w:t>
      </w:r>
      <w:r w:rsidRPr="00672DC8">
        <w:rPr>
          <w:rFonts w:ascii="Times New Roman" w:hAnsi="Times New Roman" w:cs="Times New Roman"/>
          <w:b/>
          <w:bCs/>
        </w:rPr>
        <w:t>、债权投资</w:t>
      </w:r>
      <w:bookmarkEnd w:id="149"/>
    </w:p>
    <w:p w:rsidR="000C0769" w:rsidRPr="00672DC8" w:rsidRDefault="000C0769">
      <w:pPr>
        <w:pStyle w:val="a3"/>
        <w:spacing w:before="0" w:beforeAutospacing="0" w:after="0" w:afterAutospacing="0" w:line="360" w:lineRule="auto"/>
        <w:ind w:firstLine="420"/>
        <w:jc w:val="both"/>
        <w:divId w:val="2117215200"/>
        <w:rPr>
          <w:rFonts w:ascii="Times New Roman" w:hAnsi="Times New Roman" w:cs="Times New Roman"/>
          <w:sz w:val="21"/>
          <w:szCs w:val="21"/>
        </w:rPr>
      </w:pPr>
      <w:r w:rsidRPr="00672DC8">
        <w:rPr>
          <w:rFonts w:ascii="Times New Roman" w:hAnsi="Times New Roman" w:cs="Times New Roman"/>
          <w:sz w:val="21"/>
          <w:szCs w:val="21"/>
        </w:rPr>
        <w:t>债权投资项目，反映资产负债表日企业以摊余成本计量的长期债权投资的期末账面价值。自资产负债表日起一年内到期的长期债权投资的期末账面价值，在</w:t>
      </w:r>
      <w:r w:rsidRPr="00672DC8">
        <w:rPr>
          <w:rFonts w:ascii="Times New Roman" w:hAnsi="Times New Roman" w:cs="Times New Roman"/>
          <w:sz w:val="21"/>
          <w:szCs w:val="21"/>
        </w:rPr>
        <w:t>“</w:t>
      </w:r>
      <w:r w:rsidRPr="00672DC8">
        <w:rPr>
          <w:rFonts w:ascii="Times New Roman" w:hAnsi="Times New Roman" w:cs="Times New Roman"/>
          <w:sz w:val="21"/>
          <w:szCs w:val="21"/>
        </w:rPr>
        <w:t>一年内到期的非流动资产</w:t>
      </w:r>
      <w:r w:rsidRPr="00672DC8">
        <w:rPr>
          <w:rFonts w:ascii="Times New Roman" w:hAnsi="Times New Roman" w:cs="Times New Roman"/>
          <w:sz w:val="21"/>
          <w:szCs w:val="21"/>
        </w:rPr>
        <w:t>”</w:t>
      </w:r>
      <w:r w:rsidRPr="00672DC8">
        <w:rPr>
          <w:rFonts w:ascii="Times New Roman" w:hAnsi="Times New Roman" w:cs="Times New Roman"/>
          <w:sz w:val="21"/>
          <w:szCs w:val="21"/>
        </w:rPr>
        <w:t>项目反映。企业购入的以摊余成本计量的一年内到期的债权投资的期末账面价值，在</w:t>
      </w:r>
      <w:r w:rsidRPr="00672DC8">
        <w:rPr>
          <w:rFonts w:ascii="Times New Roman" w:hAnsi="Times New Roman" w:cs="Times New Roman"/>
          <w:sz w:val="21"/>
          <w:szCs w:val="21"/>
        </w:rPr>
        <w:t>“</w:t>
      </w:r>
      <w:r w:rsidRPr="00672DC8">
        <w:rPr>
          <w:rFonts w:ascii="Times New Roman" w:hAnsi="Times New Roman" w:cs="Times New Roman"/>
          <w:sz w:val="21"/>
          <w:szCs w:val="21"/>
        </w:rPr>
        <w:t>其他流动资产</w:t>
      </w:r>
      <w:r w:rsidRPr="00672DC8">
        <w:rPr>
          <w:rFonts w:ascii="Times New Roman" w:hAnsi="Times New Roman" w:cs="Times New Roman"/>
          <w:sz w:val="21"/>
          <w:szCs w:val="21"/>
        </w:rPr>
        <w:t>”</w:t>
      </w:r>
      <w:r w:rsidRPr="00672DC8">
        <w:rPr>
          <w:rFonts w:ascii="Times New Roman" w:hAnsi="Times New Roman" w:cs="Times New Roman"/>
          <w:sz w:val="21"/>
          <w:szCs w:val="21"/>
        </w:rPr>
        <w:t>项目反映。</w:t>
      </w:r>
    </w:p>
    <w:p w:rsidR="000C0769" w:rsidRPr="00672DC8" w:rsidRDefault="000C0769">
      <w:pPr>
        <w:pStyle w:val="a3"/>
        <w:spacing w:before="0" w:beforeAutospacing="0" w:after="0" w:afterAutospacing="0" w:line="360" w:lineRule="auto"/>
        <w:ind w:firstLine="422"/>
        <w:jc w:val="both"/>
        <w:divId w:val="2117215200"/>
        <w:rPr>
          <w:rFonts w:ascii="Times New Roman" w:hAnsi="Times New Roman" w:cs="Times New Roman"/>
          <w:sz w:val="21"/>
          <w:szCs w:val="21"/>
        </w:rPr>
      </w:pPr>
      <w:r w:rsidRPr="00672DC8">
        <w:rPr>
          <w:rStyle w:val="a4"/>
          <w:rFonts w:ascii="Times New Roman" w:hAnsi="Times New Roman" w:cs="Times New Roman"/>
          <w:sz w:val="21"/>
          <w:szCs w:val="21"/>
        </w:rPr>
        <w:t>19.1   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2117215200"/>
        <w:rPr>
          <w:rFonts w:ascii="Times New Roman" w:hAnsi="Times New Roman" w:cs="Times New Roman"/>
          <w:sz w:val="21"/>
          <w:szCs w:val="21"/>
        </w:rPr>
      </w:pPr>
      <w:r w:rsidRPr="00672DC8">
        <w:rPr>
          <w:rFonts w:ascii="Times New Roman" w:hAnsi="Times New Roman" w:cs="Times New Roman"/>
          <w:sz w:val="21"/>
          <w:szCs w:val="21"/>
        </w:rPr>
        <w:t>本公司基于单项和组合评估债权投资的预期信用损失。如果有客观证据表明某项债权投资已经发生信用减值，则本公司对该债权投资在单项资产的基础上确定预期信用损失。对于划分为组合的债权投资，</w:t>
      </w:r>
      <w:r w:rsidRPr="00672DC8">
        <w:rPr>
          <w:rFonts w:ascii="Times New Roman" w:hAnsi="Times New Roman" w:cs="Times New Roman"/>
          <w:sz w:val="21"/>
          <w:szCs w:val="21"/>
        </w:rPr>
        <w:lastRenderedPageBreak/>
        <w:t>本公司依据其信用风险自初始确认后是否已经显著增加，采用相当于未来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个月内或整个存续期的预期信用损失的金额计量减值损失。</w:t>
      </w:r>
    </w:p>
    <w:p w:rsidR="000C0769" w:rsidRPr="00672DC8" w:rsidRDefault="000C0769">
      <w:pPr>
        <w:pStyle w:val="a3"/>
        <w:spacing w:before="0" w:beforeAutospacing="0" w:after="0" w:afterAutospacing="0" w:line="360" w:lineRule="auto"/>
        <w:ind w:firstLine="420"/>
        <w:jc w:val="both"/>
        <w:divId w:val="2117215200"/>
        <w:rPr>
          <w:rFonts w:ascii="Times New Roman" w:hAnsi="Times New Roman" w:cs="Times New Roman"/>
          <w:sz w:val="21"/>
          <w:szCs w:val="21"/>
        </w:rPr>
      </w:pPr>
      <w:r w:rsidRPr="00672DC8">
        <w:rPr>
          <w:rFonts w:ascii="Times New Roman" w:hAnsi="Times New Roman" w:cs="Times New Roman"/>
          <w:sz w:val="21"/>
          <w:szCs w:val="21"/>
        </w:rPr>
        <w:t>本公司在每个资产负债表日评估相关债权投资的信用风险自初始确认后的变动情况。若该债权投资的信用风险自初始确认后已显著增加，本公司按照相当于该债权投资整个存续期内预期信用损失的金额计量其损失准备；若该债权投资的信用风险自初始确认后并未显著增加，本公司按照相当于该债权投资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个月内预期信用损失的金额计量其损失准备。</w:t>
      </w:r>
    </w:p>
    <w:p w:rsidR="000C0769" w:rsidRPr="00672DC8" w:rsidRDefault="000C0769">
      <w:pPr>
        <w:pStyle w:val="a3"/>
        <w:spacing w:before="0" w:beforeAutospacing="0" w:after="0" w:afterAutospacing="0" w:line="360" w:lineRule="auto"/>
        <w:ind w:firstLine="422"/>
        <w:jc w:val="both"/>
        <w:divId w:val="2117215200"/>
        <w:rPr>
          <w:rFonts w:ascii="Times New Roman" w:hAnsi="Times New Roman" w:cs="Times New Roman"/>
          <w:sz w:val="21"/>
          <w:szCs w:val="21"/>
        </w:rPr>
      </w:pPr>
      <w:r w:rsidRPr="00672DC8">
        <w:rPr>
          <w:rStyle w:val="a4"/>
          <w:rFonts w:ascii="Times New Roman" w:hAnsi="Times New Roman" w:cs="Times New Roman"/>
          <w:sz w:val="21"/>
          <w:szCs w:val="21"/>
        </w:rPr>
        <w:t xml:space="preserve">19.2 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2117215200"/>
        <w:rPr>
          <w:rFonts w:ascii="Times New Roman" w:hAnsi="Times New Roman" w:cs="Times New Roman"/>
          <w:sz w:val="21"/>
          <w:szCs w:val="21"/>
        </w:rPr>
      </w:pPr>
      <w:r w:rsidRPr="00672DC8">
        <w:rPr>
          <w:rFonts w:ascii="Times New Roman" w:hAnsi="Times New Roman" w:cs="Times New Roman"/>
          <w:sz w:val="21"/>
          <w:szCs w:val="21"/>
        </w:rPr>
        <w:t>信用损失准备的增加或转回金额，作为减值损失或利得计入当期损益。</w:t>
      </w:r>
    </w:p>
    <w:p w:rsidR="000C0769" w:rsidRPr="00672DC8" w:rsidRDefault="000C0769">
      <w:pPr>
        <w:pStyle w:val="a3"/>
        <w:spacing w:before="0" w:beforeAutospacing="0" w:after="0" w:afterAutospacing="0" w:line="360" w:lineRule="auto"/>
        <w:ind w:firstLine="420"/>
        <w:jc w:val="both"/>
        <w:divId w:val="2117215200"/>
        <w:rPr>
          <w:rFonts w:ascii="Times New Roman" w:hAnsi="Times New Roman" w:cs="Times New Roman"/>
          <w:sz w:val="21"/>
          <w:szCs w:val="21"/>
        </w:rPr>
      </w:pPr>
      <w:r w:rsidRPr="00672DC8">
        <w:rPr>
          <w:rFonts w:ascii="Times New Roman" w:hAnsi="Times New Roman" w:cs="Times New Roman"/>
          <w:sz w:val="21"/>
          <w:szCs w:val="21"/>
        </w:rPr>
        <w:t>本公司在前一会计期间已经按照相当于债权投资整个存续期内预期信用损失的金额计量了损失准备，但在当期资产负债表日，该债权投资已不再属于自初始确认后信用风险显著增加的情形的，本公司在当期资产负债表日按照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个月内预期信用损失的金额计量该债权投资的损失准备，由此形成的损失准备的转回金额作为减值利得计入当期损益。</w:t>
      </w:r>
      <w:r w:rsidRPr="00672DC8">
        <w:rPr>
          <w:rFonts w:ascii="Times New Roman" w:hAnsi="Times New Roman" w:cs="Times New Roman"/>
          <w:sz w:val="21"/>
          <w:szCs w:val="21"/>
        </w:rPr>
        <w:t xml:space="preserve"> </w:t>
      </w:r>
    </w:p>
    <w:p w:rsidR="003D2BA8" w:rsidRPr="00672DC8" w:rsidRDefault="000C0769">
      <w:pPr>
        <w:pStyle w:val="3"/>
        <w:spacing w:line="280" w:lineRule="exact"/>
        <w:jc w:val="left"/>
        <w:rPr>
          <w:rFonts w:ascii="Times New Roman" w:hAnsi="Times New Roman" w:cs="Times New Roman"/>
          <w:b/>
          <w:bCs/>
        </w:rPr>
      </w:pPr>
      <w:bookmarkStart w:id="150" w:name="_Toc989017"/>
      <w:r w:rsidRPr="00672DC8">
        <w:rPr>
          <w:rFonts w:ascii="Times New Roman" w:hAnsi="Times New Roman" w:cs="Times New Roman"/>
          <w:b/>
          <w:bCs/>
        </w:rPr>
        <w:t>20</w:t>
      </w:r>
      <w:r w:rsidRPr="00672DC8">
        <w:rPr>
          <w:rFonts w:ascii="Times New Roman" w:hAnsi="Times New Roman" w:cs="Times New Roman"/>
          <w:b/>
          <w:bCs/>
        </w:rPr>
        <w:t>、其他债权投资</w:t>
      </w:r>
      <w:bookmarkEnd w:id="150"/>
    </w:p>
    <w:p w:rsidR="000C0769" w:rsidRPr="00672DC8" w:rsidRDefault="000C0769">
      <w:pPr>
        <w:pStyle w:val="a3"/>
        <w:spacing w:before="0" w:beforeAutospacing="0" w:after="0" w:afterAutospacing="0" w:line="360" w:lineRule="auto"/>
        <w:ind w:firstLine="420"/>
        <w:jc w:val="both"/>
        <w:divId w:val="1344087701"/>
        <w:rPr>
          <w:rFonts w:ascii="Times New Roman" w:hAnsi="Times New Roman" w:cs="Times New Roman"/>
          <w:sz w:val="21"/>
          <w:szCs w:val="21"/>
        </w:rPr>
      </w:pPr>
      <w:r w:rsidRPr="00672DC8">
        <w:rPr>
          <w:rFonts w:ascii="Times New Roman" w:hAnsi="Times New Roman" w:cs="Times New Roman"/>
          <w:sz w:val="21"/>
          <w:szCs w:val="21"/>
        </w:rPr>
        <w:t>其他债权投资项目，反映资产负债表日企业分类为以公允价值计量且其变动计入其他综合收益的长期债权投资的期末账面价值。自资产负债表日起一年内到期的长期债权投资的期末账面价值，在</w:t>
      </w:r>
      <w:r w:rsidRPr="00672DC8">
        <w:rPr>
          <w:rFonts w:ascii="Times New Roman" w:hAnsi="Times New Roman" w:cs="Times New Roman"/>
          <w:sz w:val="21"/>
          <w:szCs w:val="21"/>
        </w:rPr>
        <w:t>“</w:t>
      </w:r>
      <w:r w:rsidRPr="00672DC8">
        <w:rPr>
          <w:rFonts w:ascii="Times New Roman" w:hAnsi="Times New Roman" w:cs="Times New Roman"/>
          <w:sz w:val="21"/>
          <w:szCs w:val="21"/>
        </w:rPr>
        <w:t>一年内到期的非流动资产</w:t>
      </w:r>
      <w:r w:rsidRPr="00672DC8">
        <w:rPr>
          <w:rFonts w:ascii="Times New Roman" w:hAnsi="Times New Roman" w:cs="Times New Roman"/>
          <w:sz w:val="21"/>
          <w:szCs w:val="21"/>
        </w:rPr>
        <w:t>”</w:t>
      </w:r>
      <w:r w:rsidRPr="00672DC8">
        <w:rPr>
          <w:rFonts w:ascii="Times New Roman" w:hAnsi="Times New Roman" w:cs="Times New Roman"/>
          <w:sz w:val="21"/>
          <w:szCs w:val="21"/>
        </w:rPr>
        <w:t>项目反映。企业购入的以公允价值计量且其变动计入其他综合收益的一年内到期的债权投资的期末账面价值，在</w:t>
      </w:r>
      <w:r w:rsidRPr="00672DC8">
        <w:rPr>
          <w:rFonts w:ascii="Times New Roman" w:hAnsi="Times New Roman" w:cs="Times New Roman"/>
          <w:sz w:val="21"/>
          <w:szCs w:val="21"/>
        </w:rPr>
        <w:t>“</w:t>
      </w:r>
      <w:r w:rsidRPr="00672DC8">
        <w:rPr>
          <w:rFonts w:ascii="Times New Roman" w:hAnsi="Times New Roman" w:cs="Times New Roman"/>
          <w:sz w:val="21"/>
          <w:szCs w:val="21"/>
        </w:rPr>
        <w:t>其他流动资产</w:t>
      </w:r>
      <w:r w:rsidRPr="00672DC8">
        <w:rPr>
          <w:rFonts w:ascii="Times New Roman" w:hAnsi="Times New Roman" w:cs="Times New Roman"/>
          <w:sz w:val="21"/>
          <w:szCs w:val="21"/>
        </w:rPr>
        <w:t>”</w:t>
      </w:r>
      <w:r w:rsidRPr="00672DC8">
        <w:rPr>
          <w:rFonts w:ascii="Times New Roman" w:hAnsi="Times New Roman" w:cs="Times New Roman"/>
          <w:sz w:val="21"/>
          <w:szCs w:val="21"/>
        </w:rPr>
        <w:t>项目反映。</w:t>
      </w:r>
    </w:p>
    <w:p w:rsidR="000C0769" w:rsidRPr="00672DC8" w:rsidRDefault="000C0769">
      <w:pPr>
        <w:pStyle w:val="a3"/>
        <w:spacing w:before="0" w:beforeAutospacing="0" w:after="0" w:afterAutospacing="0" w:line="360" w:lineRule="auto"/>
        <w:ind w:firstLine="422"/>
        <w:jc w:val="both"/>
        <w:divId w:val="1344087701"/>
        <w:rPr>
          <w:rFonts w:ascii="Times New Roman" w:hAnsi="Times New Roman" w:cs="Times New Roman"/>
          <w:sz w:val="21"/>
          <w:szCs w:val="21"/>
        </w:rPr>
      </w:pPr>
      <w:r w:rsidRPr="00672DC8">
        <w:rPr>
          <w:rStyle w:val="a4"/>
          <w:rFonts w:ascii="Times New Roman" w:hAnsi="Times New Roman" w:cs="Times New Roman"/>
          <w:sz w:val="21"/>
          <w:szCs w:val="21"/>
        </w:rPr>
        <w:t>20.1   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1344087701"/>
        <w:rPr>
          <w:rFonts w:ascii="Times New Roman" w:hAnsi="Times New Roman" w:cs="Times New Roman"/>
          <w:sz w:val="21"/>
          <w:szCs w:val="21"/>
        </w:rPr>
      </w:pPr>
      <w:r w:rsidRPr="00672DC8">
        <w:rPr>
          <w:rFonts w:ascii="Times New Roman" w:hAnsi="Times New Roman" w:cs="Times New Roman"/>
          <w:sz w:val="21"/>
          <w:szCs w:val="21"/>
        </w:rPr>
        <w:t>本公司基于单项和组合评估其他债权投资的预期信用损失。如果有客观证据表明某项其他债权投资已经发生信用减值，则本公司对该其他债权投资在单项资产的基础上确定预期信用损失。对于划分为组合的其他债权投资，本公司依据其信用风险自初始确认后是否已经显著增加，采用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个月内或整个存续期的预期信用损失的金额计量减值损失。</w:t>
      </w:r>
    </w:p>
    <w:p w:rsidR="000C0769" w:rsidRPr="00672DC8" w:rsidRDefault="000C0769">
      <w:pPr>
        <w:pStyle w:val="a3"/>
        <w:spacing w:before="0" w:beforeAutospacing="0" w:after="0" w:afterAutospacing="0" w:line="360" w:lineRule="auto"/>
        <w:ind w:firstLine="420"/>
        <w:jc w:val="both"/>
        <w:divId w:val="1344087701"/>
        <w:rPr>
          <w:rFonts w:ascii="Times New Roman" w:hAnsi="Times New Roman" w:cs="Times New Roman"/>
          <w:sz w:val="21"/>
          <w:szCs w:val="21"/>
        </w:rPr>
      </w:pPr>
      <w:r w:rsidRPr="00672DC8">
        <w:rPr>
          <w:rFonts w:ascii="Times New Roman" w:hAnsi="Times New Roman" w:cs="Times New Roman"/>
          <w:sz w:val="21"/>
          <w:szCs w:val="21"/>
        </w:rPr>
        <w:t>本公司在每个资产负债表日评估相关其他债权投资的信用风险自初始确认后的变动情况。若该其他债权投资的信用风险自初始确认后已显著增加，本公司按照相当于该其他债权投资整个存续期内预期信用损失的金额计量其损失准备；若该其他债权投资的信用风险自初始确认后并未显著增加，本公司按照相当于该其他债权投资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个月内预期信用损失的金额计量其损失准备。</w:t>
      </w:r>
    </w:p>
    <w:p w:rsidR="000C0769" w:rsidRPr="00672DC8" w:rsidRDefault="000C0769">
      <w:pPr>
        <w:pStyle w:val="a3"/>
        <w:spacing w:before="0" w:beforeAutospacing="0" w:after="0" w:afterAutospacing="0" w:line="360" w:lineRule="auto"/>
        <w:ind w:firstLine="422"/>
        <w:jc w:val="both"/>
        <w:divId w:val="1344087701"/>
        <w:rPr>
          <w:rFonts w:ascii="Times New Roman" w:hAnsi="Times New Roman" w:cs="Times New Roman"/>
          <w:sz w:val="21"/>
          <w:szCs w:val="21"/>
        </w:rPr>
      </w:pPr>
      <w:r w:rsidRPr="00672DC8">
        <w:rPr>
          <w:rStyle w:val="a4"/>
          <w:rFonts w:ascii="Times New Roman" w:hAnsi="Times New Roman" w:cs="Times New Roman"/>
          <w:sz w:val="21"/>
          <w:szCs w:val="21"/>
        </w:rPr>
        <w:t>20.2   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1344087701"/>
        <w:rPr>
          <w:rFonts w:ascii="Times New Roman" w:hAnsi="Times New Roman" w:cs="Times New Roman"/>
          <w:sz w:val="21"/>
          <w:szCs w:val="21"/>
        </w:rPr>
      </w:pPr>
      <w:r w:rsidRPr="00672DC8">
        <w:rPr>
          <w:rFonts w:ascii="Times New Roman" w:hAnsi="Times New Roman" w:cs="Times New Roman"/>
          <w:sz w:val="21"/>
          <w:szCs w:val="21"/>
        </w:rPr>
        <w:lastRenderedPageBreak/>
        <w:t>对于分类为以公允价值计量且其变动计入其他综合收益的金融资产，本公司在其他综合收益中确认其信用损失准备，并将减值损失或利得计入当期损益，且不减少该金融资产在资产负债表中列示的账面价值。</w:t>
      </w:r>
    </w:p>
    <w:p w:rsidR="000C0769" w:rsidRPr="00672DC8" w:rsidRDefault="000C0769">
      <w:pPr>
        <w:pStyle w:val="a3"/>
        <w:spacing w:before="0" w:beforeAutospacing="0" w:after="0" w:afterAutospacing="0" w:line="360" w:lineRule="auto"/>
        <w:ind w:firstLine="420"/>
        <w:jc w:val="both"/>
        <w:divId w:val="1344087701"/>
        <w:rPr>
          <w:rFonts w:ascii="Times New Roman" w:hAnsi="Times New Roman" w:cs="Times New Roman"/>
          <w:sz w:val="21"/>
          <w:szCs w:val="21"/>
        </w:rPr>
      </w:pPr>
      <w:r w:rsidRPr="00672DC8">
        <w:rPr>
          <w:rFonts w:ascii="Times New Roman" w:hAnsi="Times New Roman" w:cs="Times New Roman"/>
          <w:sz w:val="21"/>
          <w:szCs w:val="21"/>
        </w:rPr>
        <w:t>本公司在前一会计期间已经按照相当于其他债权投资整个存续期内预期信用损失的金额计量了损失准备，但在当期资产负债表日，该其他债权投资已不再属于自初始确认后信用风险显著增加的情形的，本公司在当期资产负债表日按照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个月内预期信用损失的金额计量该其他债权投资的损失准备，由此形成的损失准备的转回金额作为减值利得计入当期损益。</w:t>
      </w:r>
    </w:p>
    <w:p w:rsidR="003D2BA8" w:rsidRPr="00672DC8" w:rsidRDefault="000C0769">
      <w:pPr>
        <w:pStyle w:val="3"/>
        <w:spacing w:line="280" w:lineRule="exact"/>
        <w:jc w:val="left"/>
        <w:rPr>
          <w:rFonts w:ascii="Times New Roman" w:hAnsi="Times New Roman" w:cs="Times New Roman"/>
          <w:b/>
          <w:bCs/>
        </w:rPr>
      </w:pPr>
      <w:bookmarkStart w:id="151" w:name="_Toc989018"/>
      <w:r w:rsidRPr="00672DC8">
        <w:rPr>
          <w:rFonts w:ascii="Times New Roman" w:hAnsi="Times New Roman" w:cs="Times New Roman"/>
          <w:b/>
          <w:bCs/>
        </w:rPr>
        <w:t>21</w:t>
      </w:r>
      <w:r w:rsidRPr="00672DC8">
        <w:rPr>
          <w:rFonts w:ascii="Times New Roman" w:hAnsi="Times New Roman" w:cs="Times New Roman"/>
          <w:b/>
          <w:bCs/>
        </w:rPr>
        <w:t>、长期应收款</w:t>
      </w:r>
      <w:bookmarkEnd w:id="151"/>
    </w:p>
    <w:p w:rsidR="000C0769" w:rsidRPr="00672DC8" w:rsidRDefault="000C0769">
      <w:pPr>
        <w:pStyle w:val="a3"/>
        <w:spacing w:before="0" w:beforeAutospacing="0" w:after="0" w:afterAutospacing="0" w:line="360" w:lineRule="auto"/>
        <w:ind w:firstLine="420"/>
        <w:jc w:val="both"/>
        <w:divId w:val="943077902"/>
        <w:rPr>
          <w:rFonts w:ascii="Times New Roman" w:hAnsi="Times New Roman" w:cs="Times New Roman"/>
          <w:sz w:val="21"/>
          <w:szCs w:val="21"/>
        </w:rPr>
      </w:pPr>
      <w:r w:rsidRPr="00672DC8">
        <w:rPr>
          <w:rFonts w:ascii="Times New Roman" w:hAnsi="Times New Roman" w:cs="Times New Roman"/>
          <w:sz w:val="21"/>
          <w:szCs w:val="21"/>
        </w:rPr>
        <w:t>长期应收款项目，反映资产负债表日企业的长期应收款项，包括融资租赁产生的应收款项、采用递延方式具有融资性质的销售商品和提供劳务等产生的应收款项等。</w:t>
      </w:r>
    </w:p>
    <w:p w:rsidR="000C0769" w:rsidRPr="00672DC8" w:rsidRDefault="000C0769">
      <w:pPr>
        <w:pStyle w:val="a3"/>
        <w:spacing w:before="0" w:beforeAutospacing="0" w:after="0" w:afterAutospacing="0" w:line="360" w:lineRule="auto"/>
        <w:ind w:firstLine="422"/>
        <w:jc w:val="both"/>
        <w:divId w:val="943077902"/>
        <w:rPr>
          <w:rFonts w:ascii="Times New Roman" w:hAnsi="Times New Roman" w:cs="Times New Roman"/>
          <w:sz w:val="21"/>
          <w:szCs w:val="21"/>
        </w:rPr>
      </w:pPr>
      <w:r w:rsidRPr="00672DC8">
        <w:rPr>
          <w:rStyle w:val="a4"/>
          <w:rFonts w:ascii="Times New Roman" w:hAnsi="Times New Roman" w:cs="Times New Roman"/>
          <w:sz w:val="21"/>
          <w:szCs w:val="21"/>
        </w:rPr>
        <w:t>21.1   </w:t>
      </w:r>
      <w:r w:rsidRPr="00672DC8">
        <w:rPr>
          <w:rStyle w:val="a4"/>
          <w:rFonts w:ascii="Times New Roman" w:hAnsi="Times New Roman" w:cs="Times New Roman"/>
          <w:sz w:val="21"/>
          <w:szCs w:val="21"/>
        </w:rPr>
        <w:t>预期信用损失的确定方法</w:t>
      </w:r>
    </w:p>
    <w:p w:rsidR="000C0769" w:rsidRPr="00672DC8" w:rsidRDefault="000C0769">
      <w:pPr>
        <w:pStyle w:val="a3"/>
        <w:spacing w:before="0" w:beforeAutospacing="0" w:after="0" w:afterAutospacing="0" w:line="360" w:lineRule="auto"/>
        <w:ind w:firstLine="420"/>
        <w:jc w:val="both"/>
        <w:divId w:val="943077902"/>
        <w:rPr>
          <w:rFonts w:ascii="Times New Roman" w:hAnsi="Times New Roman" w:cs="Times New Roman"/>
          <w:sz w:val="21"/>
          <w:szCs w:val="21"/>
        </w:rPr>
      </w:pPr>
      <w:r w:rsidRPr="00672DC8">
        <w:rPr>
          <w:rFonts w:ascii="Times New Roman" w:hAnsi="Times New Roman" w:cs="Times New Roman"/>
          <w:sz w:val="21"/>
          <w:szCs w:val="21"/>
        </w:rPr>
        <w:t>本公司基于单项和组合评估长期应收款的预期信用损失。如果有客观证据表明某项长期应收款已经发生信用减值，则本公司对该长期应收款在单项资产的基础上确定预期信用损失。划分为组合的长期应收款，对应收租赁款，当公司选择全部按照简化方法计量损失准备时，本公司在每个资产负债表日评估相关长期应收款的信用风险自初始确认后的变动情况。本公司对租赁应收款项，按照相当于整个存续期内预期信用损失的金额计量损失准备；对于应收租赁款以外的其他长期应收款，若该长期应收款的信用风险自初始确认后已显著增加，本公司按照相当于该长期应收款整个存续期内预期信用损失的金额计量其损失准备；若该长期应收款的信用风险自初始确认后并未显著增加，本公司按照相当于该长期应收款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个月内预期信用损失的金额计量其损失准备。</w:t>
      </w:r>
    </w:p>
    <w:p w:rsidR="000C0769" w:rsidRPr="00672DC8" w:rsidRDefault="000C0769">
      <w:pPr>
        <w:pStyle w:val="a3"/>
        <w:spacing w:before="0" w:beforeAutospacing="0" w:after="0" w:afterAutospacing="0" w:line="360" w:lineRule="auto"/>
        <w:ind w:firstLine="420"/>
        <w:jc w:val="both"/>
        <w:divId w:val="943077902"/>
        <w:rPr>
          <w:rFonts w:ascii="Times New Roman" w:hAnsi="Times New Roman" w:cs="Times New Roman"/>
          <w:sz w:val="21"/>
          <w:szCs w:val="21"/>
        </w:rPr>
      </w:pPr>
      <w:r w:rsidRPr="00672DC8">
        <w:rPr>
          <w:rFonts w:ascii="Times New Roman" w:hAnsi="Times New Roman" w:cs="Times New Roman"/>
          <w:sz w:val="21"/>
          <w:szCs w:val="21"/>
        </w:rPr>
        <w:t>应收租赁款，由《企业会计准则第</w:t>
      </w:r>
      <w:r w:rsidRPr="00672DC8">
        <w:rPr>
          <w:rFonts w:ascii="Times New Roman" w:hAnsi="Times New Roman" w:cs="Times New Roman"/>
          <w:sz w:val="21"/>
          <w:szCs w:val="21"/>
        </w:rPr>
        <w:t>21</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租赁》规范的交易形成的租赁应收款，同时企业做出会计政策选择，按照相当于整个存续期内预期信用损失的金额计量损失准备。企业应当将该会计政策选择适用于所有租赁应收款，但可对应收融资租赁款和应收经营租赁款分别做出会计政策选择。</w:t>
      </w:r>
    </w:p>
    <w:p w:rsidR="000C0769" w:rsidRPr="00672DC8" w:rsidRDefault="000C0769">
      <w:pPr>
        <w:pStyle w:val="a3"/>
        <w:spacing w:before="0" w:beforeAutospacing="0" w:after="0" w:afterAutospacing="0" w:line="360" w:lineRule="auto"/>
        <w:ind w:firstLine="420"/>
        <w:jc w:val="both"/>
        <w:divId w:val="943077902"/>
        <w:rPr>
          <w:rFonts w:ascii="Times New Roman" w:hAnsi="Times New Roman" w:cs="Times New Roman"/>
          <w:sz w:val="21"/>
          <w:szCs w:val="21"/>
        </w:rPr>
      </w:pPr>
      <w:r w:rsidRPr="00672DC8">
        <w:rPr>
          <w:rFonts w:ascii="Times New Roman" w:hAnsi="Times New Roman" w:cs="Times New Roman"/>
          <w:sz w:val="21"/>
          <w:szCs w:val="21"/>
        </w:rPr>
        <w:t>除了单项评估信用风险的长期应收款外，基于其信用风险特征，将其划分为不同组合：</w:t>
      </w:r>
    </w:p>
    <w:tbl>
      <w:tblPr>
        <w:tblStyle w:val="aa"/>
        <w:tblW w:w="5000" w:type="pct"/>
        <w:tblLook w:val="04A0" w:firstRow="1" w:lastRow="0" w:firstColumn="1" w:lastColumn="0" w:noHBand="0" w:noVBand="1"/>
      </w:tblPr>
      <w:tblGrid>
        <w:gridCol w:w="3810"/>
        <w:gridCol w:w="5817"/>
      </w:tblGrid>
      <w:tr w:rsidR="000C0769" w:rsidRPr="00672DC8" w:rsidTr="009331D1">
        <w:trPr>
          <w:divId w:val="943077902"/>
          <w:trHeight w:val="284"/>
        </w:trPr>
        <w:tc>
          <w:tcPr>
            <w:tcW w:w="1979"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组合名称</w:t>
            </w:r>
          </w:p>
        </w:tc>
        <w:tc>
          <w:tcPr>
            <w:tcW w:w="3021"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组合内容</w:t>
            </w:r>
          </w:p>
        </w:tc>
      </w:tr>
      <w:tr w:rsidR="000C0769" w:rsidRPr="00672DC8" w:rsidTr="009331D1">
        <w:trPr>
          <w:divId w:val="943077902"/>
          <w:trHeight w:val="284"/>
        </w:trPr>
        <w:tc>
          <w:tcPr>
            <w:tcW w:w="1979"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长期应收款组合</w:t>
            </w:r>
            <w:r w:rsidRPr="00672DC8">
              <w:rPr>
                <w:rFonts w:ascii="Times New Roman" w:hAnsi="Times New Roman" w:cs="Times New Roman"/>
                <w:sz w:val="21"/>
                <w:szCs w:val="21"/>
              </w:rPr>
              <w:t>1</w:t>
            </w:r>
          </w:p>
        </w:tc>
        <w:tc>
          <w:tcPr>
            <w:tcW w:w="3021"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本组合为政府部门、教育医疗单位的应收款项</w:t>
            </w:r>
          </w:p>
        </w:tc>
      </w:tr>
      <w:tr w:rsidR="000C0769" w:rsidRPr="00672DC8" w:rsidTr="009331D1">
        <w:trPr>
          <w:divId w:val="943077902"/>
          <w:trHeight w:val="284"/>
        </w:trPr>
        <w:tc>
          <w:tcPr>
            <w:tcW w:w="1979"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长期应收款组合</w:t>
            </w:r>
            <w:r w:rsidRPr="00672DC8">
              <w:rPr>
                <w:rFonts w:ascii="Times New Roman" w:hAnsi="Times New Roman" w:cs="Times New Roman"/>
                <w:sz w:val="21"/>
                <w:szCs w:val="21"/>
              </w:rPr>
              <w:t>2</w:t>
            </w:r>
          </w:p>
        </w:tc>
        <w:tc>
          <w:tcPr>
            <w:tcW w:w="3021"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本组合为企业及其他单位的应收款项</w:t>
            </w:r>
          </w:p>
        </w:tc>
      </w:tr>
    </w:tbl>
    <w:p w:rsidR="000C0769" w:rsidRPr="00672DC8" w:rsidRDefault="000C0769">
      <w:pPr>
        <w:pStyle w:val="a3"/>
        <w:spacing w:before="0" w:beforeAutospacing="0" w:after="0" w:afterAutospacing="0" w:line="360" w:lineRule="auto"/>
        <w:ind w:firstLine="422"/>
        <w:jc w:val="both"/>
        <w:divId w:val="943077902"/>
        <w:rPr>
          <w:rFonts w:ascii="Times New Roman" w:hAnsi="Times New Roman" w:cs="Times New Roman"/>
          <w:sz w:val="21"/>
          <w:szCs w:val="21"/>
        </w:rPr>
      </w:pPr>
      <w:r w:rsidRPr="00672DC8">
        <w:rPr>
          <w:rStyle w:val="a4"/>
          <w:rFonts w:ascii="Times New Roman" w:hAnsi="Times New Roman" w:cs="Times New Roman"/>
          <w:sz w:val="21"/>
          <w:szCs w:val="21"/>
        </w:rPr>
        <w:t>21.2   </w:t>
      </w:r>
      <w:r w:rsidRPr="00672DC8">
        <w:rPr>
          <w:rStyle w:val="a4"/>
          <w:rFonts w:ascii="Times New Roman" w:hAnsi="Times New Roman" w:cs="Times New Roman"/>
          <w:sz w:val="21"/>
          <w:szCs w:val="21"/>
        </w:rPr>
        <w:t>预期信用损失的会计处理方法</w:t>
      </w:r>
    </w:p>
    <w:p w:rsidR="000C0769" w:rsidRPr="00672DC8" w:rsidRDefault="000C0769">
      <w:pPr>
        <w:pStyle w:val="a3"/>
        <w:spacing w:before="0" w:beforeAutospacing="0" w:after="0" w:afterAutospacing="0" w:line="360" w:lineRule="auto"/>
        <w:ind w:firstLine="420"/>
        <w:jc w:val="both"/>
        <w:divId w:val="943077902"/>
        <w:rPr>
          <w:rFonts w:ascii="Times New Roman" w:hAnsi="Times New Roman" w:cs="Times New Roman"/>
          <w:sz w:val="21"/>
          <w:szCs w:val="21"/>
        </w:rPr>
      </w:pPr>
      <w:r w:rsidRPr="00672DC8">
        <w:rPr>
          <w:rFonts w:ascii="Times New Roman" w:hAnsi="Times New Roman" w:cs="Times New Roman"/>
          <w:sz w:val="21"/>
          <w:szCs w:val="21"/>
        </w:rPr>
        <w:t>信用损失准备的增加或转回金额，作为减值损失或利得计入当期损益。对于应收租赁款以外的其他长期应收款，本公司在前一会计期间已经按照相当于长期应收款整个存续期内预期信用损失的金额计量了损失准备，但在当期资产负债表日，该长期应收款已不再属于自初始确认后信用风险显著增加的情形</w:t>
      </w:r>
      <w:r w:rsidRPr="00672DC8">
        <w:rPr>
          <w:rFonts w:ascii="Times New Roman" w:hAnsi="Times New Roman" w:cs="Times New Roman"/>
          <w:sz w:val="21"/>
          <w:szCs w:val="21"/>
        </w:rPr>
        <w:lastRenderedPageBreak/>
        <w:t>的，本公司在当期资产负债表日按照相当于未来</w:t>
      </w:r>
      <w:r w:rsidRPr="00672DC8">
        <w:rPr>
          <w:rFonts w:ascii="Times New Roman" w:hAnsi="Times New Roman" w:cs="Times New Roman"/>
          <w:sz w:val="21"/>
          <w:szCs w:val="21"/>
        </w:rPr>
        <w:t>12</w:t>
      </w:r>
      <w:r w:rsidRPr="00672DC8">
        <w:rPr>
          <w:rFonts w:ascii="Times New Roman" w:hAnsi="Times New Roman" w:cs="Times New Roman"/>
          <w:sz w:val="21"/>
          <w:szCs w:val="21"/>
        </w:rPr>
        <w:t>个月内预期信用损失的金额计量该长期应收款的损失准备，由此形成的损失准备的转回金额作为减值利得计入当期损益。</w:t>
      </w:r>
    </w:p>
    <w:p w:rsidR="003D2BA8" w:rsidRPr="00672DC8" w:rsidRDefault="000C0769">
      <w:pPr>
        <w:pStyle w:val="3"/>
        <w:spacing w:line="280" w:lineRule="exact"/>
        <w:jc w:val="left"/>
        <w:rPr>
          <w:rFonts w:ascii="Times New Roman" w:hAnsi="Times New Roman" w:cs="Times New Roman"/>
          <w:b/>
          <w:bCs/>
        </w:rPr>
      </w:pPr>
      <w:bookmarkStart w:id="152" w:name="_Toc989019"/>
      <w:r w:rsidRPr="00672DC8">
        <w:rPr>
          <w:rFonts w:ascii="Times New Roman" w:hAnsi="Times New Roman" w:cs="Times New Roman"/>
          <w:b/>
          <w:bCs/>
        </w:rPr>
        <w:t>22</w:t>
      </w:r>
      <w:r w:rsidRPr="00672DC8">
        <w:rPr>
          <w:rFonts w:ascii="Times New Roman" w:hAnsi="Times New Roman" w:cs="Times New Roman"/>
          <w:b/>
          <w:bCs/>
        </w:rPr>
        <w:t>、长期股权投资</w:t>
      </w:r>
      <w:bookmarkEnd w:id="152"/>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本部分所指的长期股权投资是指本公司对被投资单位具有控制、共同控制或重大影响的长期股权投资。</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22.1   </w:t>
      </w:r>
      <w:r w:rsidRPr="00672DC8">
        <w:rPr>
          <w:rStyle w:val="a4"/>
          <w:rFonts w:ascii="Times New Roman" w:hAnsi="Times New Roman" w:cs="Times New Roman"/>
          <w:sz w:val="21"/>
          <w:szCs w:val="21"/>
        </w:rPr>
        <w:t>共同控制、重要影响的判断标准</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共同控制，是指按照相关约定对某项安排所共有的控制，并且该安排的相关活动必须经过分享控制权的参与方一致同意后才能决策。</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重大影响，是指投资方对被投资单位的财务和经营政策有参与决策的权力，但并不能够控制或者与其他方一起共同控制这些政策的制定。在确定能否对被投资单位施加重大影响时，应当考虑投资方和其他方持有的被投资单位当期可转换公司债券、当期可执行认股权证等潜在表决权因素。投资方能够对被投资单位施加重大影响的，被投资单位为其联营企业。</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22.2   </w:t>
      </w:r>
      <w:r w:rsidRPr="00672DC8">
        <w:rPr>
          <w:rStyle w:val="a4"/>
          <w:rFonts w:ascii="Times New Roman" w:hAnsi="Times New Roman" w:cs="Times New Roman"/>
          <w:sz w:val="21"/>
          <w:szCs w:val="21"/>
        </w:rPr>
        <w:t>投资成本的确定</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对于企业合并取得的长期股权投资，详见附注</w:t>
      </w:r>
      <w:r w:rsidRPr="00672DC8">
        <w:rPr>
          <w:rFonts w:ascii="Times New Roman" w:hAnsi="Times New Roman" w:cs="Times New Roman"/>
          <w:sz w:val="21"/>
          <w:szCs w:val="21"/>
        </w:rPr>
        <w:t>“6</w:t>
      </w:r>
      <w:r w:rsidRPr="00672DC8">
        <w:rPr>
          <w:rFonts w:ascii="Times New Roman" w:hAnsi="Times New Roman" w:cs="Times New Roman"/>
          <w:sz w:val="21"/>
          <w:szCs w:val="21"/>
        </w:rPr>
        <w:t>、同一控制下和非同一控制下企业合并的会计处理方法</w:t>
      </w:r>
      <w:r w:rsidRPr="00672DC8">
        <w:rPr>
          <w:rFonts w:ascii="Times New Roman" w:hAnsi="Times New Roman" w:cs="Times New Roman"/>
          <w:sz w:val="21"/>
          <w:szCs w:val="21"/>
        </w:rPr>
        <w:t>”</w:t>
      </w:r>
      <w:r w:rsidRPr="00672DC8">
        <w:rPr>
          <w:rFonts w:ascii="Times New Roman" w:hAnsi="Times New Roman" w:cs="Times New Roman"/>
          <w:sz w:val="21"/>
          <w:szCs w:val="21"/>
        </w:rPr>
        <w:t>。</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除企业合并形成的长期股权投资外的其他股权投资，按成本进行初始计量，该成本视长期股权投资取得方式的不同，分别按照本公司实际支付的现金购买价款、本公司发行的权益性证券的公允价值、投资合同或协议约定的价值、非货币性资产交换交易中换出资产的公允价值或原账面价值、该项长期股权投资自身的公允价值等方式确定。与取得长期股权投资直接相关的费用、税金及其他必要支出也计入投资成本。</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22.3   </w:t>
      </w:r>
      <w:r w:rsidRPr="00672DC8">
        <w:rPr>
          <w:rStyle w:val="a4"/>
          <w:rFonts w:ascii="Times New Roman" w:hAnsi="Times New Roman" w:cs="Times New Roman"/>
          <w:sz w:val="21"/>
          <w:szCs w:val="21"/>
        </w:rPr>
        <w:t>后续计量及损益确认方法</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对被投资单位具有共同控制（构成共同经营者除外）或重大影响的长期股权投资，采用权益法核算。此外，公司财务报表采用成本法核算能够对被投资单位实施控制的长期股权投资。</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22.3.1   </w:t>
      </w:r>
      <w:r w:rsidRPr="00672DC8">
        <w:rPr>
          <w:rStyle w:val="a4"/>
          <w:rFonts w:ascii="Times New Roman" w:hAnsi="Times New Roman" w:cs="Times New Roman"/>
          <w:sz w:val="21"/>
          <w:szCs w:val="21"/>
        </w:rPr>
        <w:t>成本法核算的长期股权投资</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采用成本法核算时，长期股权投资按初始投资成本计价，追加或收回投资调整长期股权投资的成本。除取得投资时实际支付的价款或者对价中包含的已宣告但尚未发放的现金股利或者利润外，当期投资收益按照享有被投资单位宣告发放的现金股利或利润确认。</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22.3.2   </w:t>
      </w:r>
      <w:r w:rsidRPr="00672DC8">
        <w:rPr>
          <w:rStyle w:val="a4"/>
          <w:rFonts w:ascii="Times New Roman" w:hAnsi="Times New Roman" w:cs="Times New Roman"/>
          <w:sz w:val="21"/>
          <w:szCs w:val="21"/>
        </w:rPr>
        <w:t>权益法核算的长期股权投资</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lastRenderedPageBreak/>
        <w:t>采用权益法核算时，长期股权投资的初始投资成本大于投资时应享有被投资单位可辨认净资产公允价值份额的，不调整长期股权投资的初始投资成本；初始投资成本小于投资时应享有被投资单位可辨认净资产公允价值份额的，其差额计入当期损益，同时调整长期股权投资的成本。</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采用权益法核算时，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资本公积。在确认应享有被投资单位净损益的份额时，以取得投资时被投资单位各项可辨认资产等的公允价值为基础，对被投资单位的净利润进行调整后确认。被投资单位采用的会计政策及会计期间与本公司不一致的，按照本公司的会计政策及会计期间对被投资单位的财务报表进行调整，并据以确认投资收益和其他综合收益。对于本公司与联营企业及合营企业之间发生的交易，投出或出售的资产不构成业务的，未实现内部交易损益按照享有的比例计算归属于本公司的部分予以抵销，在此基础上确认投资损益。但本公司与被投资单位发生的未实现内部交易损失，属于所转让资产减值损失的，不予以抵销。</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在确认应分担被投资单位发生的净亏损时，以长期股权投资的账面价值和其他实质上构成对被投资单位净投资的长期权益减记至零为限。此外，如本公司对被投资单位负有承担额外损失的义务，则按预计承担的义务确认预计负债，计入当期投资损失。被投资单位以后期间实现净利润的，本公司在收益分享额弥补未确认的亏损分担额后，恢复确认收益分享额。</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对于本公司首次执行新会计准则之前已经持有的对联营企业和合营企业的长期股权投资，如存在与该投资相关的股权投资借方差额，按原剩余期限直线摊销的金额计入当期损益。</w:t>
      </w:r>
    </w:p>
    <w:p w:rsidR="000C0769" w:rsidRPr="00672DC8" w:rsidRDefault="000C0769">
      <w:pPr>
        <w:pStyle w:val="a3"/>
        <w:spacing w:before="0" w:beforeAutospacing="0" w:after="0" w:afterAutospacing="0" w:line="360" w:lineRule="auto"/>
        <w:ind w:firstLine="422"/>
        <w:jc w:val="both"/>
        <w:divId w:val="1256479655"/>
        <w:rPr>
          <w:rFonts w:ascii="Times New Roman" w:hAnsi="Times New Roman" w:cs="Times New Roman"/>
          <w:sz w:val="21"/>
          <w:szCs w:val="21"/>
        </w:rPr>
      </w:pPr>
      <w:r w:rsidRPr="00672DC8">
        <w:rPr>
          <w:rStyle w:val="a4"/>
          <w:rFonts w:ascii="Times New Roman" w:hAnsi="Times New Roman" w:cs="Times New Roman"/>
          <w:sz w:val="21"/>
          <w:szCs w:val="21"/>
        </w:rPr>
        <w:t>22.3.3   </w:t>
      </w:r>
      <w:r w:rsidRPr="00672DC8">
        <w:rPr>
          <w:rStyle w:val="a4"/>
          <w:rFonts w:ascii="Times New Roman" w:hAnsi="Times New Roman" w:cs="Times New Roman"/>
          <w:sz w:val="21"/>
          <w:szCs w:val="21"/>
        </w:rPr>
        <w:t>处置长期股权投资</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在合并财务报表中，母公司在不丧失控制权的情况下部分处置对子公司的长期股权投资，处置价款与处置长期股权投资相对应享有子公司净资产的差额计入股东权益；母公司部分处置对子公司的长期股权投资导致丧失对子公司控制权的，按本附注</w:t>
      </w:r>
      <w:r w:rsidRPr="00672DC8">
        <w:rPr>
          <w:rFonts w:ascii="Times New Roman" w:hAnsi="Times New Roman" w:cs="Times New Roman"/>
          <w:sz w:val="21"/>
          <w:szCs w:val="21"/>
        </w:rPr>
        <w:t xml:space="preserve">“7.2  </w:t>
      </w:r>
      <w:r w:rsidRPr="00672DC8">
        <w:rPr>
          <w:rFonts w:ascii="Times New Roman" w:hAnsi="Times New Roman" w:cs="Times New Roman"/>
          <w:sz w:val="21"/>
          <w:szCs w:val="21"/>
        </w:rPr>
        <w:t>合并财务报表编制的方法</w:t>
      </w:r>
      <w:r w:rsidRPr="00672DC8">
        <w:rPr>
          <w:rFonts w:ascii="Times New Roman" w:hAnsi="Times New Roman" w:cs="Times New Roman"/>
          <w:sz w:val="21"/>
          <w:szCs w:val="21"/>
        </w:rPr>
        <w:t>”</w:t>
      </w:r>
      <w:r w:rsidRPr="00672DC8">
        <w:rPr>
          <w:rFonts w:ascii="Times New Roman" w:hAnsi="Times New Roman" w:cs="Times New Roman"/>
          <w:sz w:val="21"/>
          <w:szCs w:val="21"/>
        </w:rPr>
        <w:t>中所述的相关会计政策处理。</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其他情形下的长期股权投资处置，对于处置的股权，其账面价值与实际取得价款的差额，计入当期损益。</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t>采用权益法核算的长期股权投资，处置后的剩余股权仍采用权益法核算的，在处置时将原计入股东权益的其他综合收益部分按相应的比例采用与被投资单位直接处置相关资产或负债相同的基础进行会计处理。因被投资方除净损益、其他综合收益和利润分配以外的其他所有者权益变动而确认的所有者权益，按比例结转入当期损益。</w:t>
      </w:r>
    </w:p>
    <w:p w:rsidR="000C0769" w:rsidRPr="00672DC8" w:rsidRDefault="000C0769">
      <w:pPr>
        <w:pStyle w:val="a3"/>
        <w:spacing w:before="0" w:beforeAutospacing="0" w:after="0" w:afterAutospacing="0" w:line="360" w:lineRule="auto"/>
        <w:ind w:firstLine="420"/>
        <w:jc w:val="both"/>
        <w:divId w:val="1256479655"/>
        <w:rPr>
          <w:rFonts w:ascii="Times New Roman" w:hAnsi="Times New Roman" w:cs="Times New Roman"/>
          <w:sz w:val="21"/>
          <w:szCs w:val="21"/>
        </w:rPr>
      </w:pPr>
      <w:r w:rsidRPr="00672DC8">
        <w:rPr>
          <w:rFonts w:ascii="Times New Roman" w:hAnsi="Times New Roman" w:cs="Times New Roman"/>
          <w:sz w:val="21"/>
          <w:szCs w:val="21"/>
        </w:rPr>
        <w:lastRenderedPageBreak/>
        <w:t>采用成本法核算的长期股权投资，处置后剩余股权仍采用成本法核算的，其在取得对被投资单位的控制之前因采用权益法核算或金融工具确认和计量准则核算而确认的其他综合收益，采用与被投资单位直接处置相关资产或负债相同的基础进行会计处理，并按比例结转当期损益；因采用权益法核算而确认的被投资单位净资产中除净损益、其他综合收益和利润分配以外的其他所有者权益变动按比例结转当期损益。</w:t>
      </w:r>
    </w:p>
    <w:p w:rsidR="003D2BA8" w:rsidRPr="00672DC8" w:rsidRDefault="000C0769">
      <w:pPr>
        <w:pStyle w:val="3"/>
        <w:spacing w:line="280" w:lineRule="exact"/>
        <w:jc w:val="left"/>
        <w:rPr>
          <w:rFonts w:ascii="Times New Roman" w:hAnsi="Times New Roman" w:cs="Times New Roman"/>
          <w:b/>
          <w:bCs/>
        </w:rPr>
      </w:pPr>
      <w:bookmarkStart w:id="153" w:name="_Toc989020"/>
      <w:r w:rsidRPr="00672DC8">
        <w:rPr>
          <w:rFonts w:ascii="Times New Roman" w:hAnsi="Times New Roman" w:cs="Times New Roman"/>
          <w:b/>
          <w:bCs/>
        </w:rPr>
        <w:t>23</w:t>
      </w:r>
      <w:r w:rsidRPr="00672DC8">
        <w:rPr>
          <w:rFonts w:ascii="Times New Roman" w:hAnsi="Times New Roman" w:cs="Times New Roman"/>
          <w:b/>
          <w:bCs/>
        </w:rPr>
        <w:t>、投资性房地产</w:t>
      </w:r>
      <w:bookmarkEnd w:id="15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投资性房地产计量模式</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154" w:name="_Toc989021"/>
      <w:r w:rsidRPr="00672DC8">
        <w:rPr>
          <w:rFonts w:ascii="Times New Roman" w:hAnsi="Times New Roman" w:cs="Times New Roman"/>
          <w:b/>
          <w:bCs/>
        </w:rPr>
        <w:t>24</w:t>
      </w:r>
      <w:r w:rsidRPr="00672DC8">
        <w:rPr>
          <w:rFonts w:ascii="Times New Roman" w:hAnsi="Times New Roman" w:cs="Times New Roman"/>
          <w:b/>
          <w:bCs/>
        </w:rPr>
        <w:t>、固定资产</w:t>
      </w:r>
      <w:bookmarkEnd w:id="154"/>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55" w:name="_Toc98902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确认条件</w:t>
      </w:r>
      <w:bookmarkEnd w:id="155"/>
    </w:p>
    <w:p w:rsidR="000C0769" w:rsidRPr="00672DC8" w:rsidRDefault="000C0769">
      <w:pPr>
        <w:pStyle w:val="a3"/>
        <w:spacing w:line="240" w:lineRule="atLeast"/>
        <w:divId w:val="1056859702"/>
        <w:rPr>
          <w:rFonts w:ascii="Times New Roman" w:hAnsi="Times New Roman" w:cs="Times New Roman"/>
          <w:sz w:val="18"/>
          <w:szCs w:val="18"/>
        </w:rPr>
      </w:pPr>
      <w:r w:rsidRPr="00672DC8">
        <w:rPr>
          <w:rFonts w:ascii="Times New Roman" w:hAnsi="Times New Roman" w:cs="Times New Roman"/>
          <w:sz w:val="18"/>
          <w:szCs w:val="18"/>
        </w:rPr>
        <w:t>固定资产是指为生产商品、提供劳务、出租或经营管理而持有的，使用寿命超过一个会计年度的有形资产。固定资产仅在与其有关的经济利益很可能流入本公司，且其成本能够可靠地计量时才予以确认。固定资产按成本并考虑预计弃置费用因素的影响进行初始计量。</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56" w:name="_Toc98902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折旧方法</w:t>
      </w:r>
      <w:bookmarkEnd w:id="156"/>
    </w:p>
    <w:p w:rsidR="003D2BA8" w:rsidRPr="00672DC8" w:rsidRDefault="003D2BA8">
      <w:pPr>
        <w:spacing w:line="0" w:lineRule="atLeast"/>
        <w:rPr>
          <w:rFonts w:ascii="Times New Roman" w:hAnsi="Times New Roman" w:cs="Times New Roman"/>
        </w:rPr>
      </w:pP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折旧方法</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折旧年限</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残值率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年折旧率</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房屋建筑物</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3.17%-4.75%</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运输设备</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5-10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9.50%-19.00%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算力设备</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5-10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9.50%-19.00%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新能源设备</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3.17%-4.75%</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电子设备</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19.00%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办公设备及其他</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19.00%</w:t>
            </w:r>
          </w:p>
        </w:tc>
      </w:tr>
    </w:tbl>
    <w:p w:rsidR="000C0769" w:rsidRPr="00672DC8" w:rsidRDefault="000C0769">
      <w:pPr>
        <w:pStyle w:val="a3"/>
        <w:spacing w:before="0" w:beforeAutospacing="0" w:after="0" w:afterAutospacing="0" w:line="360" w:lineRule="auto"/>
        <w:ind w:firstLine="420"/>
        <w:jc w:val="both"/>
        <w:divId w:val="970093883"/>
        <w:rPr>
          <w:rFonts w:ascii="Times New Roman" w:hAnsi="Times New Roman" w:cs="Times New Roman"/>
          <w:sz w:val="21"/>
          <w:szCs w:val="21"/>
        </w:rPr>
      </w:pPr>
      <w:r w:rsidRPr="00672DC8">
        <w:rPr>
          <w:rFonts w:ascii="Times New Roman" w:hAnsi="Times New Roman" w:cs="Times New Roman"/>
          <w:sz w:val="21"/>
          <w:szCs w:val="21"/>
        </w:rPr>
        <w:t>预计净残值是指假定固定资产预计使用寿命已满并处于使用寿命终了时的预期状态，本公司目前从该项资产处置中获得的扣除预计处置费用后的金额。</w:t>
      </w:r>
    </w:p>
    <w:p w:rsidR="003D2BA8" w:rsidRPr="00672DC8" w:rsidRDefault="000C0769">
      <w:pPr>
        <w:pStyle w:val="3"/>
        <w:spacing w:line="280" w:lineRule="exact"/>
        <w:jc w:val="left"/>
        <w:rPr>
          <w:rFonts w:ascii="Times New Roman" w:hAnsi="Times New Roman" w:cs="Times New Roman"/>
          <w:b/>
          <w:bCs/>
        </w:rPr>
      </w:pPr>
      <w:bookmarkStart w:id="157" w:name="_Toc989024"/>
      <w:r w:rsidRPr="00672DC8">
        <w:rPr>
          <w:rFonts w:ascii="Times New Roman" w:hAnsi="Times New Roman" w:cs="Times New Roman"/>
          <w:b/>
          <w:bCs/>
        </w:rPr>
        <w:t>25</w:t>
      </w:r>
      <w:r w:rsidRPr="00672DC8">
        <w:rPr>
          <w:rFonts w:ascii="Times New Roman" w:hAnsi="Times New Roman" w:cs="Times New Roman"/>
          <w:b/>
          <w:bCs/>
        </w:rPr>
        <w:t>、在建工程</w:t>
      </w:r>
      <w:bookmarkEnd w:id="157"/>
    </w:p>
    <w:p w:rsidR="000C0769" w:rsidRPr="00672DC8" w:rsidRDefault="000C0769">
      <w:pPr>
        <w:pStyle w:val="a3"/>
        <w:spacing w:before="0" w:beforeAutospacing="0" w:after="0" w:afterAutospacing="0" w:line="360" w:lineRule="auto"/>
        <w:ind w:firstLine="422"/>
        <w:jc w:val="both"/>
        <w:divId w:val="1052465415"/>
        <w:rPr>
          <w:rFonts w:ascii="Times New Roman" w:hAnsi="Times New Roman" w:cs="Times New Roman"/>
          <w:sz w:val="21"/>
          <w:szCs w:val="21"/>
        </w:rPr>
      </w:pPr>
      <w:r w:rsidRPr="00672DC8">
        <w:rPr>
          <w:rStyle w:val="a4"/>
          <w:rFonts w:ascii="Times New Roman" w:hAnsi="Times New Roman" w:cs="Times New Roman"/>
          <w:sz w:val="21"/>
          <w:szCs w:val="21"/>
        </w:rPr>
        <w:t xml:space="preserve">25.1  </w:t>
      </w:r>
      <w:r w:rsidRPr="00672DC8">
        <w:rPr>
          <w:rStyle w:val="a4"/>
          <w:rFonts w:ascii="Times New Roman" w:hAnsi="Times New Roman" w:cs="Times New Roman"/>
          <w:sz w:val="21"/>
          <w:szCs w:val="21"/>
        </w:rPr>
        <w:t>初始计量</w:t>
      </w:r>
    </w:p>
    <w:p w:rsidR="000C0769" w:rsidRPr="00672DC8" w:rsidRDefault="000C0769">
      <w:pPr>
        <w:pStyle w:val="a3"/>
        <w:spacing w:before="0" w:beforeAutospacing="0" w:after="0" w:afterAutospacing="0" w:line="360" w:lineRule="auto"/>
        <w:ind w:firstLine="420"/>
        <w:jc w:val="both"/>
        <w:divId w:val="1052465415"/>
        <w:rPr>
          <w:rFonts w:ascii="Times New Roman" w:hAnsi="Times New Roman" w:cs="Times New Roman"/>
          <w:sz w:val="28"/>
          <w:szCs w:val="28"/>
        </w:rPr>
      </w:pPr>
      <w:r w:rsidRPr="00672DC8">
        <w:rPr>
          <w:rFonts w:ascii="Times New Roman" w:hAnsi="Times New Roman" w:cs="Times New Roman"/>
          <w:sz w:val="21"/>
          <w:szCs w:val="21"/>
        </w:rPr>
        <w:t>本公司自行建造的在建工程按实际成本计价，实际成本由建造该项资产达到预定可使用状态前所发生的必要支出构成，包括工程用物资成本、人工成本、交纳的相关税费、应予资本化的借款费用以及应分摊的间接费用等。</w:t>
      </w:r>
    </w:p>
    <w:p w:rsidR="000C0769" w:rsidRPr="00672DC8" w:rsidRDefault="000C0769">
      <w:pPr>
        <w:pStyle w:val="a3"/>
        <w:spacing w:before="0" w:beforeAutospacing="0" w:after="0" w:afterAutospacing="0" w:line="360" w:lineRule="auto"/>
        <w:ind w:firstLine="422"/>
        <w:jc w:val="both"/>
        <w:divId w:val="1052465415"/>
        <w:rPr>
          <w:rFonts w:ascii="Times New Roman" w:hAnsi="Times New Roman" w:cs="Times New Roman"/>
          <w:sz w:val="21"/>
          <w:szCs w:val="21"/>
        </w:rPr>
      </w:pPr>
      <w:r w:rsidRPr="00672DC8">
        <w:rPr>
          <w:rStyle w:val="a4"/>
          <w:rFonts w:ascii="Times New Roman" w:hAnsi="Times New Roman" w:cs="Times New Roman"/>
          <w:sz w:val="21"/>
          <w:szCs w:val="21"/>
        </w:rPr>
        <w:t>25.2   </w:t>
      </w:r>
      <w:r w:rsidRPr="00672DC8">
        <w:rPr>
          <w:rStyle w:val="a4"/>
          <w:rFonts w:ascii="Times New Roman" w:hAnsi="Times New Roman" w:cs="Times New Roman"/>
          <w:sz w:val="21"/>
          <w:szCs w:val="21"/>
        </w:rPr>
        <w:t>结转为固定资产的标准和时点</w:t>
      </w:r>
    </w:p>
    <w:p w:rsidR="000C0769" w:rsidRPr="00672DC8" w:rsidRDefault="000C0769">
      <w:pPr>
        <w:pStyle w:val="a3"/>
        <w:spacing w:before="0" w:beforeAutospacing="0" w:after="0" w:afterAutospacing="0" w:line="360" w:lineRule="auto"/>
        <w:ind w:firstLine="420"/>
        <w:jc w:val="both"/>
        <w:divId w:val="1052465415"/>
        <w:rPr>
          <w:rFonts w:ascii="Times New Roman" w:hAnsi="Times New Roman" w:cs="Times New Roman"/>
          <w:sz w:val="21"/>
          <w:szCs w:val="21"/>
        </w:rPr>
      </w:pPr>
      <w:r w:rsidRPr="00672DC8">
        <w:rPr>
          <w:rFonts w:ascii="Times New Roman" w:hAnsi="Times New Roman" w:cs="Times New Roman"/>
          <w:sz w:val="21"/>
          <w:szCs w:val="21"/>
        </w:rPr>
        <w:lastRenderedPageBreak/>
        <w:t>在建工程项目按建造该项资产达到预定可使用状态前所发生的全部支出，作为固定资产的入账价值。所建造的在建工程已达到预定可使用状态，但尚未办理竣工决算的，自达到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tbl>
      <w:tblPr>
        <w:tblStyle w:val="aa"/>
        <w:tblW w:w="5000" w:type="pct"/>
        <w:tblLook w:val="04A0" w:firstRow="1" w:lastRow="0" w:firstColumn="1" w:lastColumn="0" w:noHBand="0" w:noVBand="1"/>
      </w:tblPr>
      <w:tblGrid>
        <w:gridCol w:w="3483"/>
        <w:gridCol w:w="6144"/>
      </w:tblGrid>
      <w:tr w:rsidR="000C0769" w:rsidRPr="00672DC8" w:rsidTr="009331D1">
        <w:trPr>
          <w:divId w:val="1052465415"/>
          <w:trHeight w:val="284"/>
        </w:trPr>
        <w:tc>
          <w:tcPr>
            <w:tcW w:w="1809" w:type="pct"/>
            <w:shd w:val="clear" w:color="auto" w:fill="BFBFBF" w:themeFill="background1" w:themeFillShade="BF"/>
            <w:hideMark/>
          </w:tcPr>
          <w:p w:rsidR="000C0769" w:rsidRPr="00672DC8" w:rsidRDefault="000C0769">
            <w:pPr>
              <w:pStyle w:val="a3"/>
              <w:spacing w:before="0" w:beforeAutospacing="0" w:after="0" w:afterAutospacing="0"/>
              <w:ind w:firstLine="361"/>
              <w:jc w:val="center"/>
              <w:rPr>
                <w:rFonts w:ascii="Times New Roman" w:hAnsi="Times New Roman" w:cs="Times New Roman"/>
                <w:sz w:val="21"/>
                <w:szCs w:val="21"/>
              </w:rPr>
            </w:pPr>
            <w:r w:rsidRPr="00672DC8">
              <w:rPr>
                <w:rStyle w:val="a4"/>
                <w:rFonts w:ascii="Times New Roman" w:hAnsi="Times New Roman" w:cs="Times New Roman"/>
                <w:sz w:val="18"/>
                <w:szCs w:val="18"/>
              </w:rPr>
              <w:t>类别</w:t>
            </w:r>
          </w:p>
        </w:tc>
        <w:tc>
          <w:tcPr>
            <w:tcW w:w="3191" w:type="pct"/>
            <w:shd w:val="clear" w:color="auto" w:fill="BFBFBF" w:themeFill="background1" w:themeFillShade="BF"/>
            <w:hideMark/>
          </w:tcPr>
          <w:p w:rsidR="000C0769" w:rsidRPr="00672DC8" w:rsidRDefault="000C0769">
            <w:pPr>
              <w:pStyle w:val="a3"/>
              <w:spacing w:before="0" w:beforeAutospacing="0" w:after="0" w:afterAutospacing="0"/>
              <w:ind w:firstLine="361"/>
              <w:jc w:val="center"/>
              <w:rPr>
                <w:rFonts w:ascii="Times New Roman" w:hAnsi="Times New Roman" w:cs="Times New Roman"/>
                <w:sz w:val="21"/>
                <w:szCs w:val="21"/>
              </w:rPr>
            </w:pPr>
            <w:r w:rsidRPr="00672DC8">
              <w:rPr>
                <w:rStyle w:val="a4"/>
                <w:rFonts w:ascii="Times New Roman" w:hAnsi="Times New Roman" w:cs="Times New Roman"/>
                <w:sz w:val="18"/>
                <w:szCs w:val="18"/>
              </w:rPr>
              <w:t>在建工程结转为固定资产的标准和时点</w:t>
            </w:r>
          </w:p>
        </w:tc>
      </w:tr>
      <w:tr w:rsidR="000C0769" w:rsidRPr="00672DC8" w:rsidTr="009331D1">
        <w:trPr>
          <w:divId w:val="1052465415"/>
          <w:trHeight w:val="284"/>
        </w:trPr>
        <w:tc>
          <w:tcPr>
            <w:tcW w:w="1809" w:type="pct"/>
            <w:hideMark/>
          </w:tcPr>
          <w:p w:rsidR="000C0769" w:rsidRPr="00672DC8" w:rsidRDefault="000C0769">
            <w:pPr>
              <w:pStyle w:val="a3"/>
              <w:spacing w:before="0" w:beforeAutospacing="0" w:after="0" w:afterAutospacing="0"/>
              <w:ind w:firstLine="360"/>
              <w:jc w:val="both"/>
              <w:rPr>
                <w:rFonts w:ascii="Times New Roman" w:hAnsi="Times New Roman" w:cs="Times New Roman"/>
                <w:sz w:val="21"/>
                <w:szCs w:val="21"/>
              </w:rPr>
            </w:pPr>
            <w:r w:rsidRPr="00672DC8">
              <w:rPr>
                <w:rFonts w:ascii="Times New Roman" w:hAnsi="Times New Roman" w:cs="Times New Roman"/>
                <w:sz w:val="18"/>
                <w:szCs w:val="18"/>
              </w:rPr>
              <w:t>房屋及建筑物</w:t>
            </w:r>
          </w:p>
        </w:tc>
        <w:tc>
          <w:tcPr>
            <w:tcW w:w="3191"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18"/>
                <w:szCs w:val="18"/>
              </w:rPr>
              <w:t>满足建筑完工验收标准，整体达到预定可使用状态</w:t>
            </w:r>
          </w:p>
        </w:tc>
      </w:tr>
      <w:tr w:rsidR="000C0769" w:rsidRPr="00672DC8" w:rsidTr="009331D1">
        <w:trPr>
          <w:divId w:val="1052465415"/>
          <w:trHeight w:val="284"/>
        </w:trPr>
        <w:tc>
          <w:tcPr>
            <w:tcW w:w="1809" w:type="pct"/>
            <w:hideMark/>
          </w:tcPr>
          <w:p w:rsidR="000C0769" w:rsidRPr="00672DC8" w:rsidRDefault="000C0769">
            <w:pPr>
              <w:pStyle w:val="a3"/>
              <w:spacing w:before="0" w:beforeAutospacing="0" w:after="0" w:afterAutospacing="0"/>
              <w:ind w:firstLine="360"/>
              <w:jc w:val="both"/>
              <w:rPr>
                <w:rFonts w:ascii="Times New Roman" w:hAnsi="Times New Roman" w:cs="Times New Roman"/>
                <w:sz w:val="21"/>
                <w:szCs w:val="21"/>
              </w:rPr>
            </w:pPr>
            <w:r w:rsidRPr="00672DC8">
              <w:rPr>
                <w:rFonts w:ascii="Times New Roman" w:hAnsi="Times New Roman" w:cs="Times New Roman"/>
                <w:sz w:val="18"/>
                <w:szCs w:val="18"/>
              </w:rPr>
              <w:t>新能源设备</w:t>
            </w:r>
          </w:p>
        </w:tc>
        <w:tc>
          <w:tcPr>
            <w:tcW w:w="3191"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18"/>
                <w:szCs w:val="18"/>
              </w:rPr>
              <w:t>满足建筑完工验收标准，整体达到预定可使用状态</w:t>
            </w:r>
          </w:p>
        </w:tc>
      </w:tr>
    </w:tbl>
    <w:p w:rsidR="000C0769" w:rsidRPr="00672DC8" w:rsidRDefault="000C0769">
      <w:pPr>
        <w:pStyle w:val="a3"/>
        <w:spacing w:before="120" w:beforeAutospacing="0" w:after="0" w:afterAutospacing="0" w:line="360" w:lineRule="auto"/>
        <w:ind w:firstLine="420"/>
        <w:jc w:val="both"/>
        <w:divId w:val="1052465415"/>
        <w:rPr>
          <w:rFonts w:ascii="Times New Roman" w:hAnsi="Times New Roman" w:cs="Times New Roman"/>
          <w:sz w:val="21"/>
          <w:szCs w:val="21"/>
        </w:rPr>
      </w:pPr>
      <w:r w:rsidRPr="00672DC8">
        <w:rPr>
          <w:rFonts w:ascii="Times New Roman" w:hAnsi="Times New Roman" w:cs="Times New Roman"/>
          <w:sz w:val="21"/>
          <w:szCs w:val="21"/>
        </w:rPr>
        <w:t>在建工程的减值测试方法和减值准备计提方法详见附注</w:t>
      </w:r>
      <w:r w:rsidRPr="00672DC8">
        <w:rPr>
          <w:rFonts w:ascii="Times New Roman" w:hAnsi="Times New Roman" w:cs="Times New Roman"/>
          <w:sz w:val="21"/>
          <w:szCs w:val="21"/>
        </w:rPr>
        <w:t>“28</w:t>
      </w:r>
      <w:r w:rsidRPr="00672DC8">
        <w:rPr>
          <w:rFonts w:ascii="Times New Roman" w:hAnsi="Times New Roman" w:cs="Times New Roman"/>
          <w:sz w:val="21"/>
          <w:szCs w:val="21"/>
        </w:rPr>
        <w:t>、</w:t>
      </w: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长期资产减值</w:t>
      </w:r>
      <w:r w:rsidRPr="00672DC8">
        <w:rPr>
          <w:rFonts w:ascii="Times New Roman" w:hAnsi="Times New Roman" w:cs="Times New Roman"/>
          <w:sz w:val="21"/>
          <w:szCs w:val="21"/>
        </w:rPr>
        <w:t>”</w:t>
      </w:r>
      <w:r w:rsidRPr="00672DC8">
        <w:rPr>
          <w:rFonts w:ascii="Times New Roman" w:hAnsi="Times New Roman" w:cs="Times New Roman"/>
          <w:sz w:val="21"/>
          <w:szCs w:val="21"/>
        </w:rPr>
        <w:t>。</w:t>
      </w:r>
    </w:p>
    <w:p w:rsidR="003D2BA8" w:rsidRPr="00672DC8" w:rsidRDefault="000C0769">
      <w:pPr>
        <w:pStyle w:val="3"/>
        <w:spacing w:line="280" w:lineRule="exact"/>
        <w:jc w:val="left"/>
        <w:rPr>
          <w:rFonts w:ascii="Times New Roman" w:hAnsi="Times New Roman" w:cs="Times New Roman"/>
          <w:b/>
          <w:bCs/>
        </w:rPr>
      </w:pPr>
      <w:bookmarkStart w:id="158" w:name="_Toc989025"/>
      <w:r w:rsidRPr="00672DC8">
        <w:rPr>
          <w:rFonts w:ascii="Times New Roman" w:hAnsi="Times New Roman" w:cs="Times New Roman"/>
          <w:b/>
          <w:bCs/>
        </w:rPr>
        <w:t>26</w:t>
      </w:r>
      <w:r w:rsidRPr="00672DC8">
        <w:rPr>
          <w:rFonts w:ascii="Times New Roman" w:hAnsi="Times New Roman" w:cs="Times New Roman"/>
          <w:b/>
          <w:bCs/>
        </w:rPr>
        <w:t>、借款费用</w:t>
      </w:r>
      <w:bookmarkEnd w:id="158"/>
    </w:p>
    <w:p w:rsidR="000C0769" w:rsidRPr="00672DC8" w:rsidRDefault="000C0769">
      <w:pPr>
        <w:pStyle w:val="a3"/>
        <w:spacing w:before="0" w:beforeAutospacing="0" w:after="0" w:afterAutospacing="0" w:line="360" w:lineRule="auto"/>
        <w:ind w:firstLine="422"/>
        <w:jc w:val="both"/>
        <w:divId w:val="376974227"/>
        <w:rPr>
          <w:rFonts w:ascii="Times New Roman" w:hAnsi="Times New Roman" w:cs="Times New Roman"/>
          <w:sz w:val="21"/>
          <w:szCs w:val="21"/>
        </w:rPr>
      </w:pPr>
      <w:r w:rsidRPr="00672DC8">
        <w:rPr>
          <w:rStyle w:val="a4"/>
          <w:rFonts w:ascii="Times New Roman" w:hAnsi="Times New Roman" w:cs="Times New Roman"/>
          <w:sz w:val="21"/>
          <w:szCs w:val="21"/>
        </w:rPr>
        <w:t>26.1   </w:t>
      </w:r>
      <w:r w:rsidRPr="00672DC8">
        <w:rPr>
          <w:rStyle w:val="a4"/>
          <w:rFonts w:ascii="Times New Roman" w:hAnsi="Times New Roman" w:cs="Times New Roman"/>
          <w:sz w:val="21"/>
          <w:szCs w:val="21"/>
        </w:rPr>
        <w:t>借款费用资本化的确认原则</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本公司发生的借款费用，可直接归属于符合资本化条件的资产的购建或者生产的，予以资本化，计入相关资产成本；其他借款费用，在发生时根据其发生额确认为费用，计入当期损益。</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符合资本化条件的资产，是指需要经过相当长时间的购建或者生产活动才能达到预定可使用或者可销售状态的固定资产、投资性房地产和存货等资产。</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借款费用同时满足下列条件时开始资本化：</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w:t>
      </w:r>
      <w:r w:rsidRPr="00672DC8">
        <w:rPr>
          <w:rFonts w:ascii="Times New Roman" w:hAnsi="Times New Roman" w:cs="Times New Roman"/>
          <w:sz w:val="21"/>
          <w:szCs w:val="21"/>
        </w:rPr>
        <w:t>1</w:t>
      </w:r>
      <w:r w:rsidRPr="00672DC8">
        <w:rPr>
          <w:rFonts w:ascii="Times New Roman" w:hAnsi="Times New Roman" w:cs="Times New Roman"/>
          <w:sz w:val="21"/>
          <w:szCs w:val="21"/>
        </w:rPr>
        <w:t>）资产支出已经发生，资产支出包括为购建或者生产符合资本化条件的资产而以支付现金、转移非现金资产或者承担带息债务形式发生的支出；</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w:t>
      </w:r>
      <w:r w:rsidRPr="00672DC8">
        <w:rPr>
          <w:rFonts w:ascii="Times New Roman" w:hAnsi="Times New Roman" w:cs="Times New Roman"/>
          <w:sz w:val="21"/>
          <w:szCs w:val="21"/>
        </w:rPr>
        <w:t>2</w:t>
      </w:r>
      <w:r w:rsidRPr="00672DC8">
        <w:rPr>
          <w:rFonts w:ascii="Times New Roman" w:hAnsi="Times New Roman" w:cs="Times New Roman"/>
          <w:sz w:val="21"/>
          <w:szCs w:val="21"/>
        </w:rPr>
        <w:t>）借款费用已经发生；</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w:t>
      </w:r>
      <w:r w:rsidRPr="00672DC8">
        <w:rPr>
          <w:rFonts w:ascii="Times New Roman" w:hAnsi="Times New Roman" w:cs="Times New Roman"/>
          <w:sz w:val="21"/>
          <w:szCs w:val="21"/>
        </w:rPr>
        <w:t>3</w:t>
      </w:r>
      <w:r w:rsidRPr="00672DC8">
        <w:rPr>
          <w:rFonts w:ascii="Times New Roman" w:hAnsi="Times New Roman" w:cs="Times New Roman"/>
          <w:sz w:val="21"/>
          <w:szCs w:val="21"/>
        </w:rPr>
        <w:t>）为使资产达到预定可使用或者可销售状态所必要的购建或者生产活动已经开始。</w:t>
      </w:r>
    </w:p>
    <w:p w:rsidR="000C0769" w:rsidRPr="00672DC8" w:rsidRDefault="000C0769">
      <w:pPr>
        <w:pStyle w:val="a3"/>
        <w:spacing w:before="0" w:beforeAutospacing="0" w:after="0" w:afterAutospacing="0" w:line="360" w:lineRule="auto"/>
        <w:ind w:firstLine="422"/>
        <w:jc w:val="both"/>
        <w:divId w:val="376974227"/>
        <w:rPr>
          <w:rFonts w:ascii="Times New Roman" w:hAnsi="Times New Roman" w:cs="Times New Roman"/>
          <w:sz w:val="21"/>
          <w:szCs w:val="21"/>
        </w:rPr>
      </w:pPr>
      <w:r w:rsidRPr="00672DC8">
        <w:rPr>
          <w:rStyle w:val="a4"/>
          <w:rFonts w:ascii="Times New Roman" w:hAnsi="Times New Roman" w:cs="Times New Roman"/>
          <w:sz w:val="21"/>
          <w:szCs w:val="21"/>
        </w:rPr>
        <w:t>26.2   </w:t>
      </w:r>
      <w:r w:rsidRPr="00672DC8">
        <w:rPr>
          <w:rStyle w:val="a4"/>
          <w:rFonts w:ascii="Times New Roman" w:hAnsi="Times New Roman" w:cs="Times New Roman"/>
          <w:sz w:val="21"/>
          <w:szCs w:val="21"/>
        </w:rPr>
        <w:t>借款费用资本化期间</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资本化期间，指从借款费用开始资本化时点到停止资本化时点的期间，借款费用暂停资本化的期间不包括在内。</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当购建或者生产符合资本化条件的资产达到预定可使用或者可销售状态时，借款费用停止资本化。</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当购建或者生产符合资本化条件的资产中部分项目分别完工且可单独使用时，该部分资产借款费用停止资本化。</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购建或者生产的资产的各部分分别完工，但必须等到整体完工后才可使用或可对外销售的，在该资产整体完工时停止借款费用资本化。</w:t>
      </w:r>
    </w:p>
    <w:p w:rsidR="000C0769" w:rsidRPr="00672DC8" w:rsidRDefault="000C0769">
      <w:pPr>
        <w:pStyle w:val="a3"/>
        <w:spacing w:before="0" w:beforeAutospacing="0" w:after="0" w:afterAutospacing="0" w:line="360" w:lineRule="auto"/>
        <w:ind w:firstLine="422"/>
        <w:jc w:val="both"/>
        <w:divId w:val="376974227"/>
        <w:rPr>
          <w:rFonts w:ascii="Times New Roman" w:hAnsi="Times New Roman" w:cs="Times New Roman"/>
          <w:sz w:val="21"/>
          <w:szCs w:val="21"/>
        </w:rPr>
      </w:pPr>
      <w:r w:rsidRPr="00672DC8">
        <w:rPr>
          <w:rStyle w:val="a4"/>
          <w:rFonts w:ascii="Times New Roman" w:hAnsi="Times New Roman" w:cs="Times New Roman"/>
          <w:sz w:val="21"/>
          <w:szCs w:val="21"/>
        </w:rPr>
        <w:t>26.3   </w:t>
      </w:r>
      <w:r w:rsidRPr="00672DC8">
        <w:rPr>
          <w:rStyle w:val="a4"/>
          <w:rFonts w:ascii="Times New Roman" w:hAnsi="Times New Roman" w:cs="Times New Roman"/>
          <w:sz w:val="21"/>
          <w:szCs w:val="21"/>
        </w:rPr>
        <w:t>暂停资本化期间</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lastRenderedPageBreak/>
        <w:t>符合资本化条件的资产在购建或生产过程中发生的非正常中断、且中断时间连续超过</w:t>
      </w:r>
      <w:r w:rsidRPr="00672DC8">
        <w:rPr>
          <w:rFonts w:ascii="Times New Roman" w:hAnsi="Times New Roman" w:cs="Times New Roman"/>
          <w:sz w:val="21"/>
          <w:szCs w:val="21"/>
        </w:rPr>
        <w:t>3</w:t>
      </w:r>
      <w:r w:rsidRPr="00672DC8">
        <w:rPr>
          <w:rFonts w:ascii="Times New Roman" w:hAnsi="Times New Roman" w:cs="Times New Roman"/>
          <w:sz w:val="21"/>
          <w:szCs w:val="21"/>
        </w:rPr>
        <w:t>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rsidR="000C0769" w:rsidRPr="00672DC8" w:rsidRDefault="000C0769">
      <w:pPr>
        <w:pStyle w:val="a3"/>
        <w:spacing w:before="0" w:beforeAutospacing="0" w:after="0" w:afterAutospacing="0" w:line="360" w:lineRule="auto"/>
        <w:ind w:firstLine="422"/>
        <w:jc w:val="both"/>
        <w:divId w:val="376974227"/>
        <w:rPr>
          <w:rFonts w:ascii="Times New Roman" w:hAnsi="Times New Roman" w:cs="Times New Roman"/>
          <w:sz w:val="21"/>
          <w:szCs w:val="21"/>
        </w:rPr>
      </w:pPr>
      <w:r w:rsidRPr="00672DC8">
        <w:rPr>
          <w:rStyle w:val="a4"/>
          <w:rFonts w:ascii="Times New Roman" w:hAnsi="Times New Roman" w:cs="Times New Roman"/>
          <w:sz w:val="21"/>
          <w:szCs w:val="21"/>
        </w:rPr>
        <w:t>26.4   </w:t>
      </w:r>
      <w:r w:rsidRPr="00672DC8">
        <w:rPr>
          <w:rStyle w:val="a4"/>
          <w:rFonts w:ascii="Times New Roman" w:hAnsi="Times New Roman" w:cs="Times New Roman"/>
          <w:sz w:val="21"/>
          <w:szCs w:val="21"/>
        </w:rPr>
        <w:t>借款费用资本化金额的计算方法</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专门借款的利息费用（扣除尚未动用的借款资金存入银行取得的利息收入或者进行暂时性投资取得的投资收益）及其辅助费用在所购建或者生产的符合资本化条件的资产达到预定可使用或者可销售状态前，予以资本化。</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根据累计资产支出超过专门借款部分的资产支出加权平均数乘以所占用一般借款的资本化率，计算确定一般借款应予资本化的利息金额。资本化率根据一般借款加权平均利率计算确定。</w:t>
      </w:r>
    </w:p>
    <w:p w:rsidR="000C0769" w:rsidRPr="00672DC8" w:rsidRDefault="000C0769">
      <w:pPr>
        <w:pStyle w:val="a3"/>
        <w:spacing w:before="0" w:beforeAutospacing="0" w:after="0" w:afterAutospacing="0" w:line="360" w:lineRule="auto"/>
        <w:ind w:firstLine="420"/>
        <w:jc w:val="both"/>
        <w:divId w:val="376974227"/>
        <w:rPr>
          <w:rFonts w:ascii="Times New Roman" w:hAnsi="Times New Roman" w:cs="Times New Roman"/>
          <w:sz w:val="21"/>
          <w:szCs w:val="21"/>
        </w:rPr>
      </w:pPr>
      <w:r w:rsidRPr="00672DC8">
        <w:rPr>
          <w:rFonts w:ascii="Times New Roman" w:hAnsi="Times New Roman" w:cs="Times New Roman"/>
          <w:sz w:val="21"/>
          <w:szCs w:val="21"/>
        </w:rPr>
        <w:t>借款存在折价或者溢价的，按照实际利率法确定每一会计期间应摊销的折价或者溢价金额，调整每期利息金额。</w:t>
      </w:r>
    </w:p>
    <w:p w:rsidR="003D2BA8" w:rsidRPr="00672DC8" w:rsidRDefault="000C0769">
      <w:pPr>
        <w:pStyle w:val="3"/>
        <w:spacing w:line="280" w:lineRule="exact"/>
        <w:jc w:val="left"/>
        <w:rPr>
          <w:rFonts w:ascii="Times New Roman" w:hAnsi="Times New Roman" w:cs="Times New Roman"/>
          <w:b/>
          <w:bCs/>
        </w:rPr>
      </w:pPr>
      <w:bookmarkStart w:id="159" w:name="_Toc989026"/>
      <w:r w:rsidRPr="00672DC8">
        <w:rPr>
          <w:rFonts w:ascii="Times New Roman" w:hAnsi="Times New Roman" w:cs="Times New Roman"/>
          <w:b/>
          <w:bCs/>
        </w:rPr>
        <w:t>27</w:t>
      </w:r>
      <w:r w:rsidRPr="00672DC8">
        <w:rPr>
          <w:rFonts w:ascii="Times New Roman" w:hAnsi="Times New Roman" w:cs="Times New Roman"/>
          <w:b/>
          <w:bCs/>
        </w:rPr>
        <w:t>、无形资产</w:t>
      </w:r>
      <w:bookmarkEnd w:id="159"/>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0" w:name="_Toc98902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使用寿命及其确定依据、估计情况、摊销方法或复核程序</w:t>
      </w:r>
      <w:bookmarkEnd w:id="160"/>
    </w:p>
    <w:p w:rsidR="000C0769" w:rsidRPr="00672DC8" w:rsidRDefault="000C0769">
      <w:pPr>
        <w:pStyle w:val="a3"/>
        <w:spacing w:before="0" w:beforeAutospacing="0" w:after="0" w:afterAutospacing="0" w:line="360" w:lineRule="auto"/>
        <w:ind w:firstLine="420"/>
        <w:jc w:val="both"/>
        <w:divId w:val="485173547"/>
        <w:rPr>
          <w:rFonts w:ascii="Times New Roman" w:hAnsi="Times New Roman" w:cs="Times New Roman"/>
          <w:sz w:val="21"/>
          <w:szCs w:val="21"/>
        </w:rPr>
      </w:pPr>
      <w:r w:rsidRPr="00672DC8">
        <w:rPr>
          <w:rFonts w:ascii="Times New Roman" w:hAnsi="Times New Roman" w:cs="Times New Roman"/>
          <w:sz w:val="21"/>
          <w:szCs w:val="21"/>
        </w:rPr>
        <w:t>无形资产按成本进行初始计量。与无形资产有关的支出，如果相关的经济利益很可能流入本公司且其成本能可靠地计量，则计入无形资产成本。除此以外的其他项目的支出，在发生时计入当期损益。</w:t>
      </w:r>
    </w:p>
    <w:p w:rsidR="000C0769" w:rsidRPr="00672DC8" w:rsidRDefault="000C0769">
      <w:pPr>
        <w:pStyle w:val="a3"/>
        <w:spacing w:before="0" w:beforeAutospacing="0" w:after="0" w:afterAutospacing="0" w:line="360" w:lineRule="auto"/>
        <w:ind w:firstLine="420"/>
        <w:jc w:val="both"/>
        <w:divId w:val="485173547"/>
        <w:rPr>
          <w:rFonts w:ascii="Times New Roman" w:hAnsi="Times New Roman" w:cs="Times New Roman"/>
          <w:sz w:val="21"/>
          <w:szCs w:val="21"/>
        </w:rPr>
      </w:pPr>
      <w:r w:rsidRPr="00672DC8">
        <w:rPr>
          <w:rFonts w:ascii="Times New Roman" w:hAnsi="Times New Roman" w:cs="Times New Roman"/>
          <w:sz w:val="21"/>
          <w:szCs w:val="21"/>
        </w:rPr>
        <w:t>取得的土地使用权通常作为无形资产核算。自行开发建造厂房等建筑物，相关的土地使用权支出和建筑物建造成本则分别作为无形资产和固定资产核算。如为外购的房屋及建筑物，则将有关价款在土地使用权和建筑物之间进行分配，难以合理分配的，全部作为固定资产处理。</w:t>
      </w:r>
    </w:p>
    <w:p w:rsidR="000C0769" w:rsidRPr="00672DC8" w:rsidRDefault="000C0769">
      <w:pPr>
        <w:pStyle w:val="a3"/>
        <w:spacing w:before="0" w:beforeAutospacing="0" w:after="0" w:afterAutospacing="0" w:line="360" w:lineRule="auto"/>
        <w:ind w:firstLine="420"/>
        <w:jc w:val="both"/>
        <w:divId w:val="485173547"/>
        <w:rPr>
          <w:rFonts w:ascii="Times New Roman" w:hAnsi="Times New Roman" w:cs="Times New Roman"/>
          <w:sz w:val="21"/>
          <w:szCs w:val="21"/>
        </w:rPr>
      </w:pPr>
      <w:r w:rsidRPr="00672DC8">
        <w:rPr>
          <w:rFonts w:ascii="Times New Roman" w:hAnsi="Times New Roman" w:cs="Times New Roman"/>
          <w:sz w:val="21"/>
          <w:szCs w:val="21"/>
        </w:rPr>
        <w:t>使用寿命有限的无形资产自可供使用时起，对其原值减去预计净残值和已计提的减值准备累计金额在其预计使用寿命内采用直线法分期平均摊销。</w:t>
      </w:r>
    </w:p>
    <w:tbl>
      <w:tblPr>
        <w:tblStyle w:val="aa"/>
        <w:tblW w:w="5000" w:type="pct"/>
        <w:tblLook w:val="04A0" w:firstRow="1" w:lastRow="0" w:firstColumn="1" w:lastColumn="0" w:noHBand="0" w:noVBand="1"/>
      </w:tblPr>
      <w:tblGrid>
        <w:gridCol w:w="4738"/>
        <w:gridCol w:w="4889"/>
      </w:tblGrid>
      <w:tr w:rsidR="000C0769" w:rsidRPr="00672DC8" w:rsidTr="009331D1">
        <w:trPr>
          <w:divId w:val="485173547"/>
          <w:trHeight w:val="284"/>
        </w:trPr>
        <w:tc>
          <w:tcPr>
            <w:tcW w:w="2461"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类别</w:t>
            </w:r>
          </w:p>
        </w:tc>
        <w:tc>
          <w:tcPr>
            <w:tcW w:w="2539"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摊销年限</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年</w:t>
            </w:r>
            <w:r w:rsidRPr="00672DC8">
              <w:rPr>
                <w:rStyle w:val="a4"/>
                <w:rFonts w:ascii="Times New Roman" w:hAnsi="Times New Roman" w:cs="Times New Roman"/>
                <w:sz w:val="21"/>
                <w:szCs w:val="21"/>
              </w:rPr>
              <w:t>)</w:t>
            </w:r>
          </w:p>
        </w:tc>
      </w:tr>
      <w:tr w:rsidR="000C0769" w:rsidRPr="00672DC8" w:rsidTr="009331D1">
        <w:trPr>
          <w:divId w:val="485173547"/>
          <w:trHeight w:val="284"/>
        </w:trPr>
        <w:tc>
          <w:tcPr>
            <w:tcW w:w="2461"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非专利技术</w:t>
            </w:r>
          </w:p>
        </w:tc>
        <w:tc>
          <w:tcPr>
            <w:tcW w:w="2539"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9331D1">
        <w:trPr>
          <w:divId w:val="485173547"/>
          <w:trHeight w:val="284"/>
        </w:trPr>
        <w:tc>
          <w:tcPr>
            <w:tcW w:w="2461"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著作权</w:t>
            </w:r>
          </w:p>
        </w:tc>
        <w:tc>
          <w:tcPr>
            <w:tcW w:w="2539"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9331D1">
        <w:trPr>
          <w:divId w:val="485173547"/>
          <w:trHeight w:val="264"/>
        </w:trPr>
        <w:tc>
          <w:tcPr>
            <w:tcW w:w="2461"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软件</w:t>
            </w:r>
          </w:p>
        </w:tc>
        <w:tc>
          <w:tcPr>
            <w:tcW w:w="2539"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9331D1">
        <w:trPr>
          <w:divId w:val="485173547"/>
          <w:trHeight w:val="284"/>
        </w:trPr>
        <w:tc>
          <w:tcPr>
            <w:tcW w:w="2461" w:type="pct"/>
            <w:hideMark/>
          </w:tcPr>
          <w:p w:rsidR="000C0769" w:rsidRPr="00672DC8" w:rsidRDefault="000C0769">
            <w:pPr>
              <w:pStyle w:val="a3"/>
              <w:spacing w:before="0" w:beforeAutospacing="0" w:after="0" w:afterAutospacing="0"/>
              <w:jc w:val="both"/>
              <w:rPr>
                <w:rFonts w:ascii="Times New Roman" w:hAnsi="Times New Roman" w:cs="Times New Roman"/>
                <w:sz w:val="21"/>
                <w:szCs w:val="21"/>
              </w:rPr>
            </w:pPr>
            <w:r w:rsidRPr="00672DC8">
              <w:rPr>
                <w:rFonts w:ascii="Times New Roman" w:hAnsi="Times New Roman" w:cs="Times New Roman"/>
                <w:sz w:val="21"/>
                <w:szCs w:val="21"/>
              </w:rPr>
              <w:t>数据资源</w:t>
            </w:r>
          </w:p>
        </w:tc>
        <w:tc>
          <w:tcPr>
            <w:tcW w:w="2539"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bl>
    <w:p w:rsidR="000C0769" w:rsidRPr="00672DC8" w:rsidRDefault="000C0769">
      <w:pPr>
        <w:pStyle w:val="a3"/>
        <w:spacing w:before="120" w:beforeAutospacing="0" w:after="0" w:afterAutospacing="0" w:line="360" w:lineRule="auto"/>
        <w:ind w:firstLine="420"/>
        <w:jc w:val="both"/>
        <w:divId w:val="485173547"/>
        <w:rPr>
          <w:rFonts w:ascii="Times New Roman" w:hAnsi="Times New Roman" w:cs="Times New Roman"/>
          <w:sz w:val="21"/>
          <w:szCs w:val="21"/>
        </w:rPr>
      </w:pPr>
      <w:r w:rsidRPr="00672DC8">
        <w:rPr>
          <w:rFonts w:ascii="Times New Roman" w:hAnsi="Times New Roman" w:cs="Times New Roman"/>
          <w:sz w:val="21"/>
          <w:szCs w:val="21"/>
        </w:rPr>
        <w:t>使用寿命不确定的无形资产不予摊销。</w:t>
      </w:r>
    </w:p>
    <w:p w:rsidR="000C0769" w:rsidRPr="00672DC8" w:rsidRDefault="000C0769">
      <w:pPr>
        <w:pStyle w:val="a3"/>
        <w:spacing w:before="0" w:beforeAutospacing="0" w:after="0" w:afterAutospacing="0" w:line="360" w:lineRule="auto"/>
        <w:ind w:firstLine="420"/>
        <w:jc w:val="both"/>
        <w:divId w:val="485173547"/>
        <w:rPr>
          <w:rFonts w:ascii="Times New Roman" w:hAnsi="Times New Roman" w:cs="Times New Roman"/>
          <w:sz w:val="21"/>
          <w:szCs w:val="21"/>
        </w:rPr>
      </w:pPr>
      <w:r w:rsidRPr="00672DC8">
        <w:rPr>
          <w:rFonts w:ascii="Times New Roman" w:hAnsi="Times New Roman" w:cs="Times New Roman"/>
          <w:sz w:val="21"/>
          <w:szCs w:val="21"/>
        </w:rPr>
        <w:t> </w:t>
      </w:r>
      <w:r w:rsidRPr="00672DC8">
        <w:rPr>
          <w:rFonts w:ascii="Times New Roman" w:hAnsi="Times New Roman" w:cs="Times New Roman"/>
          <w:sz w:val="21"/>
          <w:szCs w:val="21"/>
        </w:rPr>
        <w:t>期末，对使用寿命有限的无形资产的使用寿命和摊销方法进行复核，如发生变更则作为会计估计变更处理。此外，还对使用寿命不确定的无形资产的使用寿命进行复核，如果有证据表明该无形资产为企</w:t>
      </w:r>
      <w:r w:rsidRPr="00672DC8">
        <w:rPr>
          <w:rFonts w:ascii="Times New Roman" w:hAnsi="Times New Roman" w:cs="Times New Roman"/>
          <w:sz w:val="21"/>
          <w:szCs w:val="21"/>
        </w:rPr>
        <w:lastRenderedPageBreak/>
        <w:t>业带来经济利益的期限是可预见的，则估计其使用寿命并按照使用寿命有限的无形资产的摊销政策进行摊销。</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1" w:name="_Toc98902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研发支出的归集范围及相关会计处理方法</w:t>
      </w:r>
      <w:bookmarkEnd w:id="161"/>
    </w:p>
    <w:p w:rsidR="000C0769" w:rsidRPr="00672DC8" w:rsidRDefault="000C0769">
      <w:pPr>
        <w:pStyle w:val="a3"/>
        <w:spacing w:before="0" w:beforeAutospacing="0" w:after="0" w:afterAutospacing="0" w:line="360" w:lineRule="auto"/>
        <w:ind w:firstLine="420"/>
        <w:jc w:val="both"/>
        <w:divId w:val="2098596565"/>
        <w:rPr>
          <w:rFonts w:ascii="Times New Roman" w:hAnsi="Times New Roman" w:cs="Times New Roman"/>
          <w:sz w:val="21"/>
          <w:szCs w:val="21"/>
        </w:rPr>
      </w:pPr>
      <w:r w:rsidRPr="00672DC8">
        <w:rPr>
          <w:rFonts w:ascii="Times New Roman" w:hAnsi="Times New Roman" w:cs="Times New Roman"/>
          <w:sz w:val="21"/>
          <w:szCs w:val="21"/>
        </w:rPr>
        <w:t>本公司内部研究开发项目的支出分为研究阶段支出与开发阶段支出。</w:t>
      </w:r>
    </w:p>
    <w:p w:rsidR="000C0769" w:rsidRPr="00672DC8" w:rsidRDefault="000C0769">
      <w:pPr>
        <w:pStyle w:val="a3"/>
        <w:spacing w:before="0" w:beforeAutospacing="0" w:after="0" w:afterAutospacing="0" w:line="360" w:lineRule="auto"/>
        <w:ind w:firstLine="420"/>
        <w:jc w:val="both"/>
        <w:divId w:val="2098596565"/>
        <w:rPr>
          <w:rFonts w:ascii="Times New Roman" w:hAnsi="Times New Roman" w:cs="Times New Roman"/>
          <w:sz w:val="21"/>
          <w:szCs w:val="21"/>
        </w:rPr>
      </w:pPr>
      <w:r w:rsidRPr="00672DC8">
        <w:rPr>
          <w:rFonts w:ascii="Times New Roman" w:hAnsi="Times New Roman" w:cs="Times New Roman"/>
          <w:sz w:val="21"/>
          <w:szCs w:val="21"/>
        </w:rPr>
        <w:t>研究阶段的支出，于发生时计入当期损益。</w:t>
      </w:r>
    </w:p>
    <w:p w:rsidR="000C0769" w:rsidRPr="00672DC8" w:rsidRDefault="000C0769">
      <w:pPr>
        <w:pStyle w:val="a3"/>
        <w:spacing w:before="0" w:beforeAutospacing="0" w:after="0" w:afterAutospacing="0" w:line="360" w:lineRule="auto"/>
        <w:ind w:firstLine="420"/>
        <w:jc w:val="both"/>
        <w:divId w:val="2098596565"/>
        <w:rPr>
          <w:rFonts w:ascii="Times New Roman" w:hAnsi="Times New Roman" w:cs="Times New Roman"/>
          <w:sz w:val="21"/>
          <w:szCs w:val="21"/>
        </w:rPr>
      </w:pPr>
      <w:r w:rsidRPr="00672DC8">
        <w:rPr>
          <w:rFonts w:ascii="Times New Roman" w:hAnsi="Times New Roman" w:cs="Times New Roman"/>
          <w:sz w:val="21"/>
          <w:szCs w:val="21"/>
        </w:rPr>
        <w:t>开发阶段的支出同时满足下列条件的，确认为无形资产，不能满足下述条件的开发阶段的支出计入当期损益：</w:t>
      </w:r>
      <w:r w:rsidRPr="00672DC8">
        <w:rPr>
          <w:rFonts w:hint="eastAsia"/>
          <w:sz w:val="21"/>
          <w:szCs w:val="21"/>
        </w:rPr>
        <w:t>①</w:t>
      </w:r>
      <w:r w:rsidRPr="00672DC8">
        <w:rPr>
          <w:rFonts w:ascii="Times New Roman" w:hAnsi="Times New Roman" w:cs="Times New Roman"/>
          <w:sz w:val="21"/>
          <w:szCs w:val="21"/>
        </w:rPr>
        <w:t>完成该无形资产以使其能够使用或出售在技术上具有可行性；</w:t>
      </w:r>
      <w:r w:rsidRPr="00672DC8">
        <w:rPr>
          <w:rFonts w:hint="eastAsia"/>
          <w:sz w:val="21"/>
          <w:szCs w:val="21"/>
        </w:rPr>
        <w:t>②</w:t>
      </w:r>
      <w:r w:rsidRPr="00672DC8">
        <w:rPr>
          <w:rFonts w:ascii="Times New Roman" w:hAnsi="Times New Roman" w:cs="Times New Roman"/>
          <w:sz w:val="21"/>
          <w:szCs w:val="21"/>
        </w:rPr>
        <w:t>具有完成该无形资产并使用或出售的意图；</w:t>
      </w:r>
      <w:r w:rsidRPr="00672DC8">
        <w:rPr>
          <w:rFonts w:hint="eastAsia"/>
          <w:sz w:val="21"/>
          <w:szCs w:val="21"/>
        </w:rPr>
        <w:t>③</w:t>
      </w:r>
      <w:r w:rsidRPr="00672DC8">
        <w:rPr>
          <w:rFonts w:ascii="Times New Roman" w:hAnsi="Times New Roman" w:cs="Times New Roman"/>
          <w:sz w:val="21"/>
          <w:szCs w:val="21"/>
        </w:rPr>
        <w:t>无形资产产生经济利益的方式，包括能够证明运用该无形资产生产的产品存在市场或无形资产自身存在市场，无形资产将在内部使用的，能够证明其有用性；</w:t>
      </w:r>
      <w:r w:rsidRPr="00672DC8">
        <w:rPr>
          <w:rFonts w:hint="eastAsia"/>
          <w:sz w:val="21"/>
          <w:szCs w:val="21"/>
        </w:rPr>
        <w:t>④</w:t>
      </w:r>
      <w:r w:rsidRPr="00672DC8">
        <w:rPr>
          <w:rFonts w:ascii="Times New Roman" w:hAnsi="Times New Roman" w:cs="Times New Roman"/>
          <w:sz w:val="21"/>
          <w:szCs w:val="21"/>
        </w:rPr>
        <w:t>有足够的技术、财务资源和其他资源支持，以完成该无形资产的开发，并有能力使用或出售该无形资产；</w:t>
      </w:r>
      <w:r w:rsidRPr="00672DC8">
        <w:rPr>
          <w:rFonts w:hint="eastAsia"/>
          <w:sz w:val="21"/>
          <w:szCs w:val="21"/>
        </w:rPr>
        <w:t>⑤</w:t>
      </w:r>
      <w:r w:rsidRPr="00672DC8">
        <w:rPr>
          <w:rFonts w:ascii="Times New Roman" w:hAnsi="Times New Roman" w:cs="Times New Roman"/>
          <w:sz w:val="21"/>
          <w:szCs w:val="21"/>
        </w:rPr>
        <w:t>归属于该无形资产开发阶段的支出能够可靠地计量。</w:t>
      </w:r>
    </w:p>
    <w:p w:rsidR="000C0769" w:rsidRPr="00672DC8" w:rsidRDefault="000C0769">
      <w:pPr>
        <w:pStyle w:val="a3"/>
        <w:spacing w:before="0" w:beforeAutospacing="0" w:after="0" w:afterAutospacing="0" w:line="360" w:lineRule="auto"/>
        <w:ind w:firstLine="420"/>
        <w:jc w:val="both"/>
        <w:divId w:val="2098596565"/>
        <w:rPr>
          <w:rFonts w:ascii="Times New Roman" w:hAnsi="Times New Roman" w:cs="Times New Roman"/>
          <w:sz w:val="21"/>
          <w:szCs w:val="21"/>
        </w:rPr>
      </w:pPr>
      <w:r w:rsidRPr="00672DC8">
        <w:rPr>
          <w:rFonts w:ascii="Times New Roman" w:hAnsi="Times New Roman" w:cs="Times New Roman"/>
          <w:sz w:val="21"/>
          <w:szCs w:val="21"/>
        </w:rPr>
        <w:t>无法区分研究阶段支出和开发阶段支出的，将发生的研发支出全部计入当期损益。</w:t>
      </w:r>
    </w:p>
    <w:p w:rsidR="003D2BA8" w:rsidRPr="00672DC8" w:rsidRDefault="000C0769">
      <w:pPr>
        <w:pStyle w:val="3"/>
        <w:spacing w:line="280" w:lineRule="exact"/>
        <w:jc w:val="left"/>
        <w:rPr>
          <w:rFonts w:ascii="Times New Roman" w:hAnsi="Times New Roman" w:cs="Times New Roman"/>
          <w:b/>
          <w:bCs/>
        </w:rPr>
      </w:pPr>
      <w:bookmarkStart w:id="162" w:name="_Toc989029"/>
      <w:r w:rsidRPr="00672DC8">
        <w:rPr>
          <w:rFonts w:ascii="Times New Roman" w:hAnsi="Times New Roman" w:cs="Times New Roman"/>
          <w:b/>
          <w:bCs/>
        </w:rPr>
        <w:t>28</w:t>
      </w:r>
      <w:r w:rsidRPr="00672DC8">
        <w:rPr>
          <w:rFonts w:ascii="Times New Roman" w:hAnsi="Times New Roman" w:cs="Times New Roman"/>
          <w:b/>
          <w:bCs/>
        </w:rPr>
        <w:t>、长期资产减值</w:t>
      </w:r>
      <w:bookmarkEnd w:id="162"/>
    </w:p>
    <w:p w:rsidR="000C0769" w:rsidRPr="00672DC8" w:rsidRDefault="000C0769">
      <w:pPr>
        <w:pStyle w:val="a3"/>
        <w:spacing w:before="0" w:beforeAutospacing="0" w:after="0" w:afterAutospacing="0" w:line="360" w:lineRule="auto"/>
        <w:ind w:firstLine="420"/>
        <w:jc w:val="both"/>
        <w:divId w:val="185753094"/>
        <w:rPr>
          <w:rFonts w:ascii="Times New Roman" w:hAnsi="Times New Roman" w:cs="Times New Roman"/>
          <w:sz w:val="21"/>
          <w:szCs w:val="21"/>
        </w:rPr>
      </w:pPr>
      <w:r w:rsidRPr="00672DC8">
        <w:rPr>
          <w:rFonts w:ascii="Times New Roman" w:hAnsi="Times New Roman" w:cs="Times New Roman"/>
          <w:sz w:val="21"/>
          <w:szCs w:val="21"/>
        </w:rPr>
        <w:t>对于固定资产、在建工程、使用寿命有限的无形资产及对子公司、合营企业、联营企业的长期股权投资等非流动非金融资产，本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rsidR="000C0769" w:rsidRPr="00672DC8" w:rsidRDefault="000C0769">
      <w:pPr>
        <w:pStyle w:val="a3"/>
        <w:spacing w:before="0" w:beforeAutospacing="0" w:after="0" w:afterAutospacing="0" w:line="360" w:lineRule="auto"/>
        <w:ind w:firstLine="420"/>
        <w:jc w:val="both"/>
        <w:divId w:val="185753094"/>
        <w:rPr>
          <w:rFonts w:ascii="Times New Roman" w:hAnsi="Times New Roman" w:cs="Times New Roman"/>
          <w:sz w:val="21"/>
          <w:szCs w:val="21"/>
        </w:rPr>
      </w:pPr>
      <w:r w:rsidRPr="00672DC8">
        <w:rPr>
          <w:rFonts w:ascii="Times New Roman" w:hAnsi="Times New Roman" w:cs="Times New Roman"/>
          <w:sz w:val="21"/>
          <w:szCs w:val="21"/>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rsidR="000C0769" w:rsidRPr="00672DC8" w:rsidRDefault="000C0769">
      <w:pPr>
        <w:pStyle w:val="a3"/>
        <w:spacing w:before="0" w:beforeAutospacing="0" w:after="0" w:afterAutospacing="0" w:line="360" w:lineRule="auto"/>
        <w:ind w:firstLine="420"/>
        <w:jc w:val="both"/>
        <w:divId w:val="185753094"/>
        <w:rPr>
          <w:rFonts w:ascii="Times New Roman" w:hAnsi="Times New Roman" w:cs="Times New Roman"/>
          <w:sz w:val="21"/>
          <w:szCs w:val="21"/>
        </w:rPr>
      </w:pPr>
      <w:r w:rsidRPr="00672DC8">
        <w:rPr>
          <w:rFonts w:ascii="Times New Roman" w:hAnsi="Times New Roman" w:cs="Times New Roman"/>
          <w:sz w:val="21"/>
          <w:szCs w:val="21"/>
        </w:rPr>
        <w:t>在财务报表中单独列示的商誉，在进行减值测试时，将商誉的账面价值分摊至预期从企业合并的协同效应中受益的资产组或资产组组合。测试结果表明包含分摊的商誉的资产组或资产组组合的可收回金</w:t>
      </w:r>
      <w:r w:rsidRPr="00672DC8">
        <w:rPr>
          <w:rFonts w:ascii="Times New Roman" w:hAnsi="Times New Roman" w:cs="Times New Roman"/>
          <w:sz w:val="21"/>
          <w:szCs w:val="21"/>
        </w:rPr>
        <w:lastRenderedPageBreak/>
        <w:t>额低于其账面价值的，确认相应的减值损失。减值损失金额先抵减分摊至该资产组或资产组组合的商誉的账面价值，再根据资产组或资产组组合中除商誉以外的其他各项资产的账面价值所占比重，按比例抵减其他各项资产的账面价值。</w:t>
      </w:r>
    </w:p>
    <w:p w:rsidR="000C0769" w:rsidRPr="00672DC8" w:rsidRDefault="000C0769">
      <w:pPr>
        <w:pStyle w:val="a3"/>
        <w:spacing w:before="0" w:beforeAutospacing="0" w:after="0" w:afterAutospacing="0" w:line="360" w:lineRule="auto"/>
        <w:ind w:firstLine="420"/>
        <w:jc w:val="both"/>
        <w:divId w:val="185753094"/>
        <w:rPr>
          <w:rFonts w:ascii="Times New Roman" w:hAnsi="Times New Roman" w:cs="Times New Roman"/>
          <w:sz w:val="21"/>
          <w:szCs w:val="21"/>
        </w:rPr>
      </w:pPr>
      <w:r w:rsidRPr="00672DC8">
        <w:rPr>
          <w:rFonts w:ascii="Times New Roman" w:hAnsi="Times New Roman" w:cs="Times New Roman"/>
          <w:sz w:val="21"/>
          <w:szCs w:val="21"/>
        </w:rPr>
        <w:t>上述资产减值损失一经确认，以后期间不予转回价值得以恢复的部分。</w:t>
      </w:r>
    </w:p>
    <w:p w:rsidR="003D2BA8" w:rsidRPr="00672DC8" w:rsidRDefault="000C0769">
      <w:pPr>
        <w:pStyle w:val="3"/>
        <w:spacing w:line="280" w:lineRule="exact"/>
        <w:jc w:val="left"/>
        <w:rPr>
          <w:rFonts w:ascii="Times New Roman" w:hAnsi="Times New Roman" w:cs="Times New Roman"/>
          <w:b/>
          <w:bCs/>
        </w:rPr>
      </w:pPr>
      <w:bookmarkStart w:id="163" w:name="_Toc989030"/>
      <w:r w:rsidRPr="00672DC8">
        <w:rPr>
          <w:rFonts w:ascii="Times New Roman" w:hAnsi="Times New Roman" w:cs="Times New Roman"/>
          <w:b/>
          <w:bCs/>
        </w:rPr>
        <w:t>29</w:t>
      </w:r>
      <w:r w:rsidRPr="00672DC8">
        <w:rPr>
          <w:rFonts w:ascii="Times New Roman" w:hAnsi="Times New Roman" w:cs="Times New Roman"/>
          <w:b/>
          <w:bCs/>
        </w:rPr>
        <w:t>、长期待摊费用</w:t>
      </w:r>
      <w:bookmarkEnd w:id="163"/>
    </w:p>
    <w:p w:rsidR="000C0769" w:rsidRPr="00672DC8" w:rsidRDefault="000C0769">
      <w:pPr>
        <w:pStyle w:val="a3"/>
        <w:spacing w:before="0" w:beforeAutospacing="0" w:after="0" w:afterAutospacing="0" w:line="360" w:lineRule="auto"/>
        <w:ind w:firstLine="420"/>
        <w:jc w:val="both"/>
        <w:divId w:val="1005328437"/>
        <w:rPr>
          <w:rFonts w:ascii="Times New Roman" w:hAnsi="Times New Roman" w:cs="Times New Roman"/>
          <w:sz w:val="21"/>
          <w:szCs w:val="21"/>
        </w:rPr>
      </w:pPr>
      <w:r w:rsidRPr="00672DC8">
        <w:rPr>
          <w:rFonts w:ascii="Times New Roman" w:hAnsi="Times New Roman" w:cs="Times New Roman"/>
          <w:sz w:val="21"/>
          <w:szCs w:val="21"/>
        </w:rPr>
        <w:t>长期待摊费用为已经发生但应由报告期和以后各期负担的分摊期限在一年以上的各项费用。本公司的长期待摊费用主要包括办公室装修费用、项目配电室供电线路改造等。</w:t>
      </w:r>
    </w:p>
    <w:p w:rsidR="000C0769" w:rsidRPr="00672DC8" w:rsidRDefault="000C0769">
      <w:pPr>
        <w:pStyle w:val="a3"/>
        <w:spacing w:before="0" w:beforeAutospacing="0" w:after="0" w:afterAutospacing="0" w:line="360" w:lineRule="auto"/>
        <w:ind w:firstLine="420"/>
        <w:jc w:val="both"/>
        <w:divId w:val="1005328437"/>
        <w:rPr>
          <w:rFonts w:ascii="Times New Roman" w:hAnsi="Times New Roman" w:cs="Times New Roman"/>
          <w:sz w:val="21"/>
          <w:szCs w:val="21"/>
        </w:rPr>
      </w:pPr>
      <w:r w:rsidRPr="00672DC8">
        <w:rPr>
          <w:rFonts w:ascii="Times New Roman" w:hAnsi="Times New Roman" w:cs="Times New Roman"/>
          <w:sz w:val="21"/>
          <w:szCs w:val="21"/>
        </w:rPr>
        <w:t>长期待摊费用在预计受益期间按直线法摊销，各项费用摊销的年限如下：</w:t>
      </w:r>
    </w:p>
    <w:tbl>
      <w:tblPr>
        <w:tblStyle w:val="aa"/>
        <w:tblW w:w="5298" w:type="pct"/>
        <w:tblLook w:val="04A0" w:firstRow="1" w:lastRow="0" w:firstColumn="1" w:lastColumn="0" w:noHBand="0" w:noVBand="1"/>
        <w:tblCaption w:val="F:\中审亚太\广州星云\审计报告|4-财务报表附注.xlsx|W附注模板|_jds15|0|desc|||0|1"/>
      </w:tblPr>
      <w:tblGrid>
        <w:gridCol w:w="5088"/>
        <w:gridCol w:w="5113"/>
      </w:tblGrid>
      <w:tr w:rsidR="000C0769" w:rsidRPr="00672DC8" w:rsidTr="00E3081C">
        <w:trPr>
          <w:divId w:val="1005328437"/>
          <w:trHeight w:val="227"/>
        </w:trPr>
        <w:tc>
          <w:tcPr>
            <w:tcW w:w="2494"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项目</w:t>
            </w:r>
          </w:p>
        </w:tc>
        <w:tc>
          <w:tcPr>
            <w:tcW w:w="2506" w:type="pct"/>
            <w:shd w:val="clear" w:color="auto" w:fill="BFBFBF" w:themeFill="background1" w:themeFillShade="BF"/>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Style w:val="a4"/>
                <w:rFonts w:ascii="Times New Roman" w:hAnsi="Times New Roman" w:cs="Times New Roman"/>
                <w:sz w:val="21"/>
                <w:szCs w:val="21"/>
              </w:rPr>
              <w:t>摊销年限</w:t>
            </w: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年</w:t>
            </w:r>
            <w:r w:rsidRPr="00672DC8">
              <w:rPr>
                <w:rStyle w:val="a4"/>
                <w:rFonts w:ascii="Times New Roman" w:hAnsi="Times New Roman" w:cs="Times New Roman"/>
                <w:sz w:val="21"/>
                <w:szCs w:val="21"/>
              </w:rPr>
              <w:t>)</w:t>
            </w:r>
          </w:p>
        </w:tc>
      </w:tr>
      <w:tr w:rsidR="000C0769" w:rsidRPr="00672DC8" w:rsidTr="00E3081C">
        <w:trPr>
          <w:divId w:val="1005328437"/>
          <w:trHeight w:val="227"/>
        </w:trPr>
        <w:tc>
          <w:tcPr>
            <w:tcW w:w="2494"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装修费用</w:t>
            </w:r>
          </w:p>
        </w:tc>
        <w:tc>
          <w:tcPr>
            <w:tcW w:w="2506"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E3081C">
        <w:trPr>
          <w:divId w:val="1005328437"/>
          <w:trHeight w:val="227"/>
        </w:trPr>
        <w:tc>
          <w:tcPr>
            <w:tcW w:w="2494"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软件实施费</w:t>
            </w:r>
          </w:p>
        </w:tc>
        <w:tc>
          <w:tcPr>
            <w:tcW w:w="2506"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5</w:t>
            </w:r>
          </w:p>
        </w:tc>
      </w:tr>
      <w:tr w:rsidR="000C0769" w:rsidRPr="00672DC8" w:rsidTr="00E3081C">
        <w:trPr>
          <w:divId w:val="1005328437"/>
          <w:trHeight w:val="227"/>
        </w:trPr>
        <w:tc>
          <w:tcPr>
            <w:tcW w:w="2494" w:type="pct"/>
            <w:hideMark/>
          </w:tcPr>
          <w:p w:rsidR="000C0769" w:rsidRPr="00672DC8" w:rsidRDefault="000C0769">
            <w:pPr>
              <w:pStyle w:val="a3"/>
              <w:spacing w:before="0" w:beforeAutospacing="0" w:after="0" w:afterAutospacing="0"/>
              <w:rPr>
                <w:rFonts w:ascii="Times New Roman" w:hAnsi="Times New Roman" w:cs="Times New Roman"/>
                <w:sz w:val="21"/>
                <w:szCs w:val="21"/>
              </w:rPr>
            </w:pPr>
            <w:r w:rsidRPr="00672DC8">
              <w:rPr>
                <w:rFonts w:ascii="Times New Roman" w:hAnsi="Times New Roman" w:cs="Times New Roman"/>
                <w:sz w:val="21"/>
                <w:szCs w:val="21"/>
              </w:rPr>
              <w:t>配电室供电线路改造</w:t>
            </w:r>
          </w:p>
        </w:tc>
        <w:tc>
          <w:tcPr>
            <w:tcW w:w="2506" w:type="pct"/>
            <w:hideMark/>
          </w:tcPr>
          <w:p w:rsidR="000C0769" w:rsidRPr="00672DC8" w:rsidRDefault="000C0769">
            <w:pPr>
              <w:pStyle w:val="a3"/>
              <w:spacing w:before="0" w:beforeAutospacing="0" w:after="0" w:afterAutospacing="0"/>
              <w:jc w:val="center"/>
              <w:rPr>
                <w:rFonts w:ascii="Times New Roman" w:hAnsi="Times New Roman" w:cs="Times New Roman"/>
                <w:sz w:val="21"/>
                <w:szCs w:val="21"/>
              </w:rPr>
            </w:pPr>
            <w:r w:rsidRPr="00672DC8">
              <w:rPr>
                <w:rFonts w:ascii="Times New Roman" w:hAnsi="Times New Roman" w:cs="Times New Roman"/>
                <w:sz w:val="21"/>
                <w:szCs w:val="21"/>
              </w:rPr>
              <w:t>10</w:t>
            </w:r>
          </w:p>
        </w:tc>
      </w:tr>
    </w:tbl>
    <w:p w:rsidR="003D2BA8" w:rsidRPr="00672DC8" w:rsidRDefault="000C0769">
      <w:pPr>
        <w:pStyle w:val="3"/>
        <w:spacing w:line="280" w:lineRule="exact"/>
        <w:jc w:val="left"/>
        <w:rPr>
          <w:rFonts w:ascii="Times New Roman" w:hAnsi="Times New Roman" w:cs="Times New Roman"/>
          <w:b/>
          <w:bCs/>
        </w:rPr>
      </w:pPr>
      <w:bookmarkStart w:id="164" w:name="_Toc989031"/>
      <w:r w:rsidRPr="00672DC8">
        <w:rPr>
          <w:rFonts w:ascii="Times New Roman" w:hAnsi="Times New Roman" w:cs="Times New Roman"/>
          <w:b/>
          <w:bCs/>
        </w:rPr>
        <w:t>30</w:t>
      </w:r>
      <w:r w:rsidRPr="00672DC8">
        <w:rPr>
          <w:rFonts w:ascii="Times New Roman" w:hAnsi="Times New Roman" w:cs="Times New Roman"/>
          <w:b/>
          <w:bCs/>
        </w:rPr>
        <w:t>、合同负债</w:t>
      </w:r>
      <w:bookmarkEnd w:id="164"/>
    </w:p>
    <w:p w:rsidR="000C0769" w:rsidRPr="00672DC8" w:rsidRDefault="000C0769">
      <w:pPr>
        <w:pStyle w:val="a3"/>
        <w:spacing w:before="0" w:beforeAutospacing="0" w:after="0" w:afterAutospacing="0" w:line="360" w:lineRule="auto"/>
        <w:ind w:firstLine="420"/>
        <w:jc w:val="both"/>
        <w:divId w:val="781152264"/>
        <w:rPr>
          <w:rFonts w:ascii="Times New Roman" w:hAnsi="Times New Roman" w:cs="Times New Roman"/>
          <w:sz w:val="21"/>
          <w:szCs w:val="21"/>
        </w:rPr>
      </w:pPr>
      <w:r w:rsidRPr="00672DC8">
        <w:rPr>
          <w:rFonts w:ascii="Times New Roman" w:hAnsi="Times New Roman" w:cs="Times New Roman"/>
          <w:sz w:val="21"/>
          <w:szCs w:val="21"/>
        </w:rPr>
        <w:t>合同负债，是指本公司已收或应收客户对价而应向客户转让商品的义务。如果在本公司向客户转让商品之前，客户已经支付了合同对价或本公司已经取得了无条件收款权，本公司在客户实际支付款项和到期应支付款项孰早时点，将该已收或应收款项列示为合同负债。同一合同下的合同资产和合同负债以净额列示，不同合同下的合同资产和合同负债不予抵销。</w:t>
      </w:r>
    </w:p>
    <w:p w:rsidR="003D2BA8" w:rsidRPr="00672DC8" w:rsidRDefault="000C0769">
      <w:pPr>
        <w:pStyle w:val="3"/>
        <w:spacing w:line="280" w:lineRule="exact"/>
        <w:jc w:val="left"/>
        <w:rPr>
          <w:rFonts w:ascii="Times New Roman" w:hAnsi="Times New Roman" w:cs="Times New Roman"/>
          <w:b/>
          <w:bCs/>
        </w:rPr>
      </w:pPr>
      <w:bookmarkStart w:id="165" w:name="_Toc989032"/>
      <w:r w:rsidRPr="00672DC8">
        <w:rPr>
          <w:rFonts w:ascii="Times New Roman" w:hAnsi="Times New Roman" w:cs="Times New Roman"/>
          <w:b/>
          <w:bCs/>
        </w:rPr>
        <w:t>31</w:t>
      </w:r>
      <w:r w:rsidRPr="00672DC8">
        <w:rPr>
          <w:rFonts w:ascii="Times New Roman" w:hAnsi="Times New Roman" w:cs="Times New Roman"/>
          <w:b/>
          <w:bCs/>
        </w:rPr>
        <w:t>、职工薪酬</w:t>
      </w:r>
      <w:bookmarkEnd w:id="165"/>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6" w:name="_Toc98903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短期薪酬的会计处理方法</w:t>
      </w:r>
      <w:bookmarkEnd w:id="166"/>
    </w:p>
    <w:p w:rsidR="000C0769" w:rsidRPr="00672DC8" w:rsidRDefault="000C0769">
      <w:pPr>
        <w:pStyle w:val="a3"/>
        <w:divId w:val="141311669"/>
        <w:rPr>
          <w:rFonts w:ascii="Times New Roman" w:hAnsi="Times New Roman" w:cs="Times New Roman"/>
          <w:sz w:val="18"/>
          <w:szCs w:val="18"/>
        </w:rPr>
      </w:pPr>
      <w:r w:rsidRPr="00672DC8">
        <w:rPr>
          <w:rFonts w:ascii="Times New Roman" w:hAnsi="Times New Roman" w:cs="Times New Roman"/>
          <w:sz w:val="21"/>
          <w:szCs w:val="21"/>
        </w:rPr>
        <w:t xml:space="preserve">  </w:t>
      </w:r>
      <w:r w:rsidRPr="00672DC8">
        <w:rPr>
          <w:rFonts w:ascii="Times New Roman" w:hAnsi="Times New Roman" w:cs="Times New Roman"/>
          <w:sz w:val="21"/>
          <w:szCs w:val="21"/>
        </w:rPr>
        <w:t>短期薪酬主要包括工资、奖金、津贴和补贴、职工福利费、医疗保险费、生育保险费、工伤保险费、住房公积金、工会经费和职工教育经费、非货币性福利等。本公司在职工为本公司提供服务的会计期间将实际发生的短期职工薪酬确认为负债，并计入当期损益或相关资产成本。其中非货币性福利按公允价值计量。</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7" w:name="_Toc98903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离职后福利的会计处理方法</w:t>
      </w:r>
      <w:bookmarkEnd w:id="167"/>
    </w:p>
    <w:p w:rsidR="000C0769" w:rsidRPr="00672DC8" w:rsidRDefault="000C0769">
      <w:pPr>
        <w:pStyle w:val="a3"/>
        <w:spacing w:before="0" w:beforeAutospacing="0" w:after="0" w:afterAutospacing="0" w:line="360" w:lineRule="auto"/>
        <w:ind w:firstLine="420"/>
        <w:jc w:val="both"/>
        <w:divId w:val="1159810588"/>
        <w:rPr>
          <w:rFonts w:ascii="Times New Roman" w:hAnsi="Times New Roman" w:cs="Times New Roman"/>
          <w:sz w:val="21"/>
          <w:szCs w:val="21"/>
        </w:rPr>
      </w:pPr>
      <w:r w:rsidRPr="00672DC8">
        <w:rPr>
          <w:rFonts w:ascii="Times New Roman" w:hAnsi="Times New Roman" w:cs="Times New Roman"/>
          <w:sz w:val="21"/>
          <w:szCs w:val="21"/>
        </w:rPr>
        <w:t>离职后福利主要包括基本养老保险、失业保险以及年金等。离职后福利计划包括设定提存计划。采用设定提存计划的，相应的应缴存金额于发生时计入相关资产成本或当期损益。</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8" w:name="_Toc989035"/>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辞退福利的会计处理方法</w:t>
      </w:r>
      <w:bookmarkEnd w:id="168"/>
    </w:p>
    <w:p w:rsidR="000C0769" w:rsidRPr="00672DC8" w:rsidRDefault="000C0769">
      <w:pPr>
        <w:pStyle w:val="a3"/>
        <w:spacing w:before="0" w:beforeAutospacing="0" w:after="0" w:afterAutospacing="0" w:line="360" w:lineRule="auto"/>
        <w:ind w:firstLine="420"/>
        <w:jc w:val="both"/>
        <w:divId w:val="525487078"/>
        <w:rPr>
          <w:rFonts w:ascii="Times New Roman" w:hAnsi="Times New Roman" w:cs="Times New Roman"/>
          <w:sz w:val="21"/>
          <w:szCs w:val="21"/>
        </w:rPr>
      </w:pPr>
      <w:r w:rsidRPr="00672DC8">
        <w:rPr>
          <w:rFonts w:ascii="Times New Roman" w:hAnsi="Times New Roman" w:cs="Times New Roman"/>
          <w:sz w:val="21"/>
          <w:szCs w:val="21"/>
        </w:rPr>
        <w:t>在职工劳动合同到期之前解除与职工的劳动关系，或为鼓励职工自愿接受裁减而提出给予补偿的建议，在本公司不能单方面撤回因解除劳动关系计划或裁减建议所提供的辞退福利时，和本公司确认与涉及支付辞退福利的重组相关的成本两者孰早日，确认辞退福利产生的职工薪酬负债，并计入当期损益。但辞退福利预期在年度报告期结束后十二个月不能完全支付的，按照其他长期职工薪酬处理。</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69" w:name="_Toc98903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其他长期职工福利的会计处理方法</w:t>
      </w:r>
      <w:bookmarkEnd w:id="169"/>
    </w:p>
    <w:p w:rsidR="000C0769" w:rsidRPr="00672DC8" w:rsidRDefault="000C0769">
      <w:pPr>
        <w:pStyle w:val="a3"/>
        <w:spacing w:before="0" w:beforeAutospacing="0" w:after="0" w:afterAutospacing="0" w:line="360" w:lineRule="auto"/>
        <w:ind w:firstLine="420"/>
        <w:jc w:val="both"/>
        <w:divId w:val="1455900381"/>
        <w:rPr>
          <w:rFonts w:ascii="Times New Roman" w:hAnsi="Times New Roman" w:cs="Times New Roman"/>
          <w:sz w:val="21"/>
          <w:szCs w:val="21"/>
        </w:rPr>
      </w:pPr>
      <w:r w:rsidRPr="00672DC8">
        <w:rPr>
          <w:rFonts w:ascii="Times New Roman" w:hAnsi="Times New Roman" w:cs="Times New Roman"/>
          <w:sz w:val="21"/>
          <w:szCs w:val="21"/>
        </w:rPr>
        <w:t>本公司向职工提供的其他长期职工福利，符合设定提存计划的，按照设定提存计划进行会计处理，除此之外按照设定受益计划进行会计处理。</w:t>
      </w:r>
    </w:p>
    <w:p w:rsidR="003D2BA8" w:rsidRPr="00672DC8" w:rsidRDefault="000C0769">
      <w:pPr>
        <w:pStyle w:val="3"/>
        <w:spacing w:line="280" w:lineRule="exact"/>
        <w:jc w:val="left"/>
        <w:rPr>
          <w:rFonts w:ascii="Times New Roman" w:hAnsi="Times New Roman" w:cs="Times New Roman"/>
          <w:b/>
          <w:bCs/>
        </w:rPr>
      </w:pPr>
      <w:bookmarkStart w:id="170" w:name="_Toc989037"/>
      <w:r w:rsidRPr="00672DC8">
        <w:rPr>
          <w:rFonts w:ascii="Times New Roman" w:hAnsi="Times New Roman" w:cs="Times New Roman"/>
          <w:b/>
          <w:bCs/>
        </w:rPr>
        <w:t>32</w:t>
      </w:r>
      <w:r w:rsidRPr="00672DC8">
        <w:rPr>
          <w:rFonts w:ascii="Times New Roman" w:hAnsi="Times New Roman" w:cs="Times New Roman"/>
          <w:b/>
          <w:bCs/>
        </w:rPr>
        <w:t>、预计负债</w:t>
      </w:r>
      <w:bookmarkEnd w:id="170"/>
    </w:p>
    <w:p w:rsidR="000C0769" w:rsidRPr="00672DC8" w:rsidRDefault="000C0769">
      <w:pPr>
        <w:pStyle w:val="a3"/>
        <w:spacing w:before="0" w:beforeAutospacing="0" w:after="0" w:afterAutospacing="0" w:line="360" w:lineRule="auto"/>
        <w:ind w:firstLine="420"/>
        <w:jc w:val="both"/>
        <w:divId w:val="519591277"/>
        <w:rPr>
          <w:rFonts w:ascii="Times New Roman" w:hAnsi="Times New Roman" w:cs="Times New Roman"/>
          <w:sz w:val="21"/>
          <w:szCs w:val="21"/>
        </w:rPr>
      </w:pPr>
      <w:r w:rsidRPr="00672DC8">
        <w:rPr>
          <w:rFonts w:ascii="Times New Roman" w:hAnsi="Times New Roman" w:cs="Times New Roman"/>
          <w:sz w:val="21"/>
          <w:szCs w:val="21"/>
        </w:rPr>
        <w:t>当与或有事项相关的义务同时符合以下条件，确认为预计负债：（</w:t>
      </w:r>
      <w:r w:rsidRPr="00672DC8">
        <w:rPr>
          <w:rFonts w:ascii="Times New Roman" w:hAnsi="Times New Roman" w:cs="Times New Roman"/>
          <w:sz w:val="21"/>
          <w:szCs w:val="21"/>
        </w:rPr>
        <w:t>1</w:t>
      </w:r>
      <w:r w:rsidRPr="00672DC8">
        <w:rPr>
          <w:rFonts w:ascii="Times New Roman" w:hAnsi="Times New Roman" w:cs="Times New Roman"/>
          <w:sz w:val="21"/>
          <w:szCs w:val="21"/>
        </w:rPr>
        <w:t>）该义务是本公司承担的现时义务；（</w:t>
      </w:r>
      <w:r w:rsidRPr="00672DC8">
        <w:rPr>
          <w:rFonts w:ascii="Times New Roman" w:hAnsi="Times New Roman" w:cs="Times New Roman"/>
          <w:sz w:val="21"/>
          <w:szCs w:val="21"/>
        </w:rPr>
        <w:t>2</w:t>
      </w:r>
      <w:r w:rsidRPr="00672DC8">
        <w:rPr>
          <w:rFonts w:ascii="Times New Roman" w:hAnsi="Times New Roman" w:cs="Times New Roman"/>
          <w:sz w:val="21"/>
          <w:szCs w:val="21"/>
        </w:rPr>
        <w:t>）履行该义务很可能导致经济利益流出；（</w:t>
      </w:r>
      <w:r w:rsidRPr="00672DC8">
        <w:rPr>
          <w:rFonts w:ascii="Times New Roman" w:hAnsi="Times New Roman" w:cs="Times New Roman"/>
          <w:sz w:val="21"/>
          <w:szCs w:val="21"/>
        </w:rPr>
        <w:t>3</w:t>
      </w:r>
      <w:r w:rsidRPr="00672DC8">
        <w:rPr>
          <w:rFonts w:ascii="Times New Roman" w:hAnsi="Times New Roman" w:cs="Times New Roman"/>
          <w:sz w:val="21"/>
          <w:szCs w:val="21"/>
        </w:rPr>
        <w:t>）该义务的金额能够可靠地计量。</w:t>
      </w:r>
    </w:p>
    <w:p w:rsidR="000C0769" w:rsidRPr="00672DC8" w:rsidRDefault="000C0769">
      <w:pPr>
        <w:pStyle w:val="a3"/>
        <w:spacing w:before="0" w:beforeAutospacing="0" w:after="0" w:afterAutospacing="0" w:line="360" w:lineRule="auto"/>
        <w:ind w:firstLine="420"/>
        <w:jc w:val="both"/>
        <w:divId w:val="519591277"/>
        <w:rPr>
          <w:rFonts w:ascii="Times New Roman" w:hAnsi="Times New Roman" w:cs="Times New Roman"/>
          <w:sz w:val="21"/>
          <w:szCs w:val="21"/>
        </w:rPr>
      </w:pPr>
      <w:r w:rsidRPr="00672DC8">
        <w:rPr>
          <w:rFonts w:ascii="Times New Roman" w:hAnsi="Times New Roman" w:cs="Times New Roman"/>
          <w:sz w:val="21"/>
          <w:szCs w:val="21"/>
        </w:rPr>
        <w:t>在资产负债表日，考虑与或有事项有关的风险、不确定性和货币时间价值等因素，按照履行相关现时义务所需支出的最佳估计数对预计负债进行计量。</w:t>
      </w:r>
    </w:p>
    <w:p w:rsidR="000C0769" w:rsidRPr="00672DC8" w:rsidRDefault="000C0769">
      <w:pPr>
        <w:pStyle w:val="a3"/>
        <w:spacing w:before="0" w:beforeAutospacing="0" w:after="0" w:afterAutospacing="0" w:line="360" w:lineRule="auto"/>
        <w:ind w:firstLine="420"/>
        <w:jc w:val="both"/>
        <w:divId w:val="519591277"/>
        <w:rPr>
          <w:rFonts w:ascii="Times New Roman" w:hAnsi="Times New Roman" w:cs="Times New Roman"/>
          <w:sz w:val="21"/>
          <w:szCs w:val="21"/>
        </w:rPr>
      </w:pPr>
      <w:r w:rsidRPr="00672DC8">
        <w:rPr>
          <w:rFonts w:ascii="Times New Roman" w:hAnsi="Times New Roman" w:cs="Times New Roman"/>
          <w:sz w:val="21"/>
          <w:szCs w:val="21"/>
        </w:rPr>
        <w:t>如果清偿预计负债所需支出全部或部分预期由第三方补偿的，补偿金额在基本确定能够收到时，作为资产单独确认，且确认的补偿金额不超过预计负债的账面价值。</w:t>
      </w:r>
    </w:p>
    <w:p w:rsidR="003D2BA8" w:rsidRPr="00672DC8" w:rsidRDefault="000C0769">
      <w:pPr>
        <w:pStyle w:val="3"/>
        <w:spacing w:line="280" w:lineRule="exact"/>
        <w:jc w:val="left"/>
        <w:rPr>
          <w:rFonts w:ascii="Times New Roman" w:hAnsi="Times New Roman" w:cs="Times New Roman"/>
          <w:b/>
          <w:bCs/>
        </w:rPr>
      </w:pPr>
      <w:bookmarkStart w:id="171" w:name="_Toc989038"/>
      <w:r w:rsidRPr="00672DC8">
        <w:rPr>
          <w:rFonts w:ascii="Times New Roman" w:hAnsi="Times New Roman" w:cs="Times New Roman"/>
          <w:b/>
          <w:bCs/>
        </w:rPr>
        <w:t>33</w:t>
      </w:r>
      <w:r w:rsidRPr="00672DC8">
        <w:rPr>
          <w:rFonts w:ascii="Times New Roman" w:hAnsi="Times New Roman" w:cs="Times New Roman"/>
          <w:b/>
          <w:bCs/>
        </w:rPr>
        <w:t>、股份支付</w:t>
      </w:r>
      <w:bookmarkEnd w:id="171"/>
    </w:p>
    <w:p w:rsidR="000C0769" w:rsidRPr="00672DC8" w:rsidRDefault="000C0769">
      <w:pPr>
        <w:pStyle w:val="a3"/>
        <w:spacing w:before="0" w:beforeAutospacing="0" w:after="0" w:afterAutospacing="0" w:line="360" w:lineRule="auto"/>
        <w:ind w:firstLine="422"/>
        <w:jc w:val="both"/>
        <w:divId w:val="1477575912"/>
        <w:rPr>
          <w:rFonts w:ascii="Times New Roman" w:hAnsi="Times New Roman" w:cs="Times New Roman"/>
          <w:sz w:val="21"/>
          <w:szCs w:val="21"/>
        </w:rPr>
      </w:pPr>
      <w:r w:rsidRPr="00672DC8">
        <w:rPr>
          <w:rStyle w:val="a4"/>
          <w:rFonts w:ascii="Times New Roman" w:hAnsi="Times New Roman" w:cs="Times New Roman"/>
          <w:sz w:val="21"/>
          <w:szCs w:val="21"/>
        </w:rPr>
        <w:t xml:space="preserve">33.1  </w:t>
      </w:r>
      <w:r w:rsidRPr="00672DC8">
        <w:rPr>
          <w:rStyle w:val="a4"/>
          <w:rFonts w:ascii="Times New Roman" w:hAnsi="Times New Roman" w:cs="Times New Roman"/>
          <w:sz w:val="21"/>
          <w:szCs w:val="21"/>
        </w:rPr>
        <w:t>股份支付的会计处理方法</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股份支付是为了获取职工或其他方提供服务而授予权益工具或者承担以权益工具为基础确定的负债的交易。股份支付分为以权益结算的股份支付和以现金结算的股份支付。</w:t>
      </w:r>
    </w:p>
    <w:p w:rsidR="000C0769" w:rsidRPr="00672DC8" w:rsidRDefault="000C0769">
      <w:pPr>
        <w:pStyle w:val="a3"/>
        <w:spacing w:before="0" w:beforeAutospacing="0" w:after="0" w:afterAutospacing="0" w:line="360" w:lineRule="auto"/>
        <w:ind w:firstLine="422"/>
        <w:jc w:val="both"/>
        <w:divId w:val="1477575912"/>
        <w:rPr>
          <w:rFonts w:ascii="Times New Roman" w:hAnsi="Times New Roman" w:cs="Times New Roman"/>
          <w:sz w:val="21"/>
          <w:szCs w:val="21"/>
        </w:rPr>
      </w:pPr>
      <w:r w:rsidRPr="00672DC8">
        <w:rPr>
          <w:rStyle w:val="a4"/>
          <w:rFonts w:ascii="Times New Roman" w:hAnsi="Times New Roman" w:cs="Times New Roman"/>
          <w:sz w:val="21"/>
          <w:szCs w:val="21"/>
        </w:rPr>
        <w:t xml:space="preserve">33.1.1  </w:t>
      </w:r>
      <w:r w:rsidRPr="00672DC8">
        <w:rPr>
          <w:rStyle w:val="a4"/>
          <w:rFonts w:ascii="Times New Roman" w:hAnsi="Times New Roman" w:cs="Times New Roman"/>
          <w:sz w:val="21"/>
          <w:szCs w:val="21"/>
        </w:rPr>
        <w:t>以权益结算的股份支付</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用以换取职工提供的服务的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w:t>
      </w:r>
      <w:r w:rsidRPr="00672DC8">
        <w:rPr>
          <w:rFonts w:ascii="Times New Roman" w:hAnsi="Times New Roman" w:cs="Times New Roman"/>
          <w:sz w:val="21"/>
          <w:szCs w:val="21"/>
        </w:rPr>
        <w:t>/</w:t>
      </w:r>
      <w:r w:rsidRPr="00672DC8">
        <w:rPr>
          <w:rFonts w:ascii="Times New Roman" w:hAnsi="Times New Roman" w:cs="Times New Roman"/>
          <w:sz w:val="21"/>
          <w:szCs w:val="21"/>
        </w:rPr>
        <w:t>在授予后立即可行权时，在授予日计入相关成本或费用，相应增加资本公积。</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在等待期内每个资产负债表日，本公司根据最新取得的可行权职工人数变动等后续信息做出最佳估计，修正预计可行权的权益工具数量。上述估计的影响计入当期相关成本或费用，并相应调整资本公积。</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lastRenderedPageBreak/>
        <w:t>用以换取其他方服务的权益结算的股份支付，如果其他方服务的公允价值能够可靠计量，按照其他方服务在取得日的公允价值计量，如果其他方服务的公允价值不能可靠计量，但权益工具的公允价值能够可靠计量的，按照权益工具在服务取得日的公允价值计量，计入相关成本或费用，相应增加股东权益。</w:t>
      </w:r>
    </w:p>
    <w:p w:rsidR="000C0769" w:rsidRPr="00672DC8" w:rsidRDefault="000C0769">
      <w:pPr>
        <w:pStyle w:val="a3"/>
        <w:spacing w:before="0" w:beforeAutospacing="0" w:after="0" w:afterAutospacing="0" w:line="360" w:lineRule="auto"/>
        <w:ind w:firstLine="422"/>
        <w:jc w:val="both"/>
        <w:divId w:val="1477575912"/>
        <w:rPr>
          <w:rFonts w:ascii="Times New Roman" w:hAnsi="Times New Roman" w:cs="Times New Roman"/>
          <w:sz w:val="21"/>
          <w:szCs w:val="21"/>
        </w:rPr>
      </w:pPr>
      <w:r w:rsidRPr="00672DC8">
        <w:rPr>
          <w:rStyle w:val="a4"/>
          <w:rFonts w:ascii="Times New Roman" w:hAnsi="Times New Roman" w:cs="Times New Roman"/>
          <w:sz w:val="21"/>
          <w:szCs w:val="21"/>
        </w:rPr>
        <w:t xml:space="preserve">33.1.2  </w:t>
      </w:r>
      <w:r w:rsidRPr="00672DC8">
        <w:rPr>
          <w:rStyle w:val="a4"/>
          <w:rFonts w:ascii="Times New Roman" w:hAnsi="Times New Roman" w:cs="Times New Roman"/>
          <w:sz w:val="21"/>
          <w:szCs w:val="21"/>
        </w:rPr>
        <w:t>以现金结算的股份支付</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以现金结算的股份支付，按照本公司承担的以股份或其他权益工具为基础确定的负债的公允价值计量。如授予后立即可行权，在授予日计入相关成本或费用，相应增加负债；如须完成等待期内的服务或达到规定业绩条件以后才可行权，在等待期的每个资产负债表日，以对可行权情况的最佳估计为基础，按照本公司承担负债的公允价值金额，将当期取得的服务计入成本或费用，相应增加负债。</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在相关负债结算前的每个资产负债表日以及结算日，对负债的公允价值重新计量，其变动计入当期损益。</w:t>
      </w:r>
    </w:p>
    <w:p w:rsidR="000C0769" w:rsidRPr="00672DC8" w:rsidRDefault="000C0769">
      <w:pPr>
        <w:pStyle w:val="a3"/>
        <w:spacing w:before="0" w:beforeAutospacing="0" w:after="0" w:afterAutospacing="0" w:line="360" w:lineRule="auto"/>
        <w:ind w:firstLine="422"/>
        <w:jc w:val="both"/>
        <w:divId w:val="1477575912"/>
        <w:rPr>
          <w:rFonts w:ascii="Times New Roman" w:hAnsi="Times New Roman" w:cs="Times New Roman"/>
          <w:sz w:val="21"/>
          <w:szCs w:val="21"/>
        </w:rPr>
      </w:pPr>
      <w:r w:rsidRPr="00672DC8">
        <w:rPr>
          <w:rStyle w:val="a4"/>
          <w:rFonts w:ascii="Times New Roman" w:hAnsi="Times New Roman" w:cs="Times New Roman"/>
          <w:sz w:val="21"/>
          <w:szCs w:val="21"/>
        </w:rPr>
        <w:t xml:space="preserve">33.2  </w:t>
      </w:r>
      <w:r w:rsidRPr="00672DC8">
        <w:rPr>
          <w:rStyle w:val="a4"/>
          <w:rFonts w:ascii="Times New Roman" w:hAnsi="Times New Roman" w:cs="Times New Roman"/>
          <w:sz w:val="21"/>
          <w:szCs w:val="21"/>
        </w:rPr>
        <w:t>修改、终止股份支付计划的相关会计处理</w:t>
      </w:r>
    </w:p>
    <w:p w:rsidR="000C0769" w:rsidRPr="00672DC8" w:rsidRDefault="000C0769">
      <w:pPr>
        <w:pStyle w:val="a3"/>
        <w:spacing w:before="0" w:beforeAutospacing="0" w:after="0" w:afterAutospacing="0" w:line="360" w:lineRule="auto"/>
        <w:ind w:firstLine="420"/>
        <w:jc w:val="both"/>
        <w:divId w:val="1477575912"/>
        <w:rPr>
          <w:rFonts w:ascii="Times New Roman" w:hAnsi="Times New Roman" w:cs="Times New Roman"/>
          <w:sz w:val="21"/>
          <w:szCs w:val="21"/>
        </w:rPr>
      </w:pPr>
      <w:r w:rsidRPr="00672DC8">
        <w:rPr>
          <w:rFonts w:ascii="Times New Roman" w:hAnsi="Times New Roman" w:cs="Times New Roman"/>
          <w:sz w:val="21"/>
          <w:szCs w:val="21"/>
        </w:rPr>
        <w:t>本公司对股份支付计划进行修改时，若修改增加了所授予权益工具的公允价值，按照权益工具公允价值的增加相应确认取得服务的增加。权益工具公允价值的增加是指修改前后的权益工具在修改日的公允价值之间的差额。若修改减少了股份支付公允价值总额或采用了其他不利于职工的方式，则仍继续对取得的服务进行会计处理，视同该变更从未发生，除非本公司取消了部分或全部已授予的权益工具。</w:t>
      </w:r>
    </w:p>
    <w:p w:rsidR="000C0769" w:rsidRPr="00672DC8" w:rsidRDefault="000C0769">
      <w:pPr>
        <w:pStyle w:val="a3"/>
        <w:divId w:val="1477575912"/>
        <w:rPr>
          <w:rFonts w:ascii="Times New Roman" w:hAnsi="Times New Roman" w:cs="Times New Roman"/>
          <w:sz w:val="18"/>
          <w:szCs w:val="18"/>
        </w:rPr>
      </w:pPr>
      <w:r w:rsidRPr="00672DC8">
        <w:rPr>
          <w:rFonts w:ascii="Times New Roman" w:hAnsi="Times New Roman" w:cs="Times New Roman"/>
          <w:sz w:val="21"/>
          <w:szCs w:val="21"/>
        </w:rPr>
        <w:t>   </w:t>
      </w:r>
      <w:r w:rsidRPr="00672DC8">
        <w:rPr>
          <w:rFonts w:ascii="Times New Roman" w:hAnsi="Times New Roman" w:cs="Times New Roman"/>
          <w:sz w:val="21"/>
          <w:szCs w:val="21"/>
        </w:rPr>
        <w:t>在等待期内，如果取消了授予的权益工具，本公司对取消所授予的权益性工具作为加速行权处理，将剩余等待期内应确认的金额立即计入当期损益，同时确认资本公积。职工或其他方能够选择满足非可行权条件但在等待期内未满足的，本公司将其作为授予权益工具的取消处理。</w:t>
      </w:r>
    </w:p>
    <w:p w:rsidR="003D2BA8" w:rsidRPr="00672DC8" w:rsidRDefault="000C0769">
      <w:pPr>
        <w:pStyle w:val="3"/>
        <w:spacing w:line="280" w:lineRule="exact"/>
        <w:jc w:val="left"/>
        <w:rPr>
          <w:rFonts w:ascii="Times New Roman" w:hAnsi="Times New Roman" w:cs="Times New Roman"/>
          <w:b/>
          <w:bCs/>
        </w:rPr>
      </w:pPr>
      <w:bookmarkStart w:id="172" w:name="_Toc989039"/>
      <w:r w:rsidRPr="00672DC8">
        <w:rPr>
          <w:rFonts w:ascii="Times New Roman" w:hAnsi="Times New Roman" w:cs="Times New Roman"/>
          <w:b/>
          <w:bCs/>
        </w:rPr>
        <w:t>34</w:t>
      </w:r>
      <w:r w:rsidRPr="00672DC8">
        <w:rPr>
          <w:rFonts w:ascii="Times New Roman" w:hAnsi="Times New Roman" w:cs="Times New Roman"/>
          <w:b/>
          <w:bCs/>
        </w:rPr>
        <w:t>、收入</w:t>
      </w:r>
      <w:bookmarkEnd w:id="172"/>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按照业务类型披露收入确认和计量所采用的会计政策</w:t>
      </w:r>
    </w:p>
    <w:p w:rsidR="000C0769" w:rsidRPr="00672DC8" w:rsidRDefault="000C0769">
      <w:pPr>
        <w:pStyle w:val="a3"/>
        <w:spacing w:before="0" w:beforeAutospacing="0" w:after="0" w:afterAutospacing="0" w:line="360" w:lineRule="auto"/>
        <w:ind w:firstLine="422"/>
        <w:jc w:val="both"/>
        <w:divId w:val="981621497"/>
        <w:rPr>
          <w:rFonts w:ascii="Times New Roman" w:hAnsi="Times New Roman" w:cs="Times New Roman"/>
          <w:sz w:val="21"/>
          <w:szCs w:val="21"/>
        </w:rPr>
      </w:pPr>
      <w:r w:rsidRPr="00672DC8">
        <w:rPr>
          <w:rStyle w:val="a4"/>
          <w:rFonts w:ascii="Times New Roman" w:hAnsi="Times New Roman" w:cs="Times New Roman"/>
          <w:sz w:val="21"/>
          <w:szCs w:val="21"/>
        </w:rPr>
        <w:t xml:space="preserve">34.1  </w:t>
      </w:r>
      <w:r w:rsidRPr="00672DC8">
        <w:rPr>
          <w:rStyle w:val="a4"/>
          <w:rFonts w:ascii="Times New Roman" w:hAnsi="Times New Roman" w:cs="Times New Roman"/>
          <w:sz w:val="21"/>
          <w:szCs w:val="21"/>
        </w:rPr>
        <w:t>收入确认和计量所采用的会计政策</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与客户之间的合同同时满足下列条件时，在客户取得相关商品控制权时确认收入：合同各方已批准该合同并承诺将履行各自义务；合同明确了合同各方与所转让商品或提供劳务相关的权利和义务；合同有明确的与所转让商品相关的支付条款；合同具有商业实质，即履行该合同将改变本公司未来现金流量的风险、时间分布或金额；本公司因向客户转让商品而有权取得的对价很可能收回。</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在合同开始日，本公司识别合同中存在的各单项履约义务，并将交易价格按照各单项履约义务所承诺商品的单独售价的相对比例分摊至各单项履约义务。在确定交易价格时考虑了可变对价、合同中存在的重大融资成分、非现金对价、应付客户对价等因素的影响。</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lastRenderedPageBreak/>
        <w:t>对于合同中的每个单项履约义务，如果满足下列条件之一的，本公司在相关履约时段内按照履约进度将分摊至该单项履约义务的交易价格确认为收入：客户在本公司履约的同时即取得并消耗本公司履约所带来的经济利益；客户能够控制本公司履约过程中在建的商品；本公司履约过程中所产出的商品具有不可替代用途，且本公司在整个合同期间内有权就累计至今已完成的履约部分收取款项。履约进度根据所转让商品的性质采用投入法或产出法确定，当履约进度不能合理确定时，本公司已经发生的成本预计能够得到补偿的，按照已经发生的成本金额确认收入，直到履约进度能够合理确定为止。</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如果不满足上述条件之一，则本公司在客户取得相关商品控制权的时点将分摊至该单项履约义务的交易价格确认收入。在判断客户是否已取得商品控制权时，本公司考虑下列迹象：企业就该商品享有现时收款权利，即客户就该商品负有现时付款义务；企业已将该商品的法定所有权转移给客户，即客户已拥有该商品的法定所有权；企业已将该商品实物转移给客户，即客户已实物占有该商品；企业已将该商品所有权上的主要风险和报酬转移给客户，即客户已取得该商品所有权上的主要风险和报酬；客户已接受该商品；其他表明客户已取得商品控制权的迹象。</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对于附有销售退回条款的销售，本公司在客户取得相关商品控制权时，按照因向客户转让商品而预期有权收取的对价金额（即，不包含预期因销售退回将退还的金额）确认收入，按照预期因销售退回将退还的金额确认负债；同时，按照预期将退回商品转让时的账面价值，扣除收回该商品预计发生的成本（包括退回商品的价值减损）后的余额，确认为一项资产，按照所转让商品转让时的账面价值，扣除上述资产成本的净额结转成本。每一资产负债表日，本公司将重新估计未来销售退回情况，如有变化，将作为会计估计变更进行会计处理。</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对于附有质量保证条款的销售，本公司将评估该质量保证是否在向客户保证所销售商品符合既定标准之外提供了一项单独的服务。本公司提供额外服务的，将作为单项履约义务进行会计处理。在评估质量保证是否在向客户保证所销售商品符合既定标准之外提供了一项单独的服务时，本公司将考虑该质量保证是否为法定要求、质量保证期限以及本公司承诺履行任务的性质等因素。客户能够选择单独购买质量保证的，该质量保证构成单项履约义务。</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在向客户转让商品前能够控制该商品的，本公司为主要责任人，按照已收或应收对价总额确认收入；否则，本公司为代理人，按照预期有权收取的佣金或手续费的金额确认收入，该金额应当按照已收或应收对价总额扣除应支付给其他相关方的价款后的净额，或者按照既定的佣金金额或比例等确定。</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对于附有客户额外购买选择权的销售，本公司评估该选择权是否向客户提供了一项重大权利。提供重大权利的，本公司作为单项履约义务，将交易价格分摊至该履约义务，在客户未来行使购买选择权取得相关商品控制权时，或者该选择权失效时，确认相应的收入。客户额外购买选择权的单独售价无法直</w:t>
      </w:r>
      <w:r w:rsidRPr="00672DC8">
        <w:rPr>
          <w:rFonts w:ascii="Times New Roman" w:hAnsi="Times New Roman" w:cs="Times New Roman"/>
          <w:sz w:val="21"/>
          <w:szCs w:val="21"/>
        </w:rPr>
        <w:lastRenderedPageBreak/>
        <w:t>接观察的，本公司综合考虑客户行使和不行使该选择权所能获得的折扣的差异、客户行使该选择权的可能性等全部相关信息后，予以合理估计。</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向客户授予知识产权许可的，评估该知识产权许可是否构成单项履约义务。对于构成单项履约义务的，同时满足下列条件时，本公司作为在某一时段内履行的履约义务确认相关收入；否则，应当作为在某一时点履行的履约义务确认相关收入：</w:t>
      </w:r>
      <w:r w:rsidRPr="00672DC8">
        <w:rPr>
          <w:rFonts w:hint="eastAsia"/>
          <w:sz w:val="21"/>
          <w:szCs w:val="21"/>
        </w:rPr>
        <w:t>①</w:t>
      </w:r>
      <w:r w:rsidRPr="00672DC8">
        <w:rPr>
          <w:rFonts w:ascii="Times New Roman" w:hAnsi="Times New Roman" w:cs="Times New Roman"/>
          <w:sz w:val="21"/>
          <w:szCs w:val="21"/>
        </w:rPr>
        <w:t>合同要求或客户能够合理预期本公司将从事对该项知识产权有重大影响的活动；</w:t>
      </w:r>
      <w:r w:rsidRPr="00672DC8">
        <w:rPr>
          <w:rFonts w:hint="eastAsia"/>
          <w:sz w:val="21"/>
          <w:szCs w:val="21"/>
        </w:rPr>
        <w:t>②</w:t>
      </w:r>
      <w:r w:rsidRPr="00672DC8">
        <w:rPr>
          <w:rFonts w:ascii="Times New Roman" w:hAnsi="Times New Roman" w:cs="Times New Roman"/>
          <w:sz w:val="21"/>
          <w:szCs w:val="21"/>
        </w:rPr>
        <w:t>该活动对客户将产生有利或不利影响；</w:t>
      </w:r>
      <w:r w:rsidRPr="00672DC8">
        <w:rPr>
          <w:rFonts w:hint="eastAsia"/>
          <w:sz w:val="21"/>
          <w:szCs w:val="21"/>
        </w:rPr>
        <w:t>③</w:t>
      </w:r>
      <w:r w:rsidRPr="00672DC8">
        <w:rPr>
          <w:rFonts w:ascii="Times New Roman" w:hAnsi="Times New Roman" w:cs="Times New Roman"/>
          <w:sz w:val="21"/>
          <w:szCs w:val="21"/>
        </w:rPr>
        <w:t>该活动不会导致向客户转让某项商品。</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本公司销售商品的同时承诺或有权选择日后再将该商品（包括相同或几乎相同的商品，或以该商品作为组成部分的商品）购回的，区分下列两种情形分别进行会计处理：</w:t>
      </w:r>
      <w:r w:rsidRPr="00672DC8">
        <w:rPr>
          <w:rFonts w:hint="eastAsia"/>
          <w:sz w:val="21"/>
          <w:szCs w:val="21"/>
        </w:rPr>
        <w:t>①</w:t>
      </w:r>
      <w:r w:rsidRPr="00672DC8">
        <w:rPr>
          <w:rFonts w:ascii="Times New Roman" w:hAnsi="Times New Roman" w:cs="Times New Roman"/>
          <w:sz w:val="21"/>
          <w:szCs w:val="21"/>
        </w:rPr>
        <w:t>本公司因存在与客户的远期安排而负有回购义务或享有回购权利的，表明客户在销售时点并未取得相关商品控制权，本公司作为租赁交易或融资交易进行相应的会计处理。其中，回购价格低于原售价的，视为租赁交易，按照《企业会计准则第</w:t>
      </w:r>
      <w:r w:rsidRPr="00672DC8">
        <w:rPr>
          <w:rFonts w:ascii="Times New Roman" w:hAnsi="Times New Roman" w:cs="Times New Roman"/>
          <w:sz w:val="21"/>
          <w:szCs w:val="21"/>
        </w:rPr>
        <w:t>21</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租赁》的相关规定进行会计处理；回购价格不低于原售价的，视为融资交易，在收到客户款项时确认金融负债，并将该款项和回购价格的差额在回购期间内确认为利息费用等。本公司到期未行使回购权利的，应当在该回购权利到期时终止确认金融负债，同时确认收入。</w:t>
      </w:r>
      <w:r w:rsidRPr="00672DC8">
        <w:rPr>
          <w:rFonts w:hint="eastAsia"/>
          <w:sz w:val="21"/>
          <w:szCs w:val="21"/>
        </w:rPr>
        <w:t>②</w:t>
      </w:r>
      <w:r w:rsidRPr="00672DC8">
        <w:rPr>
          <w:rFonts w:ascii="Times New Roman" w:hAnsi="Times New Roman" w:cs="Times New Roman"/>
          <w:sz w:val="21"/>
          <w:szCs w:val="21"/>
        </w:rPr>
        <w:t>本公司负有应客户要求回购商品义务的，应当在合同开始日评估客户是否具有行使该要求权的重大经济动因。客户具有行使该要求权重大经济动因的，本公司将售后回购作为租赁交易或融资交易，按照上述</w:t>
      </w:r>
      <w:r w:rsidRPr="00672DC8">
        <w:rPr>
          <w:rFonts w:hint="eastAsia"/>
          <w:sz w:val="21"/>
          <w:szCs w:val="21"/>
        </w:rPr>
        <w:t>①</w:t>
      </w:r>
      <w:r w:rsidRPr="00672DC8">
        <w:rPr>
          <w:rFonts w:ascii="Times New Roman" w:hAnsi="Times New Roman" w:cs="Times New Roman"/>
          <w:sz w:val="21"/>
          <w:szCs w:val="21"/>
        </w:rPr>
        <w:t>规定进行会计处理；否则，本公司当将其作为附有销售退回条款的销售交易，按照附有销售退回条款的销售处理。</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向客户预收销售商品款项的，应当首先将该款项确认为负债，待履行了相关履约义务时再转为收入。当预收款项无需退回，且客户可能会放弃其全部或部分合同权利时，本公司预期将有权获得与客户所放弃的合同权利相关的金额的，按照客户行使合同权利的模式按比例将上述金额确认为收入；否则，本公司在客户要求其履行剩余履约义务的可能性极低时，将上述负债的相关余额转为收入。</w:t>
      </w:r>
    </w:p>
    <w:p w:rsidR="000C0769" w:rsidRPr="00672DC8" w:rsidRDefault="000C0769">
      <w:pPr>
        <w:pStyle w:val="a3"/>
        <w:spacing w:before="0" w:beforeAutospacing="0" w:after="0" w:afterAutospacing="0" w:line="360" w:lineRule="auto"/>
        <w:ind w:firstLine="420"/>
        <w:jc w:val="both"/>
        <w:divId w:val="981621497"/>
        <w:rPr>
          <w:rFonts w:ascii="Times New Roman" w:hAnsi="Times New Roman" w:cs="Times New Roman"/>
          <w:sz w:val="21"/>
          <w:szCs w:val="21"/>
        </w:rPr>
      </w:pPr>
      <w:r w:rsidRPr="00672DC8">
        <w:rPr>
          <w:rFonts w:ascii="Times New Roman" w:hAnsi="Times New Roman" w:cs="Times New Roman"/>
          <w:sz w:val="21"/>
          <w:szCs w:val="21"/>
        </w:rPr>
        <w:t>本公司在合同开始（或接近合同开始）日向客户收取的无需退回的初始费计入交易价格。该初始费与向客户转让已承诺的商品相关，并且该商品构成单项履约义务的，本公司在转让该商品时，按照分摊至该商品的交易价格确认收入；该初始费与向客户转让已承诺的商品相关，但该商品不构成单项履约义务的，本公司在包含该商品的单项履约义务履行时，按照分摊至该单项履约义务的交易价格确认收入；该初始费与向客户转让已承诺的商品不相关的，该初始费作为未来将转让商品的预收款，在未来转让该商品时确认为收入。</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同类业务采用不同经营模式涉及不同收入确认方式及计量方法的情况</w:t>
      </w:r>
    </w:p>
    <w:p w:rsidR="000C0769" w:rsidRPr="00672DC8" w:rsidRDefault="000C0769">
      <w:pPr>
        <w:pStyle w:val="a3"/>
        <w:spacing w:before="0" w:beforeAutospacing="0" w:after="0" w:afterAutospacing="0" w:line="360" w:lineRule="auto"/>
        <w:ind w:firstLine="422"/>
        <w:jc w:val="both"/>
        <w:divId w:val="435370300"/>
        <w:rPr>
          <w:rFonts w:ascii="Times New Roman" w:hAnsi="Times New Roman" w:cs="Times New Roman"/>
          <w:sz w:val="21"/>
          <w:szCs w:val="21"/>
        </w:rPr>
      </w:pPr>
      <w:r w:rsidRPr="00672DC8">
        <w:rPr>
          <w:rStyle w:val="a4"/>
          <w:rFonts w:ascii="Times New Roman" w:hAnsi="Times New Roman" w:cs="Times New Roman"/>
          <w:sz w:val="21"/>
          <w:szCs w:val="21"/>
        </w:rPr>
        <w:t xml:space="preserve">34.2  </w:t>
      </w:r>
      <w:r w:rsidRPr="00672DC8">
        <w:rPr>
          <w:rStyle w:val="a4"/>
          <w:rFonts w:ascii="Times New Roman" w:hAnsi="Times New Roman" w:cs="Times New Roman"/>
          <w:sz w:val="21"/>
          <w:szCs w:val="21"/>
        </w:rPr>
        <w:t>收入具体确认时点及计量方法</w:t>
      </w:r>
    </w:p>
    <w:p w:rsidR="000C0769" w:rsidRPr="00672DC8" w:rsidRDefault="000C0769">
      <w:pPr>
        <w:pStyle w:val="a3"/>
        <w:spacing w:before="0" w:beforeAutospacing="0" w:after="0" w:afterAutospacing="0" w:line="360" w:lineRule="auto"/>
        <w:ind w:firstLine="420"/>
        <w:jc w:val="both"/>
        <w:divId w:val="435370300"/>
        <w:rPr>
          <w:rFonts w:ascii="Times New Roman" w:hAnsi="Times New Roman" w:cs="Times New Roman"/>
          <w:sz w:val="21"/>
          <w:szCs w:val="21"/>
        </w:rPr>
      </w:pPr>
      <w:r w:rsidRPr="00672DC8">
        <w:rPr>
          <w:rFonts w:ascii="Times New Roman" w:hAnsi="Times New Roman" w:cs="Times New Roman"/>
          <w:sz w:val="21"/>
          <w:szCs w:val="21"/>
        </w:rPr>
        <w:lastRenderedPageBreak/>
        <w:t>本公司的业务收入主要来源于以下业务类型：</w:t>
      </w:r>
      <w:r w:rsidR="00D1208F">
        <w:rPr>
          <w:rFonts w:ascii="Times New Roman" w:hAnsi="Times New Roman" w:cs="Times New Roman" w:hint="eastAsia"/>
          <w:sz w:val="21"/>
          <w:szCs w:val="21"/>
        </w:rPr>
        <w:t>数</w:t>
      </w:r>
      <w:r w:rsidR="00075901" w:rsidRPr="00075901">
        <w:rPr>
          <w:rFonts w:ascii="Times New Roman" w:hAnsi="Times New Roman" w:cs="Times New Roman" w:hint="eastAsia"/>
          <w:sz w:val="21"/>
          <w:szCs w:val="21"/>
        </w:rPr>
        <w:t>智化解决方案（包含信息系统集成服务、信息系统运维服务、软件开发及技术服务）、算力与信息设备销售、新能源电力、算力服务。</w:t>
      </w:r>
    </w:p>
    <w:p w:rsidR="006E722D" w:rsidRDefault="006E722D" w:rsidP="006E722D">
      <w:pPr>
        <w:pStyle w:val="a3"/>
        <w:spacing w:before="0" w:beforeAutospacing="0" w:after="0" w:afterAutospacing="0" w:line="360" w:lineRule="auto"/>
        <w:ind w:firstLine="422"/>
        <w:jc w:val="both"/>
        <w:rPr>
          <w:rStyle w:val="a4"/>
          <w:rFonts w:ascii="Times New Roman" w:hAnsi="Times New Roman" w:cs="Times New Roman"/>
          <w:sz w:val="21"/>
          <w:szCs w:val="21"/>
        </w:rPr>
      </w:pPr>
      <w:r>
        <w:rPr>
          <w:rStyle w:val="a4"/>
          <w:rFonts w:ascii="Times New Roman" w:hAnsi="Times New Roman" w:cs="Times New Roman"/>
          <w:sz w:val="21"/>
          <w:szCs w:val="21"/>
        </w:rPr>
        <w:t xml:space="preserve">34.2.1  </w:t>
      </w:r>
      <w:bookmarkStart w:id="173" w:name="OLE_LINK11"/>
      <w:bookmarkStart w:id="174" w:name="OLE_LINK12"/>
      <w:r w:rsidRPr="005C70DA">
        <w:rPr>
          <w:rStyle w:val="a4"/>
          <w:rFonts w:ascii="Times New Roman" w:hAnsi="Times New Roman" w:cs="Times New Roman" w:hint="eastAsia"/>
          <w:sz w:val="21"/>
          <w:szCs w:val="21"/>
        </w:rPr>
        <w:t>数智化解决方案</w:t>
      </w:r>
      <w:bookmarkEnd w:id="173"/>
      <w:bookmarkEnd w:id="174"/>
    </w:p>
    <w:p w:rsidR="006E722D" w:rsidRDefault="006E722D" w:rsidP="006E722D">
      <w:pPr>
        <w:pStyle w:val="a3"/>
        <w:spacing w:before="0" w:beforeAutospacing="0" w:after="0" w:afterAutospacing="0" w:line="360" w:lineRule="auto"/>
        <w:ind w:firstLine="422"/>
        <w:jc w:val="both"/>
        <w:rPr>
          <w:rFonts w:ascii="Times New Roman" w:hAnsi="Times New Roman" w:cs="Times New Roman"/>
          <w:sz w:val="21"/>
          <w:szCs w:val="21"/>
        </w:rPr>
      </w:pPr>
      <w:bookmarkStart w:id="175" w:name="OLE_LINK13"/>
      <w:bookmarkStart w:id="176" w:name="OLE_LINK14"/>
      <w:r>
        <w:rPr>
          <w:rStyle w:val="a4"/>
          <w:rFonts w:ascii="Times New Roman" w:hAnsi="Times New Roman" w:cs="Times New Roman"/>
          <w:sz w:val="21"/>
          <w:szCs w:val="21"/>
        </w:rPr>
        <w:t>34.2.</w:t>
      </w:r>
      <w:r>
        <w:rPr>
          <w:rStyle w:val="a4"/>
          <w:rFonts w:ascii="Times New Roman" w:hAnsi="Times New Roman" w:cs="Times New Roman" w:hint="eastAsia"/>
          <w:sz w:val="21"/>
          <w:szCs w:val="21"/>
        </w:rPr>
        <w:t xml:space="preserve">1.1 </w:t>
      </w:r>
      <w:r>
        <w:rPr>
          <w:rStyle w:val="a4"/>
          <w:rFonts w:cs="Times New Roman" w:hint="eastAsia"/>
          <w:sz w:val="21"/>
          <w:szCs w:val="21"/>
        </w:rPr>
        <w:t>信息系统集成服务</w:t>
      </w:r>
    </w:p>
    <w:p w:rsidR="006E722D" w:rsidRDefault="006E722D" w:rsidP="006E722D">
      <w:pPr>
        <w:pStyle w:val="a3"/>
        <w:spacing w:before="0" w:beforeAutospacing="0" w:after="0" w:afterAutospacing="0" w:line="360" w:lineRule="auto"/>
        <w:ind w:firstLine="420"/>
        <w:jc w:val="both"/>
        <w:rPr>
          <w:rFonts w:ascii="Times New Roman" w:hAnsi="Times New Roman" w:cs="Times New Roman"/>
          <w:sz w:val="21"/>
          <w:szCs w:val="21"/>
        </w:rPr>
      </w:pPr>
      <w:r>
        <w:rPr>
          <w:rFonts w:cs="Times New Roman" w:hint="eastAsia"/>
          <w:sz w:val="21"/>
          <w:szCs w:val="21"/>
        </w:rPr>
        <w:t>按照客户需求，通过应用各种计算机软件技术以及各种硬件设备，经过集成设计，安装调试等技术性工作，提供整体解决方案。信息系统集成需安装调试后才达到预定可使用状态，主要风险和报酬（控</w:t>
      </w:r>
      <w:r>
        <w:rPr>
          <w:rFonts w:ascii="Times New Roman" w:hAnsi="Times New Roman" w:cs="Times New Roman"/>
          <w:sz w:val="21"/>
          <w:szCs w:val="21"/>
        </w:rPr>
        <w:t xml:space="preserve"> </w:t>
      </w:r>
      <w:r>
        <w:rPr>
          <w:rFonts w:cs="Times New Roman" w:hint="eastAsia"/>
          <w:sz w:val="21"/>
          <w:szCs w:val="21"/>
        </w:rPr>
        <w:t>制权）才转移给购货方（建设方），因此信息系统集成服务以完成安装调试，客户验收作为收入确认时点。当客户合同中明确约定初验、终验的，以取得客户终验报告作为收入确认时点，如合同中无明确约定初验、终验，客户在实际执行时有出具初验、终验报告，以终验报告作为收入确认时点。</w:t>
      </w:r>
    </w:p>
    <w:p w:rsidR="006E722D" w:rsidRDefault="006E722D" w:rsidP="006E722D">
      <w:pPr>
        <w:pStyle w:val="a3"/>
        <w:spacing w:before="0" w:beforeAutospacing="0" w:after="0" w:afterAutospacing="0" w:line="360" w:lineRule="auto"/>
        <w:ind w:firstLine="422"/>
        <w:jc w:val="both"/>
        <w:rPr>
          <w:rFonts w:ascii="Times New Roman" w:hAnsi="Times New Roman" w:cs="Times New Roman"/>
          <w:sz w:val="21"/>
          <w:szCs w:val="21"/>
        </w:rPr>
      </w:pPr>
      <w:r>
        <w:rPr>
          <w:rStyle w:val="a4"/>
          <w:rFonts w:ascii="Times New Roman" w:hAnsi="Times New Roman" w:cs="Times New Roman"/>
          <w:sz w:val="21"/>
          <w:szCs w:val="21"/>
        </w:rPr>
        <w:t>34.2.</w:t>
      </w:r>
      <w:r>
        <w:rPr>
          <w:rStyle w:val="a4"/>
          <w:rFonts w:ascii="Times New Roman" w:hAnsi="Times New Roman" w:cs="Times New Roman" w:hint="eastAsia"/>
          <w:sz w:val="21"/>
          <w:szCs w:val="21"/>
        </w:rPr>
        <w:t>1.</w:t>
      </w:r>
      <w:r>
        <w:rPr>
          <w:rStyle w:val="a4"/>
          <w:rFonts w:ascii="Times New Roman" w:hAnsi="Times New Roman" w:cs="Times New Roman"/>
          <w:sz w:val="21"/>
          <w:szCs w:val="21"/>
        </w:rPr>
        <w:t xml:space="preserve">2  </w:t>
      </w:r>
      <w:r>
        <w:rPr>
          <w:rStyle w:val="a4"/>
          <w:rFonts w:cs="Times New Roman" w:hint="eastAsia"/>
          <w:sz w:val="21"/>
          <w:szCs w:val="21"/>
        </w:rPr>
        <w:t>信息系统运维服务</w:t>
      </w:r>
    </w:p>
    <w:p w:rsidR="006E722D" w:rsidRDefault="006E722D" w:rsidP="006E722D">
      <w:pPr>
        <w:pStyle w:val="a3"/>
        <w:spacing w:before="0" w:beforeAutospacing="0" w:after="0" w:afterAutospacing="0" w:line="360" w:lineRule="auto"/>
        <w:ind w:firstLine="420"/>
        <w:jc w:val="both"/>
        <w:rPr>
          <w:rFonts w:ascii="Times New Roman" w:hAnsi="Times New Roman" w:cs="Times New Roman"/>
          <w:sz w:val="21"/>
          <w:szCs w:val="21"/>
        </w:rPr>
      </w:pPr>
      <w:r>
        <w:rPr>
          <w:rFonts w:cs="Times New Roman" w:hint="eastAsia"/>
          <w:sz w:val="21"/>
          <w:szCs w:val="21"/>
        </w:rPr>
        <w:t>按照客户要求，利用公司在信息系统运维方面的专业性优势为客户提供专业的系统运维服务。信息系统运维服务按照合同约定的条款于服务完成时点（指偶发的一次性运维服务）或阶段完成时点（指定期服务的日常维护，按月确认）确认收入。</w:t>
      </w:r>
    </w:p>
    <w:p w:rsidR="006E722D" w:rsidRDefault="006E722D" w:rsidP="006E722D">
      <w:pPr>
        <w:pStyle w:val="a3"/>
        <w:spacing w:before="0" w:beforeAutospacing="0" w:after="0" w:afterAutospacing="0" w:line="360" w:lineRule="auto"/>
        <w:ind w:firstLine="422"/>
        <w:jc w:val="both"/>
        <w:rPr>
          <w:rFonts w:ascii="Times New Roman" w:hAnsi="Times New Roman" w:cs="Times New Roman"/>
          <w:sz w:val="21"/>
          <w:szCs w:val="21"/>
        </w:rPr>
      </w:pPr>
      <w:r>
        <w:rPr>
          <w:rStyle w:val="a4"/>
          <w:rFonts w:ascii="Times New Roman" w:hAnsi="Times New Roman" w:cs="Times New Roman"/>
          <w:sz w:val="21"/>
          <w:szCs w:val="21"/>
        </w:rPr>
        <w:t>34.2.</w:t>
      </w:r>
      <w:r>
        <w:rPr>
          <w:rStyle w:val="a4"/>
          <w:rFonts w:ascii="Times New Roman" w:hAnsi="Times New Roman" w:cs="Times New Roman" w:hint="eastAsia"/>
          <w:sz w:val="21"/>
          <w:szCs w:val="21"/>
        </w:rPr>
        <w:t>1.3</w:t>
      </w:r>
      <w:r>
        <w:rPr>
          <w:rStyle w:val="a4"/>
          <w:rFonts w:ascii="Times New Roman" w:hAnsi="Times New Roman" w:cs="Times New Roman"/>
          <w:sz w:val="21"/>
          <w:szCs w:val="21"/>
        </w:rPr>
        <w:t xml:space="preserve">  </w:t>
      </w:r>
      <w:r>
        <w:rPr>
          <w:rStyle w:val="a4"/>
          <w:rFonts w:cs="Times New Roman" w:hint="eastAsia"/>
          <w:sz w:val="21"/>
          <w:szCs w:val="21"/>
        </w:rPr>
        <w:t>软件开发及技术服务</w:t>
      </w:r>
    </w:p>
    <w:p w:rsidR="006E722D" w:rsidRDefault="006E722D" w:rsidP="006E722D">
      <w:pPr>
        <w:pStyle w:val="a3"/>
        <w:spacing w:before="0" w:beforeAutospacing="0" w:after="0" w:afterAutospacing="0" w:line="360" w:lineRule="auto"/>
        <w:ind w:firstLine="420"/>
        <w:jc w:val="both"/>
        <w:rPr>
          <w:rFonts w:cs="Times New Roman"/>
          <w:sz w:val="21"/>
          <w:szCs w:val="21"/>
        </w:rPr>
      </w:pPr>
      <w:r>
        <w:rPr>
          <w:rFonts w:cs="Times New Roman" w:hint="eastAsia"/>
          <w:sz w:val="21"/>
          <w:szCs w:val="21"/>
        </w:rPr>
        <w:t>按照客户要求开发信息系统服务平台并部署调试。软件开发及技术服务客户为软件终端使用客户的，</w:t>
      </w:r>
      <w:r>
        <w:rPr>
          <w:rFonts w:ascii="Times New Roman" w:hAnsi="Times New Roman" w:cs="Times New Roman"/>
          <w:sz w:val="21"/>
          <w:szCs w:val="21"/>
        </w:rPr>
        <w:t xml:space="preserve"> </w:t>
      </w:r>
      <w:r>
        <w:rPr>
          <w:rFonts w:cs="Times New Roman" w:hint="eastAsia"/>
          <w:sz w:val="21"/>
          <w:szCs w:val="21"/>
        </w:rPr>
        <w:t>以完成服务并取得客户的验收报告作为收入确认时点；客户为软件中间销售商的，如销售合同中未约定需最终业主方验收的，以公司交付相关产品、客户产品已经上线、客户出具验收报告作为收入确认时点；如销售合同中明确约定需客户最终业主方验收的，以取得客户验收报告且最终业主方产品运行出具验收报告或其他验收证据作为收入确认时点。</w:t>
      </w:r>
    </w:p>
    <w:p w:rsidR="006E722D" w:rsidRDefault="006E722D" w:rsidP="006E722D">
      <w:pPr>
        <w:pStyle w:val="a3"/>
        <w:spacing w:before="0" w:beforeAutospacing="0" w:after="0" w:afterAutospacing="0" w:line="360" w:lineRule="auto"/>
        <w:ind w:firstLine="420"/>
        <w:jc w:val="both"/>
        <w:rPr>
          <w:rStyle w:val="a4"/>
          <w:rFonts w:ascii="Times New Roman" w:hAnsi="Times New Roman" w:cs="Times New Roman"/>
          <w:sz w:val="21"/>
          <w:szCs w:val="21"/>
        </w:rPr>
      </w:pPr>
      <w:r>
        <w:rPr>
          <w:rStyle w:val="a4"/>
          <w:rFonts w:ascii="Times New Roman" w:hAnsi="Times New Roman" w:cs="Times New Roman"/>
          <w:sz w:val="21"/>
          <w:szCs w:val="21"/>
        </w:rPr>
        <w:t>34.2.</w:t>
      </w:r>
      <w:r>
        <w:rPr>
          <w:rStyle w:val="a4"/>
          <w:rFonts w:ascii="Times New Roman" w:hAnsi="Times New Roman" w:cs="Times New Roman" w:hint="eastAsia"/>
          <w:sz w:val="21"/>
          <w:szCs w:val="21"/>
        </w:rPr>
        <w:t xml:space="preserve">2  </w:t>
      </w:r>
      <w:r w:rsidRPr="005C70DA">
        <w:rPr>
          <w:rStyle w:val="a4"/>
          <w:rFonts w:ascii="Times New Roman" w:hAnsi="Times New Roman" w:cs="Times New Roman" w:hint="eastAsia"/>
          <w:sz w:val="21"/>
          <w:szCs w:val="21"/>
        </w:rPr>
        <w:t>算力与信息设备销售</w:t>
      </w:r>
    </w:p>
    <w:p w:rsidR="006E722D" w:rsidRPr="005C70DA" w:rsidRDefault="006E722D" w:rsidP="006E722D">
      <w:pPr>
        <w:pStyle w:val="a3"/>
        <w:spacing w:before="0" w:beforeAutospacing="0" w:after="0" w:afterAutospacing="0" w:line="360" w:lineRule="auto"/>
        <w:ind w:firstLine="420"/>
        <w:jc w:val="both"/>
        <w:rPr>
          <w:rFonts w:ascii="Times New Roman" w:hAnsi="Times New Roman" w:cs="Times New Roman"/>
          <w:sz w:val="21"/>
          <w:szCs w:val="21"/>
        </w:rPr>
      </w:pPr>
      <w:r w:rsidRPr="005C70DA">
        <w:rPr>
          <w:rFonts w:ascii="Times New Roman" w:hAnsi="Times New Roman" w:cs="Times New Roman" w:hint="eastAsia"/>
          <w:sz w:val="21"/>
          <w:szCs w:val="21"/>
        </w:rPr>
        <w:t>公司向企业、政府部门销售算力设备与电子产品（主要是提供数智化解决方案过程中，根据客户需求</w:t>
      </w:r>
      <w:r w:rsidRPr="005C70DA">
        <w:rPr>
          <w:rFonts w:ascii="Times New Roman" w:hAnsi="Times New Roman" w:cs="Times New Roman" w:hint="eastAsia"/>
          <w:sz w:val="21"/>
          <w:szCs w:val="21"/>
        </w:rPr>
        <w:t xml:space="preserve"> </w:t>
      </w:r>
      <w:r w:rsidRPr="005C70DA">
        <w:rPr>
          <w:rFonts w:ascii="Times New Roman" w:hAnsi="Times New Roman" w:cs="Times New Roman" w:hint="eastAsia"/>
          <w:sz w:val="21"/>
          <w:szCs w:val="21"/>
        </w:rPr>
        <w:t>搭配的一些零配件，主要包括算力设备、机柜、电脑、播放器、主机、投影仪等）。算力与信息设备销售以商品转移给购货方，取得客户验收单作为收入确认时点。</w:t>
      </w:r>
    </w:p>
    <w:p w:rsidR="006E722D" w:rsidRDefault="006E722D" w:rsidP="006E722D">
      <w:pPr>
        <w:pStyle w:val="a3"/>
        <w:spacing w:before="0" w:beforeAutospacing="0" w:after="0" w:afterAutospacing="0" w:line="360" w:lineRule="auto"/>
        <w:ind w:firstLine="422"/>
        <w:jc w:val="both"/>
        <w:rPr>
          <w:rFonts w:ascii="Times New Roman" w:hAnsi="Times New Roman" w:cs="Times New Roman"/>
          <w:sz w:val="21"/>
          <w:szCs w:val="21"/>
        </w:rPr>
      </w:pPr>
      <w:r>
        <w:rPr>
          <w:rStyle w:val="a4"/>
          <w:rFonts w:ascii="Times New Roman" w:hAnsi="Times New Roman" w:cs="Times New Roman"/>
          <w:sz w:val="21"/>
          <w:szCs w:val="21"/>
        </w:rPr>
        <w:t>34.2.</w:t>
      </w:r>
      <w:r>
        <w:rPr>
          <w:rStyle w:val="a4"/>
          <w:rFonts w:ascii="Times New Roman" w:hAnsi="Times New Roman" w:cs="Times New Roman" w:hint="eastAsia"/>
          <w:sz w:val="21"/>
          <w:szCs w:val="21"/>
        </w:rPr>
        <w:t>3</w:t>
      </w:r>
      <w:r>
        <w:rPr>
          <w:rStyle w:val="a4"/>
          <w:rFonts w:ascii="Times New Roman" w:hAnsi="Times New Roman" w:cs="Times New Roman"/>
          <w:sz w:val="21"/>
          <w:szCs w:val="21"/>
        </w:rPr>
        <w:t xml:space="preserve">  </w:t>
      </w:r>
      <w:r>
        <w:rPr>
          <w:rStyle w:val="a4"/>
          <w:rFonts w:cs="Times New Roman" w:hint="eastAsia"/>
          <w:sz w:val="21"/>
          <w:szCs w:val="21"/>
        </w:rPr>
        <w:t>新能源电力</w:t>
      </w:r>
    </w:p>
    <w:p w:rsidR="006E722D" w:rsidRDefault="006E722D" w:rsidP="006E722D">
      <w:pPr>
        <w:pStyle w:val="a3"/>
        <w:spacing w:before="0" w:beforeAutospacing="0" w:after="0" w:afterAutospacing="0" w:line="360" w:lineRule="auto"/>
        <w:ind w:firstLine="420"/>
        <w:jc w:val="both"/>
        <w:rPr>
          <w:rFonts w:ascii="Times New Roman" w:hAnsi="Times New Roman" w:cs="Times New Roman"/>
          <w:sz w:val="21"/>
          <w:szCs w:val="21"/>
        </w:rPr>
      </w:pPr>
      <w:r w:rsidRPr="00BB5DD9">
        <w:rPr>
          <w:rFonts w:cs="Times New Roman" w:hint="eastAsia"/>
          <w:sz w:val="21"/>
          <w:szCs w:val="21"/>
        </w:rPr>
        <w:t>新能源电力收入确认遵循《企业会计准则第 14 号--收入》规定，包含电力销售及电站销售。电力销售以电力输送至电网公司或终端用户的控制权转移时点作为收入确认依据，根据电网公司或其他客户提供的发电量计量确认数据(如并网电表读数)，于电力实际输送至电网或用户时确认收入，采用权责发生制原则。电站销售本公司持有销售的光伏电站用于出售，光伏电站销售是本公司的日常经营活动，是本公司光伏产品业务的延伸。根据市场情况，目前光伏电站的转让多以股权转让方式进行交易，交易实质</w:t>
      </w:r>
      <w:r w:rsidRPr="00BB5DD9">
        <w:rPr>
          <w:rFonts w:cs="Times New Roman" w:hint="eastAsia"/>
          <w:sz w:val="21"/>
          <w:szCs w:val="21"/>
        </w:rPr>
        <w:lastRenderedPageBreak/>
        <w:t>是以股权转让的方式销售电站资产。当股权交割的工商变更完成且根据不可撤销销售合同判定相关电站的控制权转移给相关客户时，本公司确认光伏电站销售收入。</w:t>
      </w:r>
    </w:p>
    <w:p w:rsidR="006E722D" w:rsidRDefault="006E722D" w:rsidP="006E722D">
      <w:pPr>
        <w:pStyle w:val="a3"/>
        <w:spacing w:before="0" w:beforeAutospacing="0" w:after="0" w:afterAutospacing="0" w:line="360" w:lineRule="auto"/>
        <w:ind w:firstLine="422"/>
        <w:jc w:val="both"/>
        <w:rPr>
          <w:rFonts w:ascii="Times New Roman" w:hAnsi="Times New Roman" w:cs="Times New Roman"/>
          <w:sz w:val="21"/>
          <w:szCs w:val="21"/>
        </w:rPr>
      </w:pPr>
      <w:r>
        <w:rPr>
          <w:rStyle w:val="a4"/>
          <w:rFonts w:ascii="Times New Roman" w:hAnsi="Times New Roman" w:cs="Times New Roman"/>
          <w:sz w:val="21"/>
          <w:szCs w:val="21"/>
        </w:rPr>
        <w:t>34.2.</w:t>
      </w:r>
      <w:r>
        <w:rPr>
          <w:rStyle w:val="a4"/>
          <w:rFonts w:ascii="Times New Roman" w:hAnsi="Times New Roman" w:cs="Times New Roman" w:hint="eastAsia"/>
          <w:sz w:val="21"/>
          <w:szCs w:val="21"/>
        </w:rPr>
        <w:t>4</w:t>
      </w:r>
      <w:r>
        <w:rPr>
          <w:rStyle w:val="a4"/>
          <w:rFonts w:ascii="Times New Roman" w:hAnsi="Times New Roman" w:cs="Times New Roman"/>
          <w:sz w:val="21"/>
          <w:szCs w:val="21"/>
        </w:rPr>
        <w:t>   </w:t>
      </w:r>
      <w:r>
        <w:rPr>
          <w:rStyle w:val="a4"/>
          <w:rFonts w:cs="Times New Roman" w:hint="eastAsia"/>
          <w:sz w:val="21"/>
          <w:szCs w:val="21"/>
        </w:rPr>
        <w:t>算力服务</w:t>
      </w:r>
    </w:p>
    <w:p w:rsidR="006E722D" w:rsidRDefault="006E722D" w:rsidP="006E722D">
      <w:pPr>
        <w:pStyle w:val="a3"/>
        <w:spacing w:before="0" w:beforeAutospacing="0" w:after="0" w:afterAutospacing="0" w:line="360" w:lineRule="auto"/>
        <w:ind w:firstLine="420"/>
        <w:jc w:val="both"/>
        <w:rPr>
          <w:rFonts w:ascii="Times New Roman" w:hAnsi="Times New Roman" w:cs="Times New Roman"/>
          <w:sz w:val="21"/>
          <w:szCs w:val="21"/>
        </w:rPr>
      </w:pPr>
      <w:r>
        <w:rPr>
          <w:rFonts w:cs="Times New Roman" w:hint="eastAsia"/>
          <w:sz w:val="21"/>
          <w:szCs w:val="21"/>
        </w:rPr>
        <w:t>算力服务，算力技术服务通过投资建设算力项目，向企业或运营商等客户，按照合同或协议约定的服务周期持续提供算力技术服务，按照合同约定的阶段完成时点（指定期提供服务，按月确认）确认收入。</w:t>
      </w:r>
    </w:p>
    <w:bookmarkEnd w:id="175"/>
    <w:bookmarkEnd w:id="176"/>
    <w:p w:rsidR="003D2BA8" w:rsidRPr="00672DC8" w:rsidRDefault="000C0769" w:rsidP="00E3081C">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公司需遵守《深圳证券交易所上市公司自律监管指引第</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行业信息披露》中的</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软件与信息技术服务业</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的披露要求</w:t>
      </w:r>
    </w:p>
    <w:p w:rsidR="003D2BA8" w:rsidRPr="00672DC8" w:rsidRDefault="000C0769">
      <w:pPr>
        <w:pStyle w:val="3"/>
        <w:spacing w:line="280" w:lineRule="exact"/>
        <w:jc w:val="left"/>
        <w:rPr>
          <w:rFonts w:ascii="Times New Roman" w:hAnsi="Times New Roman" w:cs="Times New Roman"/>
          <w:b/>
          <w:bCs/>
        </w:rPr>
      </w:pPr>
      <w:bookmarkStart w:id="177" w:name="_Toc989040"/>
      <w:r w:rsidRPr="00672DC8">
        <w:rPr>
          <w:rFonts w:ascii="Times New Roman" w:hAnsi="Times New Roman" w:cs="Times New Roman"/>
          <w:b/>
          <w:bCs/>
        </w:rPr>
        <w:t>35</w:t>
      </w:r>
      <w:r w:rsidRPr="00672DC8">
        <w:rPr>
          <w:rFonts w:ascii="Times New Roman" w:hAnsi="Times New Roman" w:cs="Times New Roman"/>
          <w:b/>
          <w:bCs/>
        </w:rPr>
        <w:t>、合同成本</w:t>
      </w:r>
      <w:bookmarkEnd w:id="177"/>
    </w:p>
    <w:p w:rsidR="000C0769" w:rsidRPr="00672DC8" w:rsidRDefault="000C0769">
      <w:pPr>
        <w:pStyle w:val="a3"/>
        <w:spacing w:before="0" w:beforeAutospacing="0" w:after="0" w:afterAutospacing="0" w:line="360" w:lineRule="auto"/>
        <w:ind w:firstLine="420"/>
        <w:jc w:val="both"/>
        <w:divId w:val="1453474341"/>
        <w:rPr>
          <w:rFonts w:ascii="Times New Roman" w:hAnsi="Times New Roman" w:cs="Times New Roman"/>
          <w:sz w:val="21"/>
          <w:szCs w:val="21"/>
        </w:rPr>
      </w:pPr>
      <w:r w:rsidRPr="00672DC8">
        <w:rPr>
          <w:rFonts w:ascii="Times New Roman" w:hAnsi="Times New Roman" w:cs="Times New Roman"/>
          <w:sz w:val="21"/>
          <w:szCs w:val="21"/>
        </w:rPr>
        <w:t>合同成本分为合同履约成本与合同取得成本。</w:t>
      </w:r>
    </w:p>
    <w:p w:rsidR="000C0769" w:rsidRPr="00672DC8" w:rsidRDefault="000C0769">
      <w:pPr>
        <w:pStyle w:val="a3"/>
        <w:spacing w:before="0" w:beforeAutospacing="0" w:after="0" w:afterAutospacing="0" w:line="360" w:lineRule="auto"/>
        <w:ind w:firstLine="420"/>
        <w:jc w:val="both"/>
        <w:divId w:val="1453474341"/>
        <w:rPr>
          <w:rFonts w:ascii="Times New Roman" w:hAnsi="Times New Roman" w:cs="Times New Roman"/>
          <w:sz w:val="21"/>
          <w:szCs w:val="21"/>
        </w:rPr>
      </w:pPr>
      <w:r w:rsidRPr="00672DC8">
        <w:rPr>
          <w:rFonts w:ascii="Times New Roman" w:hAnsi="Times New Roman" w:cs="Times New Roman"/>
          <w:sz w:val="21"/>
          <w:szCs w:val="21"/>
        </w:rPr>
        <w:t>本公司为履行合同而发生的成本，在满足下列条件时作为合同履约成本确认为一项资产：</w:t>
      </w:r>
      <w:r w:rsidRPr="00672DC8">
        <w:rPr>
          <w:rFonts w:hint="eastAsia"/>
          <w:sz w:val="21"/>
          <w:szCs w:val="21"/>
        </w:rPr>
        <w:t>①</w:t>
      </w:r>
      <w:r w:rsidRPr="00672DC8">
        <w:rPr>
          <w:rFonts w:ascii="Times New Roman" w:hAnsi="Times New Roman" w:cs="Times New Roman"/>
          <w:sz w:val="21"/>
          <w:szCs w:val="21"/>
        </w:rPr>
        <w:t>该成本与一份当前或预期取得的合同直接相关；</w:t>
      </w:r>
      <w:r w:rsidRPr="00672DC8">
        <w:rPr>
          <w:rFonts w:hint="eastAsia"/>
          <w:sz w:val="21"/>
          <w:szCs w:val="21"/>
        </w:rPr>
        <w:t>②</w:t>
      </w:r>
      <w:r w:rsidRPr="00672DC8">
        <w:rPr>
          <w:rFonts w:ascii="Times New Roman" w:hAnsi="Times New Roman" w:cs="Times New Roman"/>
          <w:sz w:val="21"/>
          <w:szCs w:val="21"/>
        </w:rPr>
        <w:t>该成本增加了本公司未来用于履行履约义务的资源；</w:t>
      </w:r>
      <w:r w:rsidRPr="00672DC8">
        <w:rPr>
          <w:rFonts w:hint="eastAsia"/>
          <w:sz w:val="21"/>
          <w:szCs w:val="21"/>
        </w:rPr>
        <w:t>③</w:t>
      </w:r>
      <w:r w:rsidRPr="00672DC8">
        <w:rPr>
          <w:rFonts w:ascii="Times New Roman" w:hAnsi="Times New Roman" w:cs="Times New Roman"/>
          <w:sz w:val="21"/>
          <w:szCs w:val="21"/>
        </w:rPr>
        <w:t>该成本预期能够收回。</w:t>
      </w:r>
    </w:p>
    <w:p w:rsidR="000C0769" w:rsidRPr="00672DC8" w:rsidRDefault="000C0769">
      <w:pPr>
        <w:pStyle w:val="a3"/>
        <w:spacing w:before="0" w:beforeAutospacing="0" w:after="0" w:afterAutospacing="0" w:line="360" w:lineRule="auto"/>
        <w:ind w:firstLine="420"/>
        <w:jc w:val="both"/>
        <w:divId w:val="1453474341"/>
        <w:rPr>
          <w:rFonts w:ascii="Times New Roman" w:hAnsi="Times New Roman" w:cs="Times New Roman"/>
          <w:sz w:val="21"/>
          <w:szCs w:val="21"/>
        </w:rPr>
      </w:pPr>
      <w:r w:rsidRPr="00672DC8">
        <w:rPr>
          <w:rFonts w:ascii="Times New Roman" w:hAnsi="Times New Roman" w:cs="Times New Roman"/>
          <w:sz w:val="21"/>
          <w:szCs w:val="21"/>
        </w:rPr>
        <w:t>为取得合同发生的增量成本是指本公司不取得合同就不会发生的成本（如销售佣金等）。该成本预期能够收回的，本公司将其作为合同取得成本确认为一项资产。本公司为取得合同发生的、除预期能够收回的增量成本之外的其他支出于发生时计入当期损益。</w:t>
      </w:r>
    </w:p>
    <w:p w:rsidR="000C0769" w:rsidRPr="00672DC8" w:rsidRDefault="000C0769">
      <w:pPr>
        <w:pStyle w:val="a3"/>
        <w:spacing w:before="0" w:beforeAutospacing="0" w:after="0" w:afterAutospacing="0" w:line="360" w:lineRule="auto"/>
        <w:ind w:firstLine="420"/>
        <w:jc w:val="both"/>
        <w:divId w:val="1453474341"/>
        <w:rPr>
          <w:rFonts w:ascii="Times New Roman" w:hAnsi="Times New Roman" w:cs="Times New Roman"/>
          <w:sz w:val="21"/>
          <w:szCs w:val="21"/>
        </w:rPr>
      </w:pPr>
      <w:r w:rsidRPr="00672DC8">
        <w:rPr>
          <w:rFonts w:ascii="Times New Roman" w:hAnsi="Times New Roman" w:cs="Times New Roman"/>
          <w:sz w:val="21"/>
          <w:szCs w:val="21"/>
        </w:rPr>
        <w:t>合同取得成本确认的资产和合同履约成本确认的资产（以下简称</w:t>
      </w:r>
      <w:r w:rsidRPr="00672DC8">
        <w:rPr>
          <w:rFonts w:ascii="Times New Roman" w:hAnsi="Times New Roman" w:cs="Times New Roman"/>
          <w:sz w:val="21"/>
          <w:szCs w:val="21"/>
        </w:rPr>
        <w:t>“</w:t>
      </w:r>
      <w:r w:rsidRPr="00672DC8">
        <w:rPr>
          <w:rFonts w:ascii="Times New Roman" w:hAnsi="Times New Roman" w:cs="Times New Roman"/>
          <w:sz w:val="21"/>
          <w:szCs w:val="21"/>
        </w:rPr>
        <w:t>与合同成本有关的资产</w:t>
      </w:r>
      <w:r w:rsidRPr="00672DC8">
        <w:rPr>
          <w:rFonts w:ascii="Times New Roman" w:hAnsi="Times New Roman" w:cs="Times New Roman"/>
          <w:sz w:val="21"/>
          <w:szCs w:val="21"/>
        </w:rPr>
        <w:t>”</w:t>
      </w:r>
      <w:r w:rsidRPr="00672DC8">
        <w:rPr>
          <w:rFonts w:ascii="Times New Roman" w:hAnsi="Times New Roman" w:cs="Times New Roman"/>
          <w:sz w:val="21"/>
          <w:szCs w:val="21"/>
        </w:rPr>
        <w:t>），采用与该资产相关的商品或服务收入确认相同的基础进行摊销，计入当期损益。摊销期限不超过一年则在发生时计入当期损益。与合同成本有关的资产，其账面价值高于下列两项的差额的，本公司将对于超出部分计提减值准备，并确认为资产减值损失：（</w:t>
      </w:r>
      <w:r w:rsidRPr="00672DC8">
        <w:rPr>
          <w:rFonts w:ascii="Times New Roman" w:hAnsi="Times New Roman" w:cs="Times New Roman"/>
          <w:sz w:val="21"/>
          <w:szCs w:val="21"/>
        </w:rPr>
        <w:t>1</w:t>
      </w:r>
      <w:r w:rsidRPr="00672DC8">
        <w:rPr>
          <w:rFonts w:ascii="Times New Roman" w:hAnsi="Times New Roman" w:cs="Times New Roman"/>
          <w:sz w:val="21"/>
          <w:szCs w:val="21"/>
        </w:rPr>
        <w:t>）因转让与该资产相关的商品或服务预期能够取得的剩余对价；（</w:t>
      </w:r>
      <w:r w:rsidRPr="00672DC8">
        <w:rPr>
          <w:rFonts w:ascii="Times New Roman" w:hAnsi="Times New Roman" w:cs="Times New Roman"/>
          <w:sz w:val="21"/>
          <w:szCs w:val="21"/>
        </w:rPr>
        <w:t>2</w:t>
      </w:r>
      <w:r w:rsidRPr="00672DC8">
        <w:rPr>
          <w:rFonts w:ascii="Times New Roman" w:hAnsi="Times New Roman" w:cs="Times New Roman"/>
          <w:sz w:val="21"/>
          <w:szCs w:val="21"/>
        </w:rPr>
        <w:t>）为转让该相关商品或服务估计将要发生的成本。</w:t>
      </w:r>
    </w:p>
    <w:p w:rsidR="000C0769" w:rsidRPr="00672DC8" w:rsidRDefault="000C0769">
      <w:pPr>
        <w:pStyle w:val="a3"/>
        <w:spacing w:before="0" w:beforeAutospacing="0" w:after="0" w:afterAutospacing="0" w:line="360" w:lineRule="auto"/>
        <w:ind w:firstLine="420"/>
        <w:jc w:val="both"/>
        <w:divId w:val="1453474341"/>
        <w:rPr>
          <w:rFonts w:ascii="Times New Roman" w:hAnsi="Times New Roman" w:cs="Times New Roman"/>
          <w:sz w:val="21"/>
          <w:szCs w:val="21"/>
        </w:rPr>
      </w:pPr>
      <w:r w:rsidRPr="00672DC8">
        <w:rPr>
          <w:rFonts w:ascii="Times New Roman" w:hAnsi="Times New Roman" w:cs="Times New Roman"/>
          <w:sz w:val="21"/>
          <w:szCs w:val="21"/>
        </w:rPr>
        <w:t>上述资产减值准备后续发生转回的，转回后的资产账面价值不超过假定不计提减值准备情况下该资产在转回日的账面价值。</w:t>
      </w:r>
    </w:p>
    <w:p w:rsidR="003D2BA8" w:rsidRPr="00672DC8" w:rsidRDefault="000C0769">
      <w:pPr>
        <w:pStyle w:val="3"/>
        <w:spacing w:line="280" w:lineRule="exact"/>
        <w:jc w:val="left"/>
        <w:rPr>
          <w:rFonts w:ascii="Times New Roman" w:hAnsi="Times New Roman" w:cs="Times New Roman"/>
          <w:b/>
          <w:bCs/>
        </w:rPr>
      </w:pPr>
      <w:bookmarkStart w:id="178" w:name="_Toc989041"/>
      <w:r w:rsidRPr="00672DC8">
        <w:rPr>
          <w:rFonts w:ascii="Times New Roman" w:hAnsi="Times New Roman" w:cs="Times New Roman"/>
          <w:b/>
          <w:bCs/>
        </w:rPr>
        <w:t>36</w:t>
      </w:r>
      <w:r w:rsidRPr="00672DC8">
        <w:rPr>
          <w:rFonts w:ascii="Times New Roman" w:hAnsi="Times New Roman" w:cs="Times New Roman"/>
          <w:b/>
          <w:bCs/>
        </w:rPr>
        <w:t>、政府补助</w:t>
      </w:r>
      <w:bookmarkEnd w:id="178"/>
    </w:p>
    <w:p w:rsidR="000C0769" w:rsidRPr="00672DC8" w:rsidRDefault="000C0769">
      <w:pPr>
        <w:pStyle w:val="a3"/>
        <w:spacing w:before="0" w:beforeAutospacing="0" w:after="0" w:afterAutospacing="0" w:line="360" w:lineRule="auto"/>
        <w:ind w:firstLine="420"/>
        <w:jc w:val="both"/>
        <w:divId w:val="341665081"/>
        <w:rPr>
          <w:rFonts w:ascii="Times New Roman" w:hAnsi="Times New Roman" w:cs="Times New Roman"/>
          <w:sz w:val="21"/>
          <w:szCs w:val="21"/>
        </w:rPr>
      </w:pPr>
      <w:r w:rsidRPr="00672DC8">
        <w:rPr>
          <w:rFonts w:ascii="Times New Roman" w:hAnsi="Times New Roman" w:cs="Times New Roman"/>
          <w:sz w:val="21"/>
          <w:szCs w:val="21"/>
        </w:rPr>
        <w:t>政府补助是指本公司从政府无偿取得货币性资产和非货币性资产，不包括政府以投资者身份并享有相应所有者权益而投入的资本。政府补助分为与资产相关的政府补助和与收益相关的政府补助。本公司将所取得的用于购建或以其他方式形成长期资产的政府补助界定为与资产相关的政府补助；其余政府补助界定为与收益相关的政府补助。若政府文件未明确规定补助对象，则采用以下方式将补助款划分为与收益相关的政府补助和与资产相关的政府补助：</w:t>
      </w:r>
      <w:r w:rsidRPr="00672DC8">
        <w:rPr>
          <w:rFonts w:hint="eastAsia"/>
          <w:sz w:val="21"/>
          <w:szCs w:val="21"/>
        </w:rPr>
        <w:t>①</w:t>
      </w:r>
      <w:r w:rsidRPr="00672DC8">
        <w:rPr>
          <w:rFonts w:ascii="Times New Roman" w:hAnsi="Times New Roman" w:cs="Times New Roman"/>
          <w:sz w:val="21"/>
          <w:szCs w:val="21"/>
        </w:rPr>
        <w:t>政府文件明确了补助所针对的特定项目的，根据该特</w:t>
      </w:r>
      <w:r w:rsidRPr="00672DC8">
        <w:rPr>
          <w:rFonts w:ascii="Times New Roman" w:hAnsi="Times New Roman" w:cs="Times New Roman"/>
          <w:sz w:val="21"/>
          <w:szCs w:val="21"/>
        </w:rPr>
        <w:lastRenderedPageBreak/>
        <w:t>定项目的预算中将形成资产的支出金额和计入费用的支出金额的相对比例进行划分，对该划分比例需在每个资产负债表日进行复核，必要时进行变更；</w:t>
      </w:r>
      <w:r w:rsidRPr="00672DC8">
        <w:rPr>
          <w:rFonts w:hint="eastAsia"/>
          <w:sz w:val="21"/>
          <w:szCs w:val="21"/>
        </w:rPr>
        <w:t>②</w:t>
      </w:r>
      <w:r w:rsidRPr="00672DC8">
        <w:rPr>
          <w:rFonts w:ascii="Times New Roman" w:hAnsi="Times New Roman" w:cs="Times New Roman"/>
          <w:sz w:val="21"/>
          <w:szCs w:val="21"/>
        </w:rPr>
        <w:t>政府文件中对用途仅作一般性表述，没有指明特定项目的，作为与收益相关的政府补助。政府补助为货币性资产的，按照收到或应收的金额计量。政府补助为非货币性资产的，按照公允价值计量；公允价值不能够可靠取得的，按照名义金额计量。按照名义金额计量的政府补助，直接计入当期损益。</w:t>
      </w:r>
    </w:p>
    <w:p w:rsidR="000C0769" w:rsidRPr="00672DC8" w:rsidRDefault="000C0769">
      <w:pPr>
        <w:pStyle w:val="a3"/>
        <w:spacing w:before="0" w:beforeAutospacing="0" w:after="0" w:afterAutospacing="0" w:line="360" w:lineRule="auto"/>
        <w:ind w:firstLine="420"/>
        <w:jc w:val="both"/>
        <w:divId w:val="341665081"/>
        <w:rPr>
          <w:rFonts w:ascii="Times New Roman" w:hAnsi="Times New Roman" w:cs="Times New Roman"/>
          <w:sz w:val="21"/>
          <w:szCs w:val="21"/>
        </w:rPr>
      </w:pPr>
      <w:r w:rsidRPr="00672DC8">
        <w:rPr>
          <w:rFonts w:ascii="Times New Roman" w:hAnsi="Times New Roman" w:cs="Times New Roman"/>
          <w:sz w:val="21"/>
          <w:szCs w:val="21"/>
        </w:rPr>
        <w:t>本公司对于政府补助通常在实际收到时，按照实收金额予以确认和计量。但对于期末有确凿证据表明能够符合财政扶持政策规定的相关条件预计能够收到财政扶持资金，按照应收的金额计量。按照应收金额计量的政府补助应同时符合以下条件：</w:t>
      </w:r>
      <w:r w:rsidRPr="00672DC8">
        <w:rPr>
          <w:rFonts w:hint="eastAsia"/>
          <w:sz w:val="21"/>
          <w:szCs w:val="21"/>
        </w:rPr>
        <w:t>①</w:t>
      </w:r>
      <w:r w:rsidRPr="00672DC8">
        <w:rPr>
          <w:rFonts w:ascii="Times New Roman" w:hAnsi="Times New Roman" w:cs="Times New Roman"/>
          <w:sz w:val="21"/>
          <w:szCs w:val="21"/>
        </w:rPr>
        <w:t>应收补助款的金额已经过有权政府部门发文确认，或者可根据正式发布的财政资金管理办法的有关规定自行合理测算，且预计其金额不存在重大不确定性；</w:t>
      </w:r>
      <w:r w:rsidRPr="00672DC8">
        <w:rPr>
          <w:rFonts w:hint="eastAsia"/>
          <w:sz w:val="21"/>
          <w:szCs w:val="21"/>
        </w:rPr>
        <w:t>②</w:t>
      </w:r>
      <w:r w:rsidRPr="00672DC8">
        <w:rPr>
          <w:rFonts w:ascii="Times New Roman" w:hAnsi="Times New Roman" w:cs="Times New Roman"/>
          <w:sz w:val="21"/>
          <w:szCs w:val="21"/>
        </w:rPr>
        <w:t>所依据的是当地财政部门正式发布并按照《政府信息公开条例》的规定予以主动公开的财政扶持项目及其财政资金管理办法，且该管理办法应当是普惠性的（任何符合规定条件的企业均可申请），而不是专门针对特定企业制定的；</w:t>
      </w:r>
      <w:r w:rsidRPr="00672DC8">
        <w:rPr>
          <w:rFonts w:hint="eastAsia"/>
          <w:sz w:val="21"/>
          <w:szCs w:val="21"/>
        </w:rPr>
        <w:t>③</w:t>
      </w:r>
      <w:r w:rsidRPr="00672DC8">
        <w:rPr>
          <w:rFonts w:ascii="Times New Roman" w:hAnsi="Times New Roman" w:cs="Times New Roman"/>
          <w:sz w:val="21"/>
          <w:szCs w:val="21"/>
        </w:rPr>
        <w:t>相关的补助款批文中已明确承诺了拨付期限，且该款项的拨付是有相应财政预算作为保障的，因而可以合理保证其可在规定期限内收到；</w:t>
      </w:r>
      <w:r w:rsidRPr="00672DC8">
        <w:rPr>
          <w:rFonts w:hint="eastAsia"/>
          <w:sz w:val="21"/>
          <w:szCs w:val="21"/>
        </w:rPr>
        <w:t>④</w:t>
      </w:r>
      <w:r w:rsidRPr="00672DC8">
        <w:rPr>
          <w:rFonts w:ascii="Times New Roman" w:hAnsi="Times New Roman" w:cs="Times New Roman"/>
          <w:sz w:val="21"/>
          <w:szCs w:val="21"/>
        </w:rPr>
        <w:t>根据本公司和该补助事项的具体情况，应满足的其他相关条件（如有）。</w:t>
      </w:r>
    </w:p>
    <w:p w:rsidR="000C0769" w:rsidRPr="00672DC8" w:rsidRDefault="000C0769">
      <w:pPr>
        <w:pStyle w:val="a3"/>
        <w:spacing w:before="0" w:beforeAutospacing="0" w:after="0" w:afterAutospacing="0" w:line="360" w:lineRule="auto"/>
        <w:ind w:firstLine="420"/>
        <w:jc w:val="both"/>
        <w:divId w:val="341665081"/>
        <w:rPr>
          <w:rFonts w:ascii="Times New Roman" w:hAnsi="Times New Roman" w:cs="Times New Roman"/>
          <w:sz w:val="21"/>
          <w:szCs w:val="21"/>
        </w:rPr>
      </w:pPr>
      <w:r w:rsidRPr="00672DC8">
        <w:rPr>
          <w:rFonts w:ascii="Times New Roman" w:hAnsi="Times New Roman" w:cs="Times New Roman"/>
          <w:sz w:val="21"/>
          <w:szCs w:val="21"/>
        </w:rPr>
        <w:t>与资产相关的政府补助，确认为递延收益，并在相关资产的使用寿命内按照合理、系统的方法分期计入当期损益。与收益相关的政府补助，用于补偿以后期间的相关成本费用或损失的，确认为递延收益，并在确认相关成本费用或损失的期间计入当期损益；用于补偿已经发生的相关成本费用或损失的，直接计入当期损益。</w:t>
      </w:r>
    </w:p>
    <w:p w:rsidR="000C0769" w:rsidRPr="00672DC8" w:rsidRDefault="000C0769">
      <w:pPr>
        <w:pStyle w:val="a3"/>
        <w:spacing w:before="0" w:beforeAutospacing="0" w:after="0" w:afterAutospacing="0" w:line="360" w:lineRule="auto"/>
        <w:ind w:firstLine="420"/>
        <w:jc w:val="both"/>
        <w:divId w:val="341665081"/>
        <w:rPr>
          <w:rFonts w:ascii="Times New Roman" w:hAnsi="Times New Roman" w:cs="Times New Roman"/>
          <w:sz w:val="21"/>
          <w:szCs w:val="21"/>
        </w:rPr>
      </w:pPr>
      <w:r w:rsidRPr="00672DC8">
        <w:rPr>
          <w:rFonts w:ascii="Times New Roman" w:hAnsi="Times New Roman" w:cs="Times New Roman"/>
          <w:sz w:val="21"/>
          <w:szCs w:val="21"/>
        </w:rPr>
        <w:t>同时包含与资产相关部分和与收益相关部分的政府补助，区分不同部分分别进行会计处理；难以区分的，将其整体归类为与收益相关的政府补助。</w:t>
      </w:r>
    </w:p>
    <w:p w:rsidR="000C0769" w:rsidRPr="00672DC8" w:rsidRDefault="000C0769">
      <w:pPr>
        <w:pStyle w:val="a3"/>
        <w:spacing w:before="0" w:beforeAutospacing="0" w:after="0" w:afterAutospacing="0" w:line="360" w:lineRule="auto"/>
        <w:ind w:firstLine="420"/>
        <w:jc w:val="both"/>
        <w:divId w:val="341665081"/>
        <w:rPr>
          <w:rFonts w:ascii="Times New Roman" w:hAnsi="Times New Roman" w:cs="Times New Roman"/>
          <w:sz w:val="21"/>
          <w:szCs w:val="21"/>
        </w:rPr>
      </w:pPr>
      <w:r w:rsidRPr="00672DC8">
        <w:rPr>
          <w:rFonts w:ascii="Times New Roman" w:hAnsi="Times New Roman" w:cs="Times New Roman"/>
          <w:sz w:val="21"/>
          <w:szCs w:val="21"/>
        </w:rPr>
        <w:t>与本公司日常活动相关的政府补助，按照经济业务的实质，计入其他收益或冲减相关成本费用；与日常活动无关的政府补助，计入营业外收支。</w:t>
      </w:r>
    </w:p>
    <w:p w:rsidR="000C0769" w:rsidRPr="00672DC8" w:rsidRDefault="000C0769">
      <w:pPr>
        <w:pStyle w:val="a3"/>
        <w:divId w:val="341665081"/>
        <w:rPr>
          <w:rFonts w:ascii="Times New Roman" w:hAnsi="Times New Roman" w:cs="Times New Roman"/>
          <w:sz w:val="18"/>
          <w:szCs w:val="18"/>
        </w:rPr>
      </w:pPr>
      <w:r w:rsidRPr="00672DC8">
        <w:rPr>
          <w:rFonts w:ascii="Times New Roman" w:hAnsi="Times New Roman" w:cs="Times New Roman"/>
          <w:sz w:val="21"/>
          <w:szCs w:val="21"/>
        </w:rPr>
        <w:t>已确认的政府补助需要退回时，存在相关递延收益余额的，冲减相关递延收益账面余额，超出部分计入当期损益；属于其他情况的，直接计入当期损益。</w:t>
      </w:r>
    </w:p>
    <w:p w:rsidR="003D2BA8" w:rsidRPr="00672DC8" w:rsidRDefault="000C0769">
      <w:pPr>
        <w:pStyle w:val="3"/>
        <w:spacing w:line="280" w:lineRule="exact"/>
        <w:jc w:val="left"/>
        <w:rPr>
          <w:rFonts w:ascii="Times New Roman" w:hAnsi="Times New Roman" w:cs="Times New Roman"/>
          <w:b/>
          <w:bCs/>
        </w:rPr>
      </w:pPr>
      <w:bookmarkStart w:id="179" w:name="_Toc989042"/>
      <w:r w:rsidRPr="00672DC8">
        <w:rPr>
          <w:rFonts w:ascii="Times New Roman" w:hAnsi="Times New Roman" w:cs="Times New Roman"/>
          <w:b/>
          <w:bCs/>
        </w:rPr>
        <w:t>37</w:t>
      </w:r>
      <w:r w:rsidRPr="00672DC8">
        <w:rPr>
          <w:rFonts w:ascii="Times New Roman" w:hAnsi="Times New Roman" w:cs="Times New Roman"/>
          <w:b/>
          <w:bCs/>
        </w:rPr>
        <w:t>、递延所得税资产</w:t>
      </w:r>
      <w:r w:rsidRPr="00672DC8">
        <w:rPr>
          <w:rFonts w:ascii="Times New Roman" w:hAnsi="Times New Roman" w:cs="Times New Roman"/>
          <w:b/>
          <w:bCs/>
        </w:rPr>
        <w:t>/</w:t>
      </w:r>
      <w:r w:rsidRPr="00672DC8">
        <w:rPr>
          <w:rFonts w:ascii="Times New Roman" w:hAnsi="Times New Roman" w:cs="Times New Roman"/>
          <w:b/>
          <w:bCs/>
        </w:rPr>
        <w:t>递延所得税负债</w:t>
      </w:r>
      <w:bookmarkEnd w:id="179"/>
    </w:p>
    <w:p w:rsidR="000C0769" w:rsidRPr="00672DC8" w:rsidRDefault="000C0769">
      <w:pPr>
        <w:pStyle w:val="a3"/>
        <w:spacing w:before="0" w:beforeAutospacing="0" w:after="0" w:afterAutospacing="0" w:line="360" w:lineRule="auto"/>
        <w:ind w:firstLine="422"/>
        <w:jc w:val="both"/>
        <w:divId w:val="1420832759"/>
        <w:rPr>
          <w:rFonts w:ascii="Times New Roman" w:hAnsi="Times New Roman" w:cs="Times New Roman"/>
          <w:sz w:val="21"/>
          <w:szCs w:val="21"/>
        </w:rPr>
      </w:pPr>
      <w:r w:rsidRPr="00672DC8">
        <w:rPr>
          <w:rStyle w:val="a4"/>
          <w:rFonts w:ascii="Times New Roman" w:hAnsi="Times New Roman" w:cs="Times New Roman"/>
          <w:sz w:val="21"/>
          <w:szCs w:val="21"/>
        </w:rPr>
        <w:t xml:space="preserve">37.1  </w:t>
      </w:r>
      <w:r w:rsidRPr="00672DC8">
        <w:rPr>
          <w:rStyle w:val="a4"/>
          <w:rFonts w:ascii="Times New Roman" w:hAnsi="Times New Roman" w:cs="Times New Roman"/>
          <w:sz w:val="21"/>
          <w:szCs w:val="21"/>
        </w:rPr>
        <w:t>当期所得税</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资产负债表日，对于当期和以前期间形成的当期所得税负债（或资产），以按照税法规定计算的预期应交纳（或返还）的所得税金额计量。计算当期所得税费用所依据的应纳税所得额系根据有关税法规定对本报告期税前会计利润作相应调整后计算得出。</w:t>
      </w:r>
    </w:p>
    <w:p w:rsidR="000C0769" w:rsidRPr="00672DC8" w:rsidRDefault="000C0769">
      <w:pPr>
        <w:pStyle w:val="a3"/>
        <w:spacing w:before="0" w:beforeAutospacing="0" w:after="0" w:afterAutospacing="0" w:line="360" w:lineRule="auto"/>
        <w:ind w:firstLine="422"/>
        <w:jc w:val="both"/>
        <w:divId w:val="1420832759"/>
        <w:rPr>
          <w:rFonts w:ascii="Times New Roman" w:hAnsi="Times New Roman" w:cs="Times New Roman"/>
          <w:sz w:val="21"/>
          <w:szCs w:val="21"/>
        </w:rPr>
      </w:pPr>
      <w:r w:rsidRPr="00672DC8">
        <w:rPr>
          <w:rStyle w:val="a4"/>
          <w:rFonts w:ascii="Times New Roman" w:hAnsi="Times New Roman" w:cs="Times New Roman"/>
          <w:sz w:val="21"/>
          <w:szCs w:val="21"/>
        </w:rPr>
        <w:lastRenderedPageBreak/>
        <w:t xml:space="preserve">37.2  </w:t>
      </w:r>
      <w:r w:rsidRPr="00672DC8">
        <w:rPr>
          <w:rStyle w:val="a4"/>
          <w:rFonts w:ascii="Times New Roman" w:hAnsi="Times New Roman" w:cs="Times New Roman"/>
          <w:sz w:val="21"/>
          <w:szCs w:val="21"/>
        </w:rPr>
        <w:t>递延所得税资产及递延所得税负债</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某些资产、负债项目的账面价值与其计税基础之间的差额，以及未作为资产和负债确认但按照税法规定可以确定其计税基础的项目的账面价值与计税基础之间的差额产生的暂时性差异，采用资产负债表债务法确认递延所得税资产及递延所得税负债。</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与商誉的初始确认有关，以及与既不是企业合并、发生时也不影响会计利润和应纳税所得额（或可抵扣亏损）且初始确认的资产和负债未导致产生等额应纳税暂时性差异和可抵扣暂时性差异的单项交易，交易中产生的资产或负债的初始确认有关的应纳税暂时性差异，不予确认有关的递延所得税负债。此外，对与子公司、联营企业及合营企业投资相关的应纳税暂时性差异，如果本公司能够控制暂时性差异转回的时间，而且该暂时性差异在可预见的未来很可能不会转回，也不予确认有关的递延所得税负债。除上述例外情况，本公司确认其他所有应纳税暂时性差异产生的递延所得税负债。</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与既不是企业合并、发生时也不影响会计利润和应纳税所得额（或可抵扣亏损）且初始确认的资产和负债未导致产生等额应纳税暂时性差异和可抵扣暂时性差异的单项交易，交易中产生的资产或负债的初始确认有关的可抵扣暂时性差异，不予确认有关的递延所得税资产。此外，对与子公司、联营企业及合营企业投资相关的可抵扣暂时性差异，如果暂时性差异在可预见的未来不是很可能转回，或者未来不是很可能获得用来抵扣可抵扣暂时性差异的应纳税所得额，不予确认有关的递延所得税资产。除上述例外情况，本公司以很可能取得用来抵扣可抵扣暂时性差异的应纳税所得额为限，确认其他可抵扣暂时性差异产生的递延所得税资产。</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对于能够结转以后年度的可抵扣亏损和税款抵减，以很可能获得用来抵扣可抵扣亏损和税款抵减的未来应纳税所得额为限，确认相应的递延所得税资产。</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资产负债表日，对于递延所得税资产和递延所得税负债，根据税法规定，按照预期收回相关资产或清偿相关负债期间的适用税率计量。</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于资产负债表日，对递延所得税资产的账面价值进行复核，如果未来很可能无法获得足够的应纳税所得额用以抵扣递延所得税资产的利益，则减记递延所得税资产的账面价值。在很可能获得足够的应纳税所得额时，减记的金额予以转回。</w:t>
      </w:r>
    </w:p>
    <w:p w:rsidR="000C0769" w:rsidRPr="00672DC8" w:rsidRDefault="000C0769">
      <w:pPr>
        <w:pStyle w:val="a3"/>
        <w:spacing w:before="0" w:beforeAutospacing="0" w:after="0" w:afterAutospacing="0" w:line="360" w:lineRule="auto"/>
        <w:ind w:firstLine="422"/>
        <w:jc w:val="both"/>
        <w:divId w:val="1420832759"/>
        <w:rPr>
          <w:rFonts w:ascii="Times New Roman" w:hAnsi="Times New Roman" w:cs="Times New Roman"/>
          <w:sz w:val="21"/>
          <w:szCs w:val="21"/>
        </w:rPr>
      </w:pPr>
      <w:r w:rsidRPr="00672DC8">
        <w:rPr>
          <w:rStyle w:val="a4"/>
          <w:rFonts w:ascii="Times New Roman" w:hAnsi="Times New Roman" w:cs="Times New Roman"/>
          <w:sz w:val="21"/>
          <w:szCs w:val="21"/>
        </w:rPr>
        <w:t xml:space="preserve">37.3  </w:t>
      </w:r>
      <w:r w:rsidRPr="00672DC8">
        <w:rPr>
          <w:rStyle w:val="a4"/>
          <w:rFonts w:ascii="Times New Roman" w:hAnsi="Times New Roman" w:cs="Times New Roman"/>
          <w:sz w:val="21"/>
          <w:szCs w:val="21"/>
        </w:rPr>
        <w:t>所得税费用</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所得税费用包括当期所得税和递延所得税。</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除确认为其他综合收益或直接计入股东权益的交易和事项相关的当期所得税和递延所得税计入其他综合收益或股东权益，以及企业合并产生的递延所得税调整商誉的账面价值外，其余当期所得税和递延所得税费用或收益计入当期损益。</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所得税的抵销</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lastRenderedPageBreak/>
        <w:t>当拥有以净额结算的法定权利，且意图以净额结算或取得资产、清偿负债同时进行时，本公司当期所得税资产及当期所得税负债以抵销后的净额列报。</w:t>
      </w:r>
    </w:p>
    <w:p w:rsidR="000C0769" w:rsidRPr="00672DC8" w:rsidRDefault="000C0769">
      <w:pPr>
        <w:pStyle w:val="a3"/>
        <w:spacing w:before="0" w:beforeAutospacing="0" w:after="0" w:afterAutospacing="0" w:line="360" w:lineRule="auto"/>
        <w:ind w:firstLine="420"/>
        <w:jc w:val="both"/>
        <w:divId w:val="1420832759"/>
        <w:rPr>
          <w:rFonts w:ascii="Times New Roman" w:hAnsi="Times New Roman" w:cs="Times New Roman"/>
          <w:sz w:val="21"/>
          <w:szCs w:val="21"/>
        </w:rPr>
      </w:pPr>
      <w:r w:rsidRPr="00672DC8">
        <w:rPr>
          <w:rFonts w:ascii="Times New Roman" w:hAnsi="Times New Roman" w:cs="Times New Roman"/>
          <w:sz w:val="21"/>
          <w:szCs w:val="21"/>
        </w:rPr>
        <w:t>当拥有以净额结算当期所得税资产及当期所得税负债的法定权利，且递延所得税资产及递延所得税负债是与同一税收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抵销后的净额列报。</w:t>
      </w:r>
    </w:p>
    <w:p w:rsidR="003D2BA8" w:rsidRPr="00672DC8" w:rsidRDefault="000C0769">
      <w:pPr>
        <w:pStyle w:val="3"/>
        <w:spacing w:line="280" w:lineRule="exact"/>
        <w:jc w:val="left"/>
        <w:rPr>
          <w:rFonts w:ascii="Times New Roman" w:hAnsi="Times New Roman" w:cs="Times New Roman"/>
          <w:b/>
          <w:bCs/>
        </w:rPr>
      </w:pPr>
      <w:bookmarkStart w:id="180" w:name="_Toc989043"/>
      <w:r w:rsidRPr="00672DC8">
        <w:rPr>
          <w:rFonts w:ascii="Times New Roman" w:hAnsi="Times New Roman" w:cs="Times New Roman"/>
          <w:b/>
          <w:bCs/>
        </w:rPr>
        <w:t>38</w:t>
      </w:r>
      <w:r w:rsidRPr="00672DC8">
        <w:rPr>
          <w:rFonts w:ascii="Times New Roman" w:hAnsi="Times New Roman" w:cs="Times New Roman"/>
          <w:b/>
          <w:bCs/>
        </w:rPr>
        <w:t>、租赁</w:t>
      </w:r>
      <w:bookmarkEnd w:id="180"/>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81" w:name="_Toc98904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作为承租方租赁的会计处理方法</w:t>
      </w:r>
      <w:bookmarkEnd w:id="181"/>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t>本公司租赁资产的类别主要为房屋及建筑物。</w:t>
      </w:r>
    </w:p>
    <w:p w:rsidR="000C0769" w:rsidRPr="00672DC8" w:rsidRDefault="000C0769">
      <w:pPr>
        <w:pStyle w:val="a3"/>
        <w:spacing w:before="0" w:beforeAutospacing="0" w:after="0" w:afterAutospacing="0" w:line="360" w:lineRule="auto"/>
        <w:ind w:left="420"/>
        <w:divId w:val="875003056"/>
        <w:rPr>
          <w:rFonts w:ascii="Times New Roman" w:hAnsi="Times New Roman" w:cs="Times New Roman"/>
          <w:sz w:val="21"/>
          <w:szCs w:val="21"/>
        </w:rPr>
      </w:pPr>
      <w:r w:rsidRPr="00672DC8">
        <w:rPr>
          <w:rStyle w:val="a4"/>
          <w:rFonts w:ascii="Times New Roman" w:hAnsi="Times New Roman" w:cs="Times New Roman"/>
          <w:sz w:val="21"/>
          <w:szCs w:val="21"/>
        </w:rPr>
        <w:t xml:space="preserve">38.1.1  </w:t>
      </w:r>
      <w:r w:rsidRPr="00672DC8">
        <w:rPr>
          <w:rStyle w:val="a4"/>
          <w:rFonts w:ascii="Times New Roman" w:hAnsi="Times New Roman" w:cs="Times New Roman"/>
          <w:sz w:val="21"/>
          <w:szCs w:val="21"/>
        </w:rPr>
        <w:t>初始计量</w:t>
      </w:r>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t>在租赁期开始日，本公司将可在租赁期内使用租赁资产的权利确认为使用权资产，将尚未支付的租赁付款额的现值确认为租赁负债，短期租赁和低价值资产租赁除外。在计算租赁付款额的现值时，本公司采用租赁内含利率作为折现率；无法确定租赁内含利率的，采用承租人增量借款利率作为折现率。</w:t>
      </w:r>
    </w:p>
    <w:p w:rsidR="000C0769" w:rsidRPr="00672DC8" w:rsidRDefault="000C0769">
      <w:pPr>
        <w:pStyle w:val="a3"/>
        <w:spacing w:before="0" w:beforeAutospacing="0" w:after="0" w:afterAutospacing="0" w:line="360" w:lineRule="auto"/>
        <w:ind w:left="420"/>
        <w:divId w:val="875003056"/>
        <w:rPr>
          <w:rFonts w:ascii="Times New Roman" w:hAnsi="Times New Roman" w:cs="Times New Roman"/>
          <w:sz w:val="21"/>
          <w:szCs w:val="21"/>
        </w:rPr>
      </w:pPr>
      <w:r w:rsidRPr="00672DC8">
        <w:rPr>
          <w:rStyle w:val="a4"/>
          <w:rFonts w:ascii="Times New Roman" w:hAnsi="Times New Roman" w:cs="Times New Roman"/>
          <w:sz w:val="21"/>
          <w:szCs w:val="21"/>
        </w:rPr>
        <w:t xml:space="preserve">38.1.2  </w:t>
      </w:r>
      <w:r w:rsidRPr="00672DC8">
        <w:rPr>
          <w:rStyle w:val="a4"/>
          <w:rFonts w:ascii="Times New Roman" w:hAnsi="Times New Roman" w:cs="Times New Roman"/>
          <w:sz w:val="21"/>
          <w:szCs w:val="21"/>
        </w:rPr>
        <w:t>后续计量</w:t>
      </w:r>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t>本公司参照《企业会计准则第</w:t>
      </w:r>
      <w:r w:rsidRPr="00672DC8">
        <w:rPr>
          <w:rFonts w:ascii="Times New Roman" w:hAnsi="Times New Roman" w:cs="Times New Roman"/>
          <w:sz w:val="21"/>
          <w:szCs w:val="21"/>
        </w:rPr>
        <w:t>4</w:t>
      </w:r>
      <w:r w:rsidRPr="00672DC8">
        <w:rPr>
          <w:rFonts w:ascii="Times New Roman" w:hAnsi="Times New Roman" w:cs="Times New Roman"/>
          <w:sz w:val="21"/>
          <w:szCs w:val="21"/>
        </w:rPr>
        <w:t>号</w:t>
      </w:r>
      <w:r w:rsidRPr="00672DC8">
        <w:rPr>
          <w:rFonts w:ascii="Times New Roman" w:hAnsi="Times New Roman" w:cs="Times New Roman"/>
          <w:sz w:val="21"/>
          <w:szCs w:val="21"/>
        </w:rPr>
        <w:t>——</w:t>
      </w:r>
      <w:r w:rsidRPr="00672DC8">
        <w:rPr>
          <w:rFonts w:ascii="Times New Roman" w:hAnsi="Times New Roman" w:cs="Times New Roman"/>
          <w:sz w:val="21"/>
          <w:szCs w:val="21"/>
        </w:rPr>
        <w:t>固定资产》有关折旧规定对使用权资产计提折旧（详见附注</w:t>
      </w:r>
      <w:r w:rsidRPr="00672DC8">
        <w:rPr>
          <w:rFonts w:ascii="Times New Roman" w:hAnsi="Times New Roman" w:cs="Times New Roman"/>
          <w:sz w:val="21"/>
          <w:szCs w:val="21"/>
        </w:rPr>
        <w:t>“24</w:t>
      </w:r>
      <w:r w:rsidRPr="00672DC8">
        <w:rPr>
          <w:rFonts w:ascii="Times New Roman" w:hAnsi="Times New Roman" w:cs="Times New Roman"/>
          <w:sz w:val="21"/>
          <w:szCs w:val="21"/>
        </w:rPr>
        <w:t>、固定资产</w:t>
      </w:r>
      <w:r w:rsidRPr="00672DC8">
        <w:rPr>
          <w:rFonts w:ascii="Times New Roman" w:hAnsi="Times New Roman" w:cs="Times New Roman"/>
          <w:sz w:val="21"/>
          <w:szCs w:val="21"/>
        </w:rPr>
        <w:t>”</w:t>
      </w:r>
      <w:r w:rsidRPr="00672DC8">
        <w:rPr>
          <w:rFonts w:ascii="Times New Roman" w:hAnsi="Times New Roman" w:cs="Times New Roman"/>
          <w:sz w:val="21"/>
          <w:szCs w:val="21"/>
        </w:rPr>
        <w:t>），能够合理确定租赁期届满时取得租赁资产所有权的，本公司在租赁资产剩余使用寿命内计提折旧。无法合理确定租赁期届满时能够取得租赁资产所有权的，本公司在租赁期与租赁资产剩余使用寿命两者孰短的期间内计提折旧。</w:t>
      </w:r>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t>对于租赁负债，本公司按照固定的周期性利率计算其在租赁期内各期间的利息费用，计入当期损益或计入相关资产成本。未纳入租赁负债计量的可变租赁付款额在实际发生时计入当期损益或相关资产成本。</w:t>
      </w:r>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t>租赁期开始日后，当实质固定付款额发生变动、担保余值预计的应付金额发生变化、用于确定租赁付款额的指数或比率发生变动、购买选择权、续租选择权或终止选择权的评估结果或实际行权情况发生变化时，本公司按照变动后的租赁付款额的现值重新计量租赁负债，并相应调整使用权资产的账面价值。使用权资产账面价值已调减至零，但租赁负债仍需进一步调减的，本公司将剩余金额计入当期损益。</w:t>
      </w:r>
    </w:p>
    <w:p w:rsidR="000C0769" w:rsidRPr="00672DC8" w:rsidRDefault="000C0769">
      <w:pPr>
        <w:pStyle w:val="a3"/>
        <w:spacing w:before="0" w:beforeAutospacing="0" w:after="0" w:afterAutospacing="0" w:line="360" w:lineRule="auto"/>
        <w:ind w:left="420"/>
        <w:divId w:val="875003056"/>
        <w:rPr>
          <w:rFonts w:ascii="Times New Roman" w:hAnsi="Times New Roman" w:cs="Times New Roman"/>
          <w:sz w:val="21"/>
          <w:szCs w:val="21"/>
        </w:rPr>
      </w:pPr>
      <w:r w:rsidRPr="00672DC8">
        <w:rPr>
          <w:rStyle w:val="a4"/>
          <w:rFonts w:ascii="Times New Roman" w:hAnsi="Times New Roman" w:cs="Times New Roman"/>
          <w:sz w:val="21"/>
          <w:szCs w:val="21"/>
        </w:rPr>
        <w:t xml:space="preserve">38.1.3  </w:t>
      </w:r>
      <w:r w:rsidRPr="00672DC8">
        <w:rPr>
          <w:rStyle w:val="a4"/>
          <w:rFonts w:ascii="Times New Roman" w:hAnsi="Times New Roman" w:cs="Times New Roman"/>
          <w:sz w:val="21"/>
          <w:szCs w:val="21"/>
        </w:rPr>
        <w:t>短期租赁和低价值资产租赁</w:t>
      </w:r>
    </w:p>
    <w:p w:rsidR="000C0769" w:rsidRPr="00672DC8" w:rsidRDefault="000C0769">
      <w:pPr>
        <w:pStyle w:val="a3"/>
        <w:spacing w:before="0" w:beforeAutospacing="0" w:after="0" w:afterAutospacing="0" w:line="360" w:lineRule="auto"/>
        <w:ind w:firstLine="420"/>
        <w:divId w:val="875003056"/>
        <w:rPr>
          <w:rFonts w:ascii="Times New Roman" w:hAnsi="Times New Roman" w:cs="Times New Roman"/>
          <w:sz w:val="21"/>
          <w:szCs w:val="21"/>
        </w:rPr>
      </w:pPr>
      <w:r w:rsidRPr="00672DC8">
        <w:rPr>
          <w:rFonts w:ascii="Times New Roman" w:hAnsi="Times New Roman" w:cs="Times New Roman"/>
          <w:sz w:val="21"/>
          <w:szCs w:val="21"/>
        </w:rPr>
        <w:lastRenderedPageBreak/>
        <w:t>对于短期租赁（在租赁开始日租赁期不超过</w:t>
      </w:r>
      <w:r w:rsidRPr="00672DC8">
        <w:rPr>
          <w:rFonts w:ascii="Times New Roman" w:hAnsi="Times New Roman" w:cs="Times New Roman"/>
          <w:sz w:val="21"/>
          <w:szCs w:val="21"/>
        </w:rPr>
        <w:t>12</w:t>
      </w:r>
      <w:r w:rsidRPr="00672DC8">
        <w:rPr>
          <w:rFonts w:ascii="Times New Roman" w:hAnsi="Times New Roman" w:cs="Times New Roman"/>
          <w:sz w:val="21"/>
          <w:szCs w:val="21"/>
        </w:rPr>
        <w:t>个月的租赁）和低价值资产租赁，本公司采取简化处理方法，不确认使用权资产和租赁负债，而在租赁期内各个期间按照直线法或其他系统合理的方法将租赁付款额计入相关资产成本或当期损益。</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82" w:name="_Toc98904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作为出租方租赁的会计处理方法</w:t>
      </w:r>
      <w:bookmarkEnd w:id="182"/>
    </w:p>
    <w:p w:rsidR="000C0769" w:rsidRPr="00672DC8" w:rsidRDefault="000C0769">
      <w:pPr>
        <w:pStyle w:val="a3"/>
        <w:spacing w:before="0" w:beforeAutospacing="0" w:after="0" w:afterAutospacing="0" w:line="360" w:lineRule="auto"/>
        <w:ind w:firstLine="420"/>
        <w:divId w:val="678971699"/>
        <w:rPr>
          <w:rFonts w:ascii="Times New Roman" w:hAnsi="Times New Roman" w:cs="Times New Roman"/>
          <w:sz w:val="21"/>
          <w:szCs w:val="21"/>
        </w:rPr>
      </w:pPr>
      <w:r w:rsidRPr="00672DC8">
        <w:rPr>
          <w:rFonts w:ascii="Times New Roman" w:hAnsi="Times New Roman" w:cs="Times New Roman"/>
          <w:sz w:val="21"/>
          <w:szCs w:val="21"/>
        </w:rPr>
        <w:t>本公司在租赁开始日，基于交易的实质，将租赁分为融资租赁和经营租赁。融资租赁是指实质上转移了与租赁资产所有权有关的几乎全部风险和报酬的租赁。经营租赁是指除融资租赁以外的其他租赁。</w:t>
      </w:r>
    </w:p>
    <w:p w:rsidR="000C0769" w:rsidRPr="00672DC8" w:rsidRDefault="000C0769">
      <w:pPr>
        <w:pStyle w:val="a3"/>
        <w:spacing w:before="0" w:beforeAutospacing="0" w:after="0" w:afterAutospacing="0" w:line="360" w:lineRule="auto"/>
        <w:ind w:left="420"/>
        <w:divId w:val="678971699"/>
        <w:rPr>
          <w:rFonts w:ascii="Times New Roman" w:hAnsi="Times New Roman" w:cs="Times New Roman"/>
          <w:sz w:val="21"/>
          <w:szCs w:val="21"/>
        </w:rPr>
      </w:pPr>
      <w:r w:rsidRPr="00672DC8">
        <w:rPr>
          <w:rStyle w:val="a4"/>
          <w:rFonts w:ascii="Times New Roman" w:hAnsi="Times New Roman" w:cs="Times New Roman"/>
          <w:sz w:val="21"/>
          <w:szCs w:val="21"/>
        </w:rPr>
        <w:t xml:space="preserve">38.2.1  </w:t>
      </w:r>
      <w:r w:rsidRPr="00672DC8">
        <w:rPr>
          <w:rStyle w:val="a4"/>
          <w:rFonts w:ascii="Times New Roman" w:hAnsi="Times New Roman" w:cs="Times New Roman"/>
          <w:sz w:val="21"/>
          <w:szCs w:val="21"/>
        </w:rPr>
        <w:t>经营租赁</w:t>
      </w:r>
    </w:p>
    <w:p w:rsidR="000C0769" w:rsidRPr="00672DC8" w:rsidRDefault="000C0769">
      <w:pPr>
        <w:pStyle w:val="a3"/>
        <w:spacing w:before="0" w:beforeAutospacing="0" w:after="0" w:afterAutospacing="0" w:line="360" w:lineRule="auto"/>
        <w:ind w:firstLine="420"/>
        <w:divId w:val="678971699"/>
        <w:rPr>
          <w:rFonts w:ascii="Times New Roman" w:hAnsi="Times New Roman" w:cs="Times New Roman"/>
          <w:sz w:val="21"/>
          <w:szCs w:val="21"/>
        </w:rPr>
      </w:pPr>
      <w:r w:rsidRPr="00672DC8">
        <w:rPr>
          <w:rFonts w:ascii="Times New Roman" w:hAnsi="Times New Roman" w:cs="Times New Roman"/>
          <w:sz w:val="21"/>
          <w:szCs w:val="21"/>
        </w:rPr>
        <w:t>本公司采用直线法将经营租赁的租赁收款额确认为租赁期内各期间的租金收入。与经营租赁有关的未计入租赁收款额的可变租赁付款额，于实际发生时计入当期损益。</w:t>
      </w:r>
    </w:p>
    <w:p w:rsidR="000C0769" w:rsidRPr="00672DC8" w:rsidRDefault="000C0769">
      <w:pPr>
        <w:pStyle w:val="a3"/>
        <w:spacing w:before="0" w:beforeAutospacing="0" w:after="0" w:afterAutospacing="0" w:line="360" w:lineRule="auto"/>
        <w:ind w:left="420"/>
        <w:divId w:val="678971699"/>
        <w:rPr>
          <w:rFonts w:ascii="Times New Roman" w:hAnsi="Times New Roman" w:cs="Times New Roman"/>
          <w:sz w:val="21"/>
          <w:szCs w:val="21"/>
        </w:rPr>
      </w:pPr>
      <w:r w:rsidRPr="00672DC8">
        <w:rPr>
          <w:rStyle w:val="a4"/>
          <w:rFonts w:ascii="Times New Roman" w:hAnsi="Times New Roman" w:cs="Times New Roman"/>
          <w:sz w:val="21"/>
          <w:szCs w:val="21"/>
        </w:rPr>
        <w:t xml:space="preserve">38.2.2  </w:t>
      </w:r>
      <w:r w:rsidRPr="00672DC8">
        <w:rPr>
          <w:rStyle w:val="a4"/>
          <w:rFonts w:ascii="Times New Roman" w:hAnsi="Times New Roman" w:cs="Times New Roman"/>
          <w:sz w:val="21"/>
          <w:szCs w:val="21"/>
        </w:rPr>
        <w:t>融资租赁</w:t>
      </w:r>
    </w:p>
    <w:p w:rsidR="000C0769" w:rsidRPr="00672DC8" w:rsidRDefault="000C0769">
      <w:pPr>
        <w:pStyle w:val="a3"/>
        <w:spacing w:before="0" w:beforeAutospacing="0" w:after="0" w:afterAutospacing="0" w:line="360" w:lineRule="auto"/>
        <w:ind w:firstLine="420"/>
        <w:divId w:val="678971699"/>
        <w:rPr>
          <w:rFonts w:ascii="Times New Roman" w:hAnsi="Times New Roman" w:cs="Times New Roman"/>
          <w:sz w:val="21"/>
          <w:szCs w:val="21"/>
        </w:rPr>
      </w:pPr>
      <w:r w:rsidRPr="00672DC8">
        <w:rPr>
          <w:rFonts w:ascii="Times New Roman" w:hAnsi="Times New Roman" w:cs="Times New Roman"/>
          <w:sz w:val="21"/>
          <w:szCs w:val="21"/>
        </w:rPr>
        <w:t>于租赁期开始日，本公司确认应收融资租赁款，并终止确认融资租赁资产。应收融资租赁款以租赁投资净额（未担保余值和租赁期开始日尚未收到的租赁收款额按照租赁内含利率折现的现值之和）进行初始计量，并按照固定的周期性利率计算确认租赁期内的利息收入。本公司取得的未纳入租赁投资净额计量的可变租赁付款额在实际发生时计入当期损益。</w:t>
      </w:r>
    </w:p>
    <w:p w:rsidR="003D2BA8" w:rsidRPr="00672DC8" w:rsidRDefault="000C0769">
      <w:pPr>
        <w:pStyle w:val="3"/>
        <w:spacing w:line="280" w:lineRule="exact"/>
        <w:jc w:val="left"/>
        <w:rPr>
          <w:rFonts w:ascii="Times New Roman" w:hAnsi="Times New Roman" w:cs="Times New Roman"/>
          <w:b/>
          <w:bCs/>
        </w:rPr>
      </w:pPr>
      <w:bookmarkStart w:id="183" w:name="_Toc989046"/>
      <w:r w:rsidRPr="00672DC8">
        <w:rPr>
          <w:rFonts w:ascii="Times New Roman" w:hAnsi="Times New Roman" w:cs="Times New Roman"/>
          <w:b/>
          <w:bCs/>
        </w:rPr>
        <w:t>39</w:t>
      </w:r>
      <w:r w:rsidRPr="00672DC8">
        <w:rPr>
          <w:rFonts w:ascii="Times New Roman" w:hAnsi="Times New Roman" w:cs="Times New Roman"/>
          <w:b/>
          <w:bCs/>
        </w:rPr>
        <w:t>、其他重要的会计政策和会计估计</w:t>
      </w:r>
      <w:bookmarkEnd w:id="183"/>
    </w:p>
    <w:p w:rsidR="003D2BA8" w:rsidRPr="00672DC8" w:rsidRDefault="00E3081C" w:rsidP="00E3081C">
      <w:pPr>
        <w:pStyle w:val="a3"/>
        <w:spacing w:before="0" w:beforeAutospacing="0" w:after="0" w:afterAutospacing="0" w:line="360" w:lineRule="auto"/>
        <w:ind w:firstLine="420"/>
        <w:rPr>
          <w:rFonts w:ascii="Times New Roman" w:hAnsi="Times New Roman" w:cs="Times New Roman"/>
        </w:rPr>
      </w:pPr>
      <w:r w:rsidRPr="00672DC8">
        <w:rPr>
          <w:rFonts w:ascii="Times New Roman" w:hAnsi="Times New Roman" w:cs="Times New Roman"/>
        </w:rPr>
        <w:t>无</w:t>
      </w:r>
    </w:p>
    <w:p w:rsidR="003D2BA8" w:rsidRPr="00672DC8" w:rsidRDefault="000C0769">
      <w:pPr>
        <w:pStyle w:val="3"/>
        <w:spacing w:line="280" w:lineRule="exact"/>
        <w:jc w:val="left"/>
        <w:rPr>
          <w:rFonts w:ascii="Times New Roman" w:hAnsi="Times New Roman" w:cs="Times New Roman"/>
          <w:b/>
          <w:bCs/>
        </w:rPr>
      </w:pPr>
      <w:bookmarkStart w:id="184" w:name="_Toc989047"/>
      <w:r w:rsidRPr="00672DC8">
        <w:rPr>
          <w:rFonts w:ascii="Times New Roman" w:hAnsi="Times New Roman" w:cs="Times New Roman"/>
          <w:b/>
          <w:bCs/>
        </w:rPr>
        <w:t>40</w:t>
      </w:r>
      <w:r w:rsidRPr="00672DC8">
        <w:rPr>
          <w:rFonts w:ascii="Times New Roman" w:hAnsi="Times New Roman" w:cs="Times New Roman"/>
          <w:b/>
          <w:bCs/>
        </w:rPr>
        <w:t>、重要会计政策和会计估计变更</w:t>
      </w:r>
      <w:bookmarkEnd w:id="184"/>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185" w:name="_Toc989048"/>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重要会计政策变更</w:t>
      </w:r>
      <w:bookmarkEnd w:id="18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186" w:name="_Toc98904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重要会计估计变更</w:t>
      </w:r>
      <w:bookmarkEnd w:id="18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187" w:name="_Toc98905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2026</w:t>
      </w:r>
      <w:r w:rsidRPr="00672DC8">
        <w:rPr>
          <w:rFonts w:ascii="Times New Roman" w:eastAsia="宋体" w:hAnsi="Times New Roman" w:cs="Times New Roman"/>
          <w:b/>
          <w:bCs/>
          <w:sz w:val="18"/>
          <w:szCs w:val="18"/>
        </w:rPr>
        <w:t>年起首次执行新会计准则调整首次执行当年年初财务报表相关项目情况</w:t>
      </w:r>
      <w:bookmarkEnd w:id="187"/>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188" w:name="_Toc989051"/>
      <w:r w:rsidRPr="00672DC8">
        <w:rPr>
          <w:rFonts w:ascii="Times New Roman" w:hAnsi="Times New Roman" w:cs="Times New Roman"/>
          <w:b/>
          <w:bCs/>
        </w:rPr>
        <w:lastRenderedPageBreak/>
        <w:t>41</w:t>
      </w:r>
      <w:r w:rsidRPr="00672DC8">
        <w:rPr>
          <w:rFonts w:ascii="Times New Roman" w:hAnsi="Times New Roman" w:cs="Times New Roman"/>
          <w:b/>
          <w:bCs/>
        </w:rPr>
        <w:t>、其他</w:t>
      </w:r>
      <w:bookmarkEnd w:id="188"/>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89" w:name="_Toc989052"/>
      <w:r w:rsidRPr="00672DC8">
        <w:rPr>
          <w:rFonts w:ascii="Times New Roman" w:eastAsia="宋体" w:hAnsi="Times New Roman" w:cs="Times New Roman"/>
          <w:b/>
          <w:bCs/>
          <w:sz w:val="24"/>
          <w:szCs w:val="24"/>
        </w:rPr>
        <w:t>六、税项</w:t>
      </w:r>
      <w:bookmarkEnd w:id="189"/>
    </w:p>
    <w:p w:rsidR="003D2BA8" w:rsidRPr="00672DC8" w:rsidRDefault="000C0769">
      <w:pPr>
        <w:pStyle w:val="3"/>
        <w:spacing w:line="280" w:lineRule="exact"/>
        <w:jc w:val="left"/>
        <w:rPr>
          <w:rFonts w:ascii="Times New Roman" w:hAnsi="Times New Roman" w:cs="Times New Roman"/>
          <w:b/>
          <w:bCs/>
        </w:rPr>
      </w:pPr>
      <w:bookmarkStart w:id="190" w:name="_Toc989053"/>
      <w:r w:rsidRPr="00672DC8">
        <w:rPr>
          <w:rFonts w:ascii="Times New Roman" w:hAnsi="Times New Roman" w:cs="Times New Roman"/>
          <w:b/>
          <w:bCs/>
        </w:rPr>
        <w:t>1</w:t>
      </w:r>
      <w:r w:rsidRPr="00672DC8">
        <w:rPr>
          <w:rFonts w:ascii="Times New Roman" w:hAnsi="Times New Roman" w:cs="Times New Roman"/>
          <w:b/>
          <w:bCs/>
        </w:rPr>
        <w:t>、主要税种及税率</w:t>
      </w:r>
      <w:bookmarkEnd w:id="190"/>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6E5BD7">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税种</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计税依据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税率</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增值税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应纳税增值额</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应纳税额按应纳税销售额乘以适用税率扣除当期允许抵扣的进项税后的余额计算</w:t>
            </w:r>
            <w:r w:rsidRPr="00672DC8">
              <w:rPr>
                <w:rFonts w:ascii="Times New Roman" w:eastAsia="宋体" w:hAnsi="Times New Roman" w:cs="Times New Roman"/>
                <w:sz w:val="18"/>
                <w:szCs w:val="18"/>
              </w:rPr>
              <w:t>)</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13%</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9%</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缴纳的增值税税额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企业所得税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应纳税所得额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15%</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8.25%</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25%</w:t>
            </w:r>
          </w:p>
        </w:tc>
      </w:tr>
      <w:tr w:rsidR="003D2BA8" w:rsidRPr="00672DC8" w:rsidTr="006E5BD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教育费附加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缴纳的增值税税额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存在不同企业所得税税率纳税主体的，披露情况说明</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6410"/>
        <w:gridCol w:w="3229"/>
      </w:tblGrid>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纳税主体名称</w:t>
            </w:r>
          </w:p>
        </w:tc>
        <w:tc>
          <w:tcPr>
            <w:tcW w:w="322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所得税税率</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广东天亿马信息产业股份有限公司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粤科睿肯（上海）科技有限公司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桓台爱康新能源有限公司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桓台爱道光伏发电有限公司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湖南天晨新能源有限公司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广东天亿马新能源产业发展有限公司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深圳市亿泰新能源有限公司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广西亿泰新能源有限公司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广州路创轨道科技有限公司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广东天亿马数字产业有限公司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广州市天亿马信息技术有限公司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深圳市天亿马信息技术有限公司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8.25%</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天亿马新能源（衡阳）有限公司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衡阳凯晶新能源有限公司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北京天亿马人工智能科技有限公司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广东天亿马人工智能科技有限公司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r w:rsidR="003D2BA8" w:rsidRPr="00672DC8" w:rsidTr="006E5BD7">
        <w:trPr>
          <w:trHeight w:val="240"/>
        </w:trPr>
        <w:tc>
          <w:tcPr>
            <w:tcW w:w="6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c>
          <w:tcPr>
            <w:tcW w:w="3229"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w:t>
            </w:r>
          </w:p>
        </w:tc>
      </w:tr>
    </w:tbl>
    <w:p w:rsidR="003D2BA8" w:rsidRPr="00672DC8" w:rsidRDefault="000C0769">
      <w:pPr>
        <w:pStyle w:val="3"/>
        <w:spacing w:line="280" w:lineRule="exact"/>
        <w:jc w:val="left"/>
        <w:rPr>
          <w:rFonts w:ascii="Times New Roman" w:hAnsi="Times New Roman" w:cs="Times New Roman"/>
          <w:b/>
          <w:bCs/>
        </w:rPr>
      </w:pPr>
      <w:bookmarkStart w:id="191" w:name="_Toc989054"/>
      <w:r w:rsidRPr="00672DC8">
        <w:rPr>
          <w:rFonts w:ascii="Times New Roman" w:hAnsi="Times New Roman" w:cs="Times New Roman"/>
          <w:b/>
          <w:bCs/>
        </w:rPr>
        <w:t>2</w:t>
      </w:r>
      <w:r w:rsidRPr="00672DC8">
        <w:rPr>
          <w:rFonts w:ascii="Times New Roman" w:hAnsi="Times New Roman" w:cs="Times New Roman"/>
          <w:b/>
          <w:bCs/>
        </w:rPr>
        <w:t>、税收优惠</w:t>
      </w:r>
      <w:bookmarkEnd w:id="191"/>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本公司于</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12</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28</w:t>
      </w:r>
      <w:r w:rsidRPr="00672DC8">
        <w:rPr>
          <w:rFonts w:ascii="Times New Roman" w:hAnsi="Times New Roman" w:cs="Times New Roman"/>
          <w:snapToGrid w:val="0"/>
          <w:sz w:val="21"/>
          <w:szCs w:val="21"/>
        </w:rPr>
        <w:t>日取得广东省科学技术厅、广东省财政厅、国家税务总局广东省税务局联合下发的编号</w:t>
      </w:r>
      <w:r w:rsidRPr="00672DC8">
        <w:rPr>
          <w:rFonts w:ascii="Times New Roman" w:hAnsi="Times New Roman" w:cs="Times New Roman"/>
          <w:snapToGrid w:val="0"/>
          <w:sz w:val="21"/>
          <w:szCs w:val="21"/>
        </w:rPr>
        <w:t>GR202344010435</w:t>
      </w:r>
      <w:r w:rsidRPr="00672DC8">
        <w:rPr>
          <w:rFonts w:ascii="Times New Roman" w:hAnsi="Times New Roman" w:cs="Times New Roman"/>
          <w:snapToGrid w:val="0"/>
          <w:sz w:val="21"/>
          <w:szCs w:val="21"/>
        </w:rPr>
        <w:t>的高新技术企业证书，证书有效期为三年（</w:t>
      </w:r>
      <w:r w:rsidRPr="00672DC8">
        <w:rPr>
          <w:rFonts w:ascii="Times New Roman" w:hAnsi="Times New Roman" w:cs="Times New Roman"/>
          <w:snapToGrid w:val="0"/>
          <w:sz w:val="21"/>
          <w:szCs w:val="21"/>
        </w:rPr>
        <w:t>2023—2025</w:t>
      </w:r>
      <w:r w:rsidRPr="00672DC8">
        <w:rPr>
          <w:rFonts w:ascii="Times New Roman" w:hAnsi="Times New Roman" w:cs="Times New Roman"/>
          <w:snapToGrid w:val="0"/>
          <w:sz w:val="21"/>
          <w:szCs w:val="21"/>
        </w:rPr>
        <w:t>年）。根据企业所得税法第二十八条规定：</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国家需要重点扶持的高新技术企业，减按</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的税率征收企业所得税</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年度至</w:t>
      </w:r>
      <w:r w:rsidRPr="00672DC8">
        <w:rPr>
          <w:rFonts w:ascii="Times New Roman" w:hAnsi="Times New Roman" w:cs="Times New Roman"/>
          <w:snapToGrid w:val="0"/>
          <w:sz w:val="21"/>
          <w:szCs w:val="21"/>
        </w:rPr>
        <w:t>2025</w:t>
      </w:r>
      <w:r w:rsidRPr="00672DC8">
        <w:rPr>
          <w:rFonts w:ascii="Times New Roman" w:hAnsi="Times New Roman" w:cs="Times New Roman"/>
          <w:snapToGrid w:val="0"/>
          <w:sz w:val="21"/>
          <w:szCs w:val="21"/>
        </w:rPr>
        <w:t>年度，本公司适用</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的企业所得税税率。目前，公司高新技术企业证书已到期，公司已于本期重新申请高新技术企业的重新认定。</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lastRenderedPageBreak/>
        <w:t>根据《国家税务总局关于实施高新技术企业所得税优惠政策有关问题的公告》（国家税务总局公告</w:t>
      </w:r>
      <w:r w:rsidRPr="00672DC8">
        <w:rPr>
          <w:rFonts w:ascii="Times New Roman" w:hAnsi="Times New Roman" w:cs="Times New Roman"/>
          <w:snapToGrid w:val="0"/>
          <w:sz w:val="21"/>
          <w:szCs w:val="21"/>
        </w:rPr>
        <w:t xml:space="preserve">2017 </w:t>
      </w:r>
      <w:r w:rsidRPr="00672DC8">
        <w:rPr>
          <w:rFonts w:ascii="Times New Roman" w:hAnsi="Times New Roman" w:cs="Times New Roman"/>
          <w:snapToGrid w:val="0"/>
          <w:sz w:val="21"/>
          <w:szCs w:val="21"/>
        </w:rPr>
        <w:t>年第</w:t>
      </w:r>
      <w:r w:rsidRPr="00672DC8">
        <w:rPr>
          <w:rFonts w:ascii="Times New Roman" w:hAnsi="Times New Roman" w:cs="Times New Roman"/>
          <w:snapToGrid w:val="0"/>
          <w:sz w:val="21"/>
          <w:szCs w:val="21"/>
        </w:rPr>
        <w:t xml:space="preserve"> 24 </w:t>
      </w:r>
      <w:r w:rsidRPr="00672DC8">
        <w:rPr>
          <w:rFonts w:ascii="Times New Roman" w:hAnsi="Times New Roman" w:cs="Times New Roman"/>
          <w:snapToGrid w:val="0"/>
          <w:sz w:val="21"/>
          <w:szCs w:val="21"/>
        </w:rPr>
        <w:t>号）的规定，企业的高新技术企业资格期满当年，在通过重新认定前，其企业所得税暂按</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的税率预缴，在年底前仍未取得高新技术企业资格的，应按规定补缴相应期间的税款。根据上述相关规定，公司本期企业所得税暂减按</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的税率计缴。</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子公司深圳市互联精英信息技术有限公司（以下简称</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互联精英</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）于</w:t>
      </w:r>
      <w:r w:rsidRPr="00672DC8">
        <w:rPr>
          <w:rFonts w:ascii="Times New Roman" w:hAnsi="Times New Roman" w:cs="Times New Roman"/>
          <w:snapToGrid w:val="0"/>
          <w:sz w:val="21"/>
          <w:szCs w:val="21"/>
        </w:rPr>
        <w:t>2025</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12</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25</w:t>
      </w:r>
      <w:r w:rsidRPr="00672DC8">
        <w:rPr>
          <w:rFonts w:ascii="Times New Roman" w:hAnsi="Times New Roman" w:cs="Times New Roman"/>
          <w:snapToGrid w:val="0"/>
          <w:sz w:val="21"/>
          <w:szCs w:val="21"/>
        </w:rPr>
        <w:t>日取得深圳市工业和信息化局、深圳市财政局、国家税务总局深圳市税务局联合下发的编号</w:t>
      </w:r>
      <w:r w:rsidRPr="00672DC8">
        <w:rPr>
          <w:rFonts w:ascii="Times New Roman" w:hAnsi="Times New Roman" w:cs="Times New Roman"/>
          <w:snapToGrid w:val="0"/>
          <w:sz w:val="21"/>
          <w:szCs w:val="21"/>
        </w:rPr>
        <w:t>GR202544202042</w:t>
      </w:r>
      <w:r w:rsidRPr="00672DC8">
        <w:rPr>
          <w:rFonts w:ascii="Times New Roman" w:hAnsi="Times New Roman" w:cs="Times New Roman"/>
          <w:snapToGrid w:val="0"/>
          <w:sz w:val="21"/>
          <w:szCs w:val="21"/>
        </w:rPr>
        <w:t>的高新技术企业证书。根据企业所得税法第二十八条规定：</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国家需要重点扶持的高新技术企业，减按</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的税率征收企业所得税</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2025</w:t>
      </w:r>
      <w:r w:rsidRPr="00672DC8">
        <w:rPr>
          <w:rFonts w:ascii="Times New Roman" w:hAnsi="Times New Roman" w:cs="Times New Roman"/>
          <w:snapToGrid w:val="0"/>
          <w:sz w:val="21"/>
          <w:szCs w:val="21"/>
        </w:rPr>
        <w:t>年度至</w:t>
      </w:r>
      <w:r w:rsidRPr="00672DC8">
        <w:rPr>
          <w:rFonts w:ascii="Times New Roman" w:hAnsi="Times New Roman" w:cs="Times New Roman"/>
          <w:snapToGrid w:val="0"/>
          <w:sz w:val="21"/>
          <w:szCs w:val="21"/>
        </w:rPr>
        <w:t>2027</w:t>
      </w:r>
      <w:r w:rsidRPr="00672DC8">
        <w:rPr>
          <w:rFonts w:ascii="Times New Roman" w:hAnsi="Times New Roman" w:cs="Times New Roman"/>
          <w:snapToGrid w:val="0"/>
          <w:sz w:val="21"/>
          <w:szCs w:val="21"/>
        </w:rPr>
        <w:t>年度，互联精英适用</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的企业所得税税率。</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根据《财政部税务总局关于进一步支持小微企业和个体工商户发展有关税费政策的公告》（财政部税务总局公告</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年第</w:t>
      </w:r>
      <w:r w:rsidRPr="00672DC8">
        <w:rPr>
          <w:rFonts w:ascii="Times New Roman" w:hAnsi="Times New Roman" w:cs="Times New Roman"/>
          <w:snapToGrid w:val="0"/>
          <w:sz w:val="21"/>
          <w:szCs w:val="21"/>
        </w:rPr>
        <w:t>12</w:t>
      </w:r>
      <w:r w:rsidRPr="00672DC8">
        <w:rPr>
          <w:rFonts w:ascii="Times New Roman" w:hAnsi="Times New Roman" w:cs="Times New Roman"/>
          <w:snapToGrid w:val="0"/>
          <w:sz w:val="21"/>
          <w:szCs w:val="21"/>
        </w:rPr>
        <w:t>号），对小型微利企业减按</w:t>
      </w:r>
      <w:r w:rsidRPr="00672DC8">
        <w:rPr>
          <w:rFonts w:ascii="Times New Roman" w:hAnsi="Times New Roman" w:cs="Times New Roman"/>
          <w:snapToGrid w:val="0"/>
          <w:sz w:val="21"/>
          <w:szCs w:val="21"/>
        </w:rPr>
        <w:t>25%</w:t>
      </w:r>
      <w:r w:rsidRPr="00672DC8">
        <w:rPr>
          <w:rFonts w:ascii="Times New Roman" w:hAnsi="Times New Roman" w:cs="Times New Roman"/>
          <w:snapToGrid w:val="0"/>
          <w:sz w:val="21"/>
          <w:szCs w:val="21"/>
        </w:rPr>
        <w:t>计算应纳税所得额，按</w:t>
      </w:r>
      <w:r w:rsidRPr="00672DC8">
        <w:rPr>
          <w:rFonts w:ascii="Times New Roman" w:hAnsi="Times New Roman" w:cs="Times New Roman"/>
          <w:snapToGrid w:val="0"/>
          <w:sz w:val="21"/>
          <w:szCs w:val="21"/>
        </w:rPr>
        <w:t>20%</w:t>
      </w:r>
      <w:r w:rsidRPr="00672DC8">
        <w:rPr>
          <w:rFonts w:ascii="Times New Roman" w:hAnsi="Times New Roman" w:cs="Times New Roman"/>
          <w:snapToGrid w:val="0"/>
          <w:sz w:val="21"/>
          <w:szCs w:val="21"/>
        </w:rPr>
        <w:t>的税率缴纳企业所得税政策，延续执行至</w:t>
      </w:r>
      <w:r w:rsidRPr="00672DC8">
        <w:rPr>
          <w:rFonts w:ascii="Times New Roman" w:hAnsi="Times New Roman" w:cs="Times New Roman"/>
          <w:snapToGrid w:val="0"/>
          <w:sz w:val="21"/>
          <w:szCs w:val="21"/>
        </w:rPr>
        <w:t>2027</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12</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31</w:t>
      </w:r>
      <w:r w:rsidRPr="00672DC8">
        <w:rPr>
          <w:rFonts w:ascii="Times New Roman" w:hAnsi="Times New Roman" w:cs="Times New Roman"/>
          <w:snapToGrid w:val="0"/>
          <w:sz w:val="21"/>
          <w:szCs w:val="21"/>
        </w:rPr>
        <w:t>日。</w:t>
      </w:r>
      <w:r w:rsidRPr="00672DC8">
        <w:rPr>
          <w:rFonts w:ascii="Times New Roman" w:hAnsi="Times New Roman" w:cs="Times New Roman"/>
          <w:snapToGrid w:val="0"/>
          <w:sz w:val="21"/>
          <w:szCs w:val="21"/>
        </w:rPr>
        <w:t>2026</w:t>
      </w:r>
      <w:r w:rsidRPr="00672DC8">
        <w:rPr>
          <w:rFonts w:ascii="Times New Roman" w:hAnsi="Times New Roman" w:cs="Times New Roman"/>
          <w:snapToGrid w:val="0"/>
          <w:sz w:val="21"/>
          <w:szCs w:val="21"/>
        </w:rPr>
        <w:t>年广东天亿马信息科技有限公司（以下简称</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天亿马科技</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）等适用小微企业税务优惠。</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子公司天亿马（香港）信息产业有限公司（以下简称</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香港天亿马</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）依照香港立法局颁布的《税务条例》，依据课税年度的应纳税所得额按</w:t>
      </w:r>
      <w:r w:rsidRPr="00672DC8">
        <w:rPr>
          <w:rFonts w:ascii="Times New Roman" w:hAnsi="Times New Roman" w:cs="Times New Roman"/>
          <w:snapToGrid w:val="0"/>
          <w:sz w:val="21"/>
          <w:szCs w:val="21"/>
        </w:rPr>
        <w:t>16.5%</w:t>
      </w:r>
      <w:r w:rsidRPr="00672DC8">
        <w:rPr>
          <w:rFonts w:ascii="Times New Roman" w:hAnsi="Times New Roman" w:cs="Times New Roman"/>
          <w:snapToGrid w:val="0"/>
          <w:sz w:val="21"/>
          <w:szCs w:val="21"/>
        </w:rPr>
        <w:t>的税率缴纳利得税。于</w:t>
      </w:r>
      <w:r w:rsidRPr="00672DC8">
        <w:rPr>
          <w:rFonts w:ascii="Times New Roman" w:hAnsi="Times New Roman" w:cs="Times New Roman"/>
          <w:snapToGrid w:val="0"/>
          <w:sz w:val="21"/>
          <w:szCs w:val="21"/>
        </w:rPr>
        <w:t>2019</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4</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1</w:t>
      </w:r>
      <w:r w:rsidRPr="00672DC8">
        <w:rPr>
          <w:rFonts w:ascii="Times New Roman" w:hAnsi="Times New Roman" w:cs="Times New Roman"/>
          <w:snapToGrid w:val="0"/>
          <w:sz w:val="21"/>
          <w:szCs w:val="21"/>
        </w:rPr>
        <w:t>日及之后的税务年度采用</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两级税制</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，不超过</w:t>
      </w:r>
      <w:r w:rsidRPr="00672DC8">
        <w:rPr>
          <w:rFonts w:ascii="Times New Roman" w:hAnsi="Times New Roman" w:cs="Times New Roman"/>
          <w:snapToGrid w:val="0"/>
          <w:sz w:val="21"/>
          <w:szCs w:val="21"/>
        </w:rPr>
        <w:t>200</w:t>
      </w:r>
      <w:r w:rsidRPr="00672DC8">
        <w:rPr>
          <w:rFonts w:ascii="Times New Roman" w:hAnsi="Times New Roman" w:cs="Times New Roman"/>
          <w:snapToGrid w:val="0"/>
          <w:sz w:val="21"/>
          <w:szCs w:val="21"/>
        </w:rPr>
        <w:t>万港币的应评税利润适用</w:t>
      </w:r>
      <w:r w:rsidRPr="00672DC8">
        <w:rPr>
          <w:rFonts w:ascii="Times New Roman" w:hAnsi="Times New Roman" w:cs="Times New Roman"/>
          <w:snapToGrid w:val="0"/>
          <w:sz w:val="21"/>
          <w:szCs w:val="21"/>
        </w:rPr>
        <w:t>8.25%</w:t>
      </w:r>
      <w:r w:rsidRPr="00672DC8">
        <w:rPr>
          <w:rFonts w:ascii="Times New Roman" w:hAnsi="Times New Roman" w:cs="Times New Roman"/>
          <w:snapToGrid w:val="0"/>
          <w:sz w:val="21"/>
          <w:szCs w:val="21"/>
        </w:rPr>
        <w:t>税率，超过</w:t>
      </w:r>
      <w:r w:rsidRPr="00672DC8">
        <w:rPr>
          <w:rFonts w:ascii="Times New Roman" w:hAnsi="Times New Roman" w:cs="Times New Roman"/>
          <w:snapToGrid w:val="0"/>
          <w:sz w:val="21"/>
          <w:szCs w:val="21"/>
        </w:rPr>
        <w:t>200</w:t>
      </w:r>
      <w:r w:rsidRPr="00672DC8">
        <w:rPr>
          <w:rFonts w:ascii="Times New Roman" w:hAnsi="Times New Roman" w:cs="Times New Roman"/>
          <w:snapToGrid w:val="0"/>
          <w:sz w:val="21"/>
          <w:szCs w:val="21"/>
        </w:rPr>
        <w:t>万港币的应评税利润适用</w:t>
      </w:r>
      <w:r w:rsidRPr="00672DC8">
        <w:rPr>
          <w:rFonts w:ascii="Times New Roman" w:hAnsi="Times New Roman" w:cs="Times New Roman"/>
          <w:snapToGrid w:val="0"/>
          <w:sz w:val="21"/>
          <w:szCs w:val="21"/>
        </w:rPr>
        <w:t xml:space="preserve"> 16.5%</w:t>
      </w:r>
      <w:r w:rsidRPr="00672DC8">
        <w:rPr>
          <w:rFonts w:ascii="Times New Roman" w:hAnsi="Times New Roman" w:cs="Times New Roman"/>
          <w:snapToGrid w:val="0"/>
          <w:sz w:val="21"/>
          <w:szCs w:val="21"/>
        </w:rPr>
        <w:t>税率。</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子公司天亿马信息技术有限公司（以下简称</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天亿马技术</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）于</w:t>
      </w:r>
      <w:r w:rsidRPr="00672DC8">
        <w:rPr>
          <w:rFonts w:ascii="Times New Roman" w:hAnsi="Times New Roman" w:cs="Times New Roman"/>
          <w:snapToGrid w:val="0"/>
          <w:sz w:val="21"/>
          <w:szCs w:val="21"/>
        </w:rPr>
        <w:t>2024</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11</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28</w:t>
      </w:r>
      <w:r w:rsidRPr="00672DC8">
        <w:rPr>
          <w:rFonts w:ascii="Times New Roman" w:hAnsi="Times New Roman" w:cs="Times New Roman"/>
          <w:snapToGrid w:val="0"/>
          <w:sz w:val="21"/>
          <w:szCs w:val="21"/>
        </w:rPr>
        <w:t>日取得广东省科学技术厅、广东省财政厅、国家税务总局广东省税务局联合下发的编号</w:t>
      </w:r>
      <w:r w:rsidRPr="00672DC8">
        <w:rPr>
          <w:rFonts w:ascii="Times New Roman" w:hAnsi="Times New Roman" w:cs="Times New Roman"/>
          <w:snapToGrid w:val="0"/>
          <w:sz w:val="21"/>
          <w:szCs w:val="21"/>
        </w:rPr>
        <w:t>GR202444006228</w:t>
      </w:r>
      <w:r w:rsidRPr="00672DC8">
        <w:rPr>
          <w:rFonts w:ascii="Times New Roman" w:hAnsi="Times New Roman" w:cs="Times New Roman"/>
          <w:snapToGrid w:val="0"/>
          <w:sz w:val="21"/>
          <w:szCs w:val="21"/>
        </w:rPr>
        <w:t>的高新技术企业证书，证书有效期为三年（</w:t>
      </w:r>
      <w:r w:rsidRPr="00672DC8">
        <w:rPr>
          <w:rFonts w:ascii="Times New Roman" w:hAnsi="Times New Roman" w:cs="Times New Roman"/>
          <w:snapToGrid w:val="0"/>
          <w:sz w:val="21"/>
          <w:szCs w:val="21"/>
        </w:rPr>
        <w:t>2024—2026</w:t>
      </w:r>
      <w:r w:rsidRPr="00672DC8">
        <w:rPr>
          <w:rFonts w:ascii="Times New Roman" w:hAnsi="Times New Roman" w:cs="Times New Roman"/>
          <w:snapToGrid w:val="0"/>
          <w:sz w:val="21"/>
          <w:szCs w:val="21"/>
        </w:rPr>
        <w:t>年）。根据企业所得税法第二十八条规定：</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国家需要重点扶持的高新技术企业，减按</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的税率征收企业所得税</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w:t>
      </w:r>
      <w:r w:rsidRPr="00672DC8">
        <w:rPr>
          <w:rFonts w:ascii="Times New Roman" w:hAnsi="Times New Roman" w:cs="Times New Roman"/>
          <w:snapToGrid w:val="0"/>
          <w:sz w:val="21"/>
          <w:szCs w:val="21"/>
        </w:rPr>
        <w:t>2024</w:t>
      </w:r>
      <w:r w:rsidRPr="00672DC8">
        <w:rPr>
          <w:rFonts w:ascii="Times New Roman" w:hAnsi="Times New Roman" w:cs="Times New Roman"/>
          <w:snapToGrid w:val="0"/>
          <w:sz w:val="21"/>
          <w:szCs w:val="21"/>
        </w:rPr>
        <w:t>年度至</w:t>
      </w:r>
      <w:r w:rsidRPr="00672DC8">
        <w:rPr>
          <w:rFonts w:ascii="Times New Roman" w:hAnsi="Times New Roman" w:cs="Times New Roman"/>
          <w:snapToGrid w:val="0"/>
          <w:sz w:val="21"/>
          <w:szCs w:val="21"/>
        </w:rPr>
        <w:t>2026</w:t>
      </w:r>
      <w:r w:rsidRPr="00672DC8">
        <w:rPr>
          <w:rFonts w:ascii="Times New Roman" w:hAnsi="Times New Roman" w:cs="Times New Roman"/>
          <w:snapToGrid w:val="0"/>
          <w:sz w:val="21"/>
          <w:szCs w:val="21"/>
        </w:rPr>
        <w:t>年度，天亿马技术适用</w:t>
      </w:r>
      <w:r w:rsidRPr="00672DC8">
        <w:rPr>
          <w:rFonts w:ascii="Times New Roman" w:hAnsi="Times New Roman" w:cs="Times New Roman"/>
          <w:snapToGrid w:val="0"/>
          <w:sz w:val="21"/>
          <w:szCs w:val="21"/>
        </w:rPr>
        <w:t>15%</w:t>
      </w:r>
      <w:r w:rsidRPr="00672DC8">
        <w:rPr>
          <w:rFonts w:ascii="Times New Roman" w:hAnsi="Times New Roman" w:cs="Times New Roman"/>
          <w:snapToGrid w:val="0"/>
          <w:sz w:val="21"/>
          <w:szCs w:val="21"/>
        </w:rPr>
        <w:t>的企业所得税税率。</w:t>
      </w:r>
    </w:p>
    <w:p w:rsidR="000C0769" w:rsidRPr="00672DC8" w:rsidRDefault="000C0769">
      <w:pPr>
        <w:pStyle w:val="a3"/>
        <w:spacing w:before="0" w:beforeAutospacing="0" w:after="0" w:afterAutospacing="0" w:line="360" w:lineRule="auto"/>
        <w:ind w:firstLine="420"/>
        <w:jc w:val="both"/>
        <w:divId w:val="1515651691"/>
        <w:rPr>
          <w:rFonts w:ascii="Times New Roman" w:hAnsi="Times New Roman" w:cs="Times New Roman"/>
          <w:sz w:val="21"/>
          <w:szCs w:val="21"/>
        </w:rPr>
      </w:pPr>
      <w:r w:rsidRPr="00672DC8">
        <w:rPr>
          <w:rFonts w:ascii="Times New Roman" w:hAnsi="Times New Roman" w:cs="Times New Roman"/>
          <w:snapToGrid w:val="0"/>
          <w:sz w:val="21"/>
          <w:szCs w:val="21"/>
        </w:rPr>
        <w:t>根据《财政部</w:t>
      </w:r>
      <w:r w:rsidRPr="00672DC8">
        <w:rPr>
          <w:rFonts w:ascii="Times New Roman" w:hAnsi="Times New Roman" w:cs="Times New Roman"/>
          <w:snapToGrid w:val="0"/>
          <w:sz w:val="21"/>
          <w:szCs w:val="21"/>
        </w:rPr>
        <w:t xml:space="preserve"> </w:t>
      </w:r>
      <w:r w:rsidRPr="00672DC8">
        <w:rPr>
          <w:rFonts w:ascii="Times New Roman" w:hAnsi="Times New Roman" w:cs="Times New Roman"/>
          <w:snapToGrid w:val="0"/>
          <w:sz w:val="21"/>
          <w:szCs w:val="21"/>
        </w:rPr>
        <w:t>税务总局</w:t>
      </w:r>
      <w:r w:rsidRPr="00672DC8">
        <w:rPr>
          <w:rFonts w:ascii="Times New Roman" w:hAnsi="Times New Roman" w:cs="Times New Roman"/>
          <w:snapToGrid w:val="0"/>
          <w:sz w:val="21"/>
          <w:szCs w:val="21"/>
        </w:rPr>
        <w:t xml:space="preserve"> </w:t>
      </w:r>
      <w:r w:rsidRPr="00672DC8">
        <w:rPr>
          <w:rFonts w:ascii="Times New Roman" w:hAnsi="Times New Roman" w:cs="Times New Roman"/>
          <w:snapToGrid w:val="0"/>
          <w:sz w:val="21"/>
          <w:szCs w:val="21"/>
        </w:rPr>
        <w:t>关于进一步完善研发费用税前加计扣除政策的公告》（</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年第</w:t>
      </w:r>
      <w:r w:rsidRPr="00672DC8">
        <w:rPr>
          <w:rFonts w:ascii="Times New Roman" w:hAnsi="Times New Roman" w:cs="Times New Roman"/>
          <w:snapToGrid w:val="0"/>
          <w:sz w:val="21"/>
          <w:szCs w:val="21"/>
        </w:rPr>
        <w:t>7</w:t>
      </w:r>
      <w:r w:rsidRPr="00672DC8">
        <w:rPr>
          <w:rFonts w:ascii="Times New Roman" w:hAnsi="Times New Roman" w:cs="Times New Roman"/>
          <w:snapToGrid w:val="0"/>
          <w:sz w:val="21"/>
          <w:szCs w:val="21"/>
        </w:rPr>
        <w:t>号），企业开展研发活动中实际发生的研发费用，未形成无形资产计入当期损益的，在按规定据实扣除的基础上，自</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1</w:t>
      </w:r>
      <w:r w:rsidRPr="00672DC8">
        <w:rPr>
          <w:rFonts w:ascii="Times New Roman" w:hAnsi="Times New Roman" w:cs="Times New Roman"/>
          <w:snapToGrid w:val="0"/>
          <w:sz w:val="21"/>
          <w:szCs w:val="21"/>
        </w:rPr>
        <w:t>日起，再按照实际发生额的</w:t>
      </w:r>
      <w:r w:rsidRPr="00672DC8">
        <w:rPr>
          <w:rFonts w:ascii="Times New Roman" w:hAnsi="Times New Roman" w:cs="Times New Roman"/>
          <w:snapToGrid w:val="0"/>
          <w:sz w:val="21"/>
          <w:szCs w:val="21"/>
        </w:rPr>
        <w:t>100%</w:t>
      </w:r>
      <w:r w:rsidRPr="00672DC8">
        <w:rPr>
          <w:rFonts w:ascii="Times New Roman" w:hAnsi="Times New Roman" w:cs="Times New Roman"/>
          <w:snapToGrid w:val="0"/>
          <w:sz w:val="21"/>
          <w:szCs w:val="21"/>
        </w:rPr>
        <w:t>在税前加计扣除；形成无形资产的，自</w:t>
      </w:r>
      <w:r w:rsidRPr="00672DC8">
        <w:rPr>
          <w:rFonts w:ascii="Times New Roman" w:hAnsi="Times New Roman" w:cs="Times New Roman"/>
          <w:snapToGrid w:val="0"/>
          <w:sz w:val="21"/>
          <w:szCs w:val="21"/>
        </w:rPr>
        <w:t>2023</w:t>
      </w:r>
      <w:r w:rsidRPr="00672DC8">
        <w:rPr>
          <w:rFonts w:ascii="Times New Roman" w:hAnsi="Times New Roman" w:cs="Times New Roman"/>
          <w:snapToGrid w:val="0"/>
          <w:sz w:val="21"/>
          <w:szCs w:val="21"/>
        </w:rPr>
        <w:t>年</w:t>
      </w:r>
      <w:r w:rsidRPr="00672DC8">
        <w:rPr>
          <w:rFonts w:ascii="Times New Roman" w:hAnsi="Times New Roman" w:cs="Times New Roman"/>
          <w:snapToGrid w:val="0"/>
          <w:sz w:val="21"/>
          <w:szCs w:val="21"/>
        </w:rPr>
        <w:t>1</w:t>
      </w:r>
      <w:r w:rsidRPr="00672DC8">
        <w:rPr>
          <w:rFonts w:ascii="Times New Roman" w:hAnsi="Times New Roman" w:cs="Times New Roman"/>
          <w:snapToGrid w:val="0"/>
          <w:sz w:val="21"/>
          <w:szCs w:val="21"/>
        </w:rPr>
        <w:t>月</w:t>
      </w:r>
      <w:r w:rsidRPr="00672DC8">
        <w:rPr>
          <w:rFonts w:ascii="Times New Roman" w:hAnsi="Times New Roman" w:cs="Times New Roman"/>
          <w:snapToGrid w:val="0"/>
          <w:sz w:val="21"/>
          <w:szCs w:val="21"/>
        </w:rPr>
        <w:t>1</w:t>
      </w:r>
      <w:r w:rsidRPr="00672DC8">
        <w:rPr>
          <w:rFonts w:ascii="Times New Roman" w:hAnsi="Times New Roman" w:cs="Times New Roman"/>
          <w:snapToGrid w:val="0"/>
          <w:sz w:val="21"/>
          <w:szCs w:val="21"/>
        </w:rPr>
        <w:t>日起，按照无形资产成本的</w:t>
      </w:r>
      <w:r w:rsidRPr="00672DC8">
        <w:rPr>
          <w:rFonts w:ascii="Times New Roman" w:hAnsi="Times New Roman" w:cs="Times New Roman"/>
          <w:snapToGrid w:val="0"/>
          <w:sz w:val="21"/>
          <w:szCs w:val="21"/>
        </w:rPr>
        <w:t>200%</w:t>
      </w:r>
      <w:r w:rsidRPr="00672DC8">
        <w:rPr>
          <w:rFonts w:ascii="Times New Roman" w:hAnsi="Times New Roman" w:cs="Times New Roman"/>
          <w:snapToGrid w:val="0"/>
          <w:sz w:val="21"/>
          <w:szCs w:val="21"/>
        </w:rPr>
        <w:t>在税前摊销。</w:t>
      </w:r>
      <w:r w:rsidRPr="00672DC8">
        <w:rPr>
          <w:rFonts w:ascii="Times New Roman" w:hAnsi="Times New Roman" w:cs="Times New Roman"/>
          <w:snapToGrid w:val="0"/>
          <w:sz w:val="21"/>
          <w:szCs w:val="21"/>
        </w:rPr>
        <w:t>2026</w:t>
      </w:r>
      <w:r w:rsidRPr="00672DC8">
        <w:rPr>
          <w:rFonts w:ascii="Times New Roman" w:hAnsi="Times New Roman" w:cs="Times New Roman"/>
          <w:snapToGrid w:val="0"/>
          <w:sz w:val="21"/>
          <w:szCs w:val="21"/>
        </w:rPr>
        <w:t>年广东天亿马信息产业股份有限公司、天亿马信息技术有限公司、深圳市互联精英信息技术有限公司、广东翼启数据产业有限公司、广图粤科（广州）科技有限公司、上海天亿马人工智能科技有限公司均符合相关条件，研究开发费研发费用税前加计扣除比例为</w:t>
      </w:r>
      <w:r w:rsidRPr="00672DC8">
        <w:rPr>
          <w:rFonts w:ascii="Times New Roman" w:hAnsi="Times New Roman" w:cs="Times New Roman"/>
          <w:snapToGrid w:val="0"/>
          <w:sz w:val="21"/>
          <w:szCs w:val="21"/>
        </w:rPr>
        <w:t>100%</w:t>
      </w:r>
      <w:r w:rsidRPr="00672DC8">
        <w:rPr>
          <w:rFonts w:ascii="Times New Roman" w:hAnsi="Times New Roman" w:cs="Times New Roman"/>
          <w:snapToGrid w:val="0"/>
          <w:sz w:val="21"/>
          <w:szCs w:val="21"/>
        </w:rPr>
        <w:t>。</w:t>
      </w:r>
    </w:p>
    <w:p w:rsidR="003D2BA8" w:rsidRPr="00672DC8" w:rsidRDefault="000C0769" w:rsidP="006E5BD7">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公司需遵守《深圳证券交易所上市公司自律监管指引第</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行业信息披露》中的</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软件与信息技术服务业</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的披露要求</w:t>
      </w:r>
    </w:p>
    <w:p w:rsidR="003D2BA8" w:rsidRPr="00672DC8" w:rsidRDefault="000C0769" w:rsidP="006E5BD7">
      <w:pPr>
        <w:pStyle w:val="3"/>
        <w:spacing w:line="280" w:lineRule="exact"/>
        <w:jc w:val="left"/>
        <w:rPr>
          <w:rFonts w:ascii="Times New Roman" w:hAnsi="Times New Roman" w:cs="Times New Roman"/>
        </w:rPr>
      </w:pPr>
      <w:bookmarkStart w:id="192" w:name="_Toc989055"/>
      <w:r w:rsidRPr="00672DC8">
        <w:rPr>
          <w:rFonts w:ascii="Times New Roman" w:hAnsi="Times New Roman" w:cs="Times New Roman"/>
          <w:b/>
          <w:bCs/>
        </w:rPr>
        <w:lastRenderedPageBreak/>
        <w:t>3</w:t>
      </w:r>
      <w:r w:rsidRPr="00672DC8">
        <w:rPr>
          <w:rFonts w:ascii="Times New Roman" w:hAnsi="Times New Roman" w:cs="Times New Roman"/>
          <w:b/>
          <w:bCs/>
        </w:rPr>
        <w:t>、其他</w:t>
      </w:r>
      <w:bookmarkEnd w:id="192"/>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193" w:name="_Toc989056"/>
      <w:r w:rsidRPr="00672DC8">
        <w:rPr>
          <w:rFonts w:ascii="Times New Roman" w:eastAsia="宋体" w:hAnsi="Times New Roman" w:cs="Times New Roman"/>
          <w:b/>
          <w:bCs/>
          <w:sz w:val="24"/>
          <w:szCs w:val="24"/>
        </w:rPr>
        <w:t>七、合并财务报表项目注释</w:t>
      </w:r>
      <w:bookmarkEnd w:id="193"/>
    </w:p>
    <w:p w:rsidR="003D2BA8" w:rsidRPr="00672DC8" w:rsidRDefault="000C0769">
      <w:pPr>
        <w:pStyle w:val="3"/>
        <w:spacing w:line="280" w:lineRule="exact"/>
        <w:jc w:val="left"/>
        <w:rPr>
          <w:rFonts w:ascii="Times New Roman" w:hAnsi="Times New Roman" w:cs="Times New Roman"/>
          <w:b/>
          <w:bCs/>
        </w:rPr>
      </w:pPr>
      <w:bookmarkStart w:id="194" w:name="_Toc989057"/>
      <w:r w:rsidRPr="00672DC8">
        <w:rPr>
          <w:rFonts w:ascii="Times New Roman" w:hAnsi="Times New Roman" w:cs="Times New Roman"/>
          <w:b/>
          <w:bCs/>
        </w:rPr>
        <w:t>1</w:t>
      </w:r>
      <w:r w:rsidRPr="00672DC8">
        <w:rPr>
          <w:rFonts w:ascii="Times New Roman" w:hAnsi="Times New Roman" w:cs="Times New Roman"/>
          <w:b/>
          <w:bCs/>
        </w:rPr>
        <w:t>、货币资金</w:t>
      </w:r>
      <w:bookmarkEnd w:id="19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银行存款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366,411,166.76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307,030,100.65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其他货币资金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1,078,477.25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354,510.84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367,489,644.01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307,384,611.49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其中：存放在境外的款项总额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3,761,352.01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3,092,985.93</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p>
    <w:p w:rsidR="000C0769" w:rsidRPr="00672DC8" w:rsidRDefault="000C0769">
      <w:pPr>
        <w:pStyle w:val="a3"/>
        <w:divId w:val="1092507369"/>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195" w:name="_Toc989058"/>
      <w:r w:rsidRPr="00672DC8">
        <w:rPr>
          <w:rFonts w:ascii="Times New Roman" w:hAnsi="Times New Roman" w:cs="Times New Roman"/>
          <w:b/>
          <w:bCs/>
        </w:rPr>
        <w:t>2</w:t>
      </w:r>
      <w:r w:rsidRPr="00672DC8">
        <w:rPr>
          <w:rFonts w:ascii="Times New Roman" w:hAnsi="Times New Roman" w:cs="Times New Roman"/>
          <w:b/>
          <w:bCs/>
        </w:rPr>
        <w:t>、应收票据</w:t>
      </w:r>
      <w:bookmarkEnd w:id="195"/>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96" w:name="_Toc98905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应收票据分类列示</w:t>
      </w:r>
      <w:bookmarkEnd w:id="19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银行承兑票据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1,290,624.50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商业承兑票据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1,080,996.93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2,371,621.43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97" w:name="_Toc98906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19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按组合计提坏账准备的应收票据</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3,332,618.37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28.84%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2,371,621.43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1,290,624.50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38.73%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1,290,624.50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2,041,993.87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61.27%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47.06%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1,080,996.93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3,332,618.37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28.84%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2,371,621.43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324,000.00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按组合计提坏账准备类别名称：组合</w:t>
      </w:r>
      <w:r w:rsidRPr="00672DC8">
        <w:rPr>
          <w:rFonts w:ascii="Times New Roman" w:eastAsia="宋体" w:hAnsi="Times New Roman" w:cs="Times New Roman"/>
          <w:sz w:val="18"/>
          <w:szCs w:val="18"/>
        </w:rPr>
        <w:t>1</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1,290,624.50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1,290,624.50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1482775724"/>
        <w:rPr>
          <w:rFonts w:ascii="Times New Roman" w:hAnsi="Times New Roman" w:cs="Times New Roman"/>
          <w:sz w:val="18"/>
          <w:szCs w:val="18"/>
        </w:rPr>
      </w:pPr>
      <w:r w:rsidRPr="00672DC8">
        <w:rPr>
          <w:rFonts w:ascii="Times New Roman" w:hAnsi="Times New Roman" w:cs="Times New Roman"/>
          <w:sz w:val="18"/>
          <w:szCs w:val="18"/>
        </w:rPr>
        <w:t>确定应收票据组合的依据详见本节五、</w:t>
      </w:r>
      <w:r w:rsidRPr="00672DC8">
        <w:rPr>
          <w:rFonts w:ascii="Times New Roman" w:hAnsi="Times New Roman" w:cs="Times New Roman"/>
          <w:sz w:val="18"/>
          <w:szCs w:val="18"/>
        </w:rPr>
        <w:t>12</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2</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2-3</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300,000.00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90,000.00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3-4</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1,741,993.87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870,996.94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2,041,993.87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1185631566"/>
        <w:rPr>
          <w:rFonts w:ascii="Times New Roman" w:hAnsi="Times New Roman" w:cs="Times New Roman"/>
          <w:sz w:val="18"/>
          <w:szCs w:val="18"/>
        </w:rPr>
      </w:pPr>
      <w:r w:rsidRPr="00672DC8">
        <w:rPr>
          <w:rFonts w:ascii="Times New Roman" w:hAnsi="Times New Roman" w:cs="Times New Roman"/>
          <w:sz w:val="18"/>
          <w:szCs w:val="18"/>
        </w:rPr>
        <w:t>确定应收票据组合的依据详见本节五、</w:t>
      </w:r>
      <w:r w:rsidRPr="00672DC8">
        <w:rPr>
          <w:rFonts w:ascii="Times New Roman" w:hAnsi="Times New Roman" w:cs="Times New Roman"/>
          <w:sz w:val="18"/>
          <w:szCs w:val="18"/>
        </w:rPr>
        <w:t>12</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如是按照预期信用损失一般模型计提应收票据坏账准备：</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98" w:name="_Toc98906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本期计提、收回或转回的坏账准备情况</w:t>
      </w:r>
      <w:bookmarkEnd w:id="198"/>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本期计提坏账准备情况：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924,996.94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924,996.94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960,996.94</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199" w:name="_Toc98906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期末公司已质押的应收票据</w:t>
      </w:r>
      <w:bookmarkEnd w:id="19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期末已质押金额</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0" w:name="_Toc98906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期末公司已背书或贴现且在资产负债表日尚未到期的应收票据</w:t>
      </w:r>
      <w:bookmarkEnd w:id="20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6E5BD7">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期末终止确认金额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期末未终止确认金额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银行承兑票据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1,209,375.50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商业承兑票据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1,209,375.50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1" w:name="_Toc98906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本期实际核销的应收票据情况</w:t>
      </w:r>
      <w:bookmarkEnd w:id="20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其中重要的应收票据核销情况：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应收票据核销说明：</w:t>
      </w:r>
    </w:p>
    <w:p w:rsidR="000C0769" w:rsidRPr="00672DC8" w:rsidRDefault="000C0769">
      <w:pPr>
        <w:pStyle w:val="a3"/>
        <w:divId w:val="1331985334"/>
        <w:rPr>
          <w:rFonts w:ascii="Times New Roman" w:hAnsi="Times New Roman" w:cs="Times New Roman"/>
          <w:sz w:val="18"/>
          <w:szCs w:val="18"/>
        </w:rPr>
      </w:pPr>
      <w:r w:rsidRPr="00672DC8">
        <w:rPr>
          <w:rFonts w:ascii="Times New Roman" w:hAnsi="Times New Roman" w:cs="Times New Roman"/>
          <w:sz w:val="18"/>
          <w:szCs w:val="18"/>
        </w:rPr>
        <w:t>截至期末，公司无实际核销的应收票据。</w:t>
      </w:r>
    </w:p>
    <w:p w:rsidR="003D2BA8" w:rsidRPr="00672DC8" w:rsidRDefault="000C0769">
      <w:pPr>
        <w:pStyle w:val="3"/>
        <w:spacing w:line="280" w:lineRule="exact"/>
        <w:jc w:val="left"/>
        <w:rPr>
          <w:rFonts w:ascii="Times New Roman" w:hAnsi="Times New Roman" w:cs="Times New Roman"/>
          <w:b/>
          <w:bCs/>
        </w:rPr>
      </w:pPr>
      <w:bookmarkStart w:id="202" w:name="_Toc989065"/>
      <w:r w:rsidRPr="00672DC8">
        <w:rPr>
          <w:rFonts w:ascii="Times New Roman" w:hAnsi="Times New Roman" w:cs="Times New Roman"/>
          <w:b/>
          <w:bCs/>
        </w:rPr>
        <w:t>3</w:t>
      </w:r>
      <w:r w:rsidRPr="00672DC8">
        <w:rPr>
          <w:rFonts w:ascii="Times New Roman" w:hAnsi="Times New Roman" w:cs="Times New Roman"/>
          <w:b/>
          <w:bCs/>
        </w:rPr>
        <w:t>、应收账款</w:t>
      </w:r>
      <w:bookmarkEnd w:id="202"/>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3" w:name="_Toc98906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按账龄披露</w:t>
      </w:r>
      <w:bookmarkEnd w:id="203"/>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年以内（含</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190,280,043.70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181,663,881.35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47,290,280.46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39,199,188.04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69,241,397.13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81,581,348.83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83,664,936.86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90,592,606.69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42,605,644.61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48,183,648.16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26,491,114.59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29,222,151.84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14,568,177.66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13,186,806.69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390,476,658.15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393,037,024.91</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4" w:name="_Toc98906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0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390,476,658.15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97,108,229.10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293,368,429.05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393,037,024.91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103,424,026.71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26.31%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289,612,998.20</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66,366,331.76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11,657,066.15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54,709,265.61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64,993,097.71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16.54%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12,870,999.35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52,122,098.36</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324,110,326.39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85,451,162.95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26.36%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238,659,163.44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328,043,927.20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90,553,027.36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27.60%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237,490,899.84</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390,476,658.15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97,108,229.10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293,368,429.05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393,037,024.91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103,424,026.71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26.31%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289,612,998.20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1</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29,762,900.35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1,488,145.03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22,786,728.25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2,278,672.83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4,929,223.99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1,478,767.20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4,413,326.49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2,206,663.25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1,346,674.18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1,077,339.34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3,127,478.50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3,127,478.50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66,366,331.76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11,657,066.15</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280647867"/>
        <w:rPr>
          <w:rFonts w:ascii="Times New Roman" w:hAnsi="Times New Roman" w:cs="Times New Roman"/>
          <w:sz w:val="18"/>
          <w:szCs w:val="18"/>
        </w:rPr>
      </w:pPr>
      <w:r w:rsidRPr="00672DC8">
        <w:rPr>
          <w:rFonts w:ascii="Times New Roman" w:hAnsi="Times New Roman" w:cs="Times New Roman"/>
          <w:sz w:val="18"/>
          <w:szCs w:val="18"/>
        </w:rPr>
        <w:t>确定应收账款组合的依据详见本节五、</w:t>
      </w:r>
      <w:r w:rsidRPr="00672DC8">
        <w:rPr>
          <w:rFonts w:ascii="Times New Roman" w:hAnsi="Times New Roman" w:cs="Times New Roman"/>
          <w:sz w:val="18"/>
          <w:szCs w:val="18"/>
        </w:rPr>
        <w:t>13</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2</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160,517,143.35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8,025,857.16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24,503,552.21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2,450,355.22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64,312,173.14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19,293,651.94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38,192,318.12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19,096,159.06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25,144,440.41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25,144,440.41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11,440,699.16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11,440,699.16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324,110,326.39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85,451,162.95</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844518770"/>
        <w:rPr>
          <w:rFonts w:ascii="Times New Roman" w:hAnsi="Times New Roman" w:cs="Times New Roman"/>
          <w:sz w:val="18"/>
          <w:szCs w:val="18"/>
        </w:rPr>
      </w:pPr>
      <w:r w:rsidRPr="00672DC8">
        <w:rPr>
          <w:rFonts w:ascii="Times New Roman" w:hAnsi="Times New Roman" w:cs="Times New Roman"/>
          <w:sz w:val="18"/>
          <w:szCs w:val="18"/>
        </w:rPr>
        <w:t>确定应收账款组合的依据详见本节五、</w:t>
      </w:r>
      <w:r w:rsidRPr="00672DC8">
        <w:rPr>
          <w:rFonts w:ascii="Times New Roman" w:hAnsi="Times New Roman" w:cs="Times New Roman"/>
          <w:sz w:val="18"/>
          <w:szCs w:val="18"/>
        </w:rPr>
        <w:t>13</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如是按照预期信用损失一般模型计提应收账款坏账准备：</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5" w:name="_Toc98906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本期计提、收回或转回的坏账准备情况</w:t>
      </w:r>
      <w:bookmarkEnd w:id="20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本期计提坏账准备情况：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账龄组合</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103,424,026.71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-6,315,797.61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97,108,229.10</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103,424,026.71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-6,315,797.61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97,108,229.10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6" w:name="_Toc98906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本期实际核销的应收账款情况</w:t>
      </w:r>
      <w:bookmarkEnd w:id="20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其中重要的应收账款核销情况：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D05A96">
      <w:pPr>
        <w:spacing w:before="100" w:after="100" w:line="240" w:lineRule="exact"/>
        <w:divId w:val="612710708"/>
        <w:rPr>
          <w:rFonts w:ascii="Times New Roman" w:hAnsi="Times New Roman" w:cs="Times New Roman"/>
          <w:sz w:val="18"/>
          <w:szCs w:val="18"/>
        </w:rPr>
      </w:pPr>
      <w:r w:rsidRPr="00672DC8">
        <w:rPr>
          <w:rFonts w:ascii="Times New Roman" w:eastAsia="宋体" w:hAnsi="Times New Roman" w:cs="Times New Roman"/>
          <w:sz w:val="18"/>
          <w:szCs w:val="18"/>
        </w:rPr>
        <w:t>应收账款核销说明：本期无应收账款核销。</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7" w:name="_Toc98907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按欠款方归集的期末余额前五名的应收账款和合同资产情况</w:t>
      </w:r>
      <w:bookmarkEnd w:id="20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应收账款和合同资产期末余额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占应收账款和合同资产期末余额合计数的比例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应收账款坏账准备和合同资产减值准备期末余额</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第一名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53,752,119.30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627,118.94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54,379,238.24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13.85%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21,175,466.37</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第二名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43,712,655.61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43,712,655.61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18,831,809.88</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第三名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21,899,454.79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184,449.89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22,083,904.68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1,248,111.71</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第四名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19,912,585.15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920,989.16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20,833,574.31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1,250,574.20</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第五名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20,800,854.72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20,800,854.72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6,240,256.42</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160,077,669.57</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1,732,557.99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161,810,227.56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41.21%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48,746,218.58</w:t>
            </w:r>
          </w:p>
        </w:tc>
      </w:tr>
    </w:tbl>
    <w:p w:rsidR="003D2BA8" w:rsidRPr="00672DC8" w:rsidRDefault="000C0769">
      <w:pPr>
        <w:pStyle w:val="3"/>
        <w:spacing w:line="280" w:lineRule="exact"/>
        <w:jc w:val="left"/>
        <w:rPr>
          <w:rFonts w:ascii="Times New Roman" w:hAnsi="Times New Roman" w:cs="Times New Roman"/>
          <w:b/>
          <w:bCs/>
        </w:rPr>
      </w:pPr>
      <w:bookmarkStart w:id="208" w:name="_Toc989071"/>
      <w:r w:rsidRPr="00672DC8">
        <w:rPr>
          <w:rFonts w:ascii="Times New Roman" w:hAnsi="Times New Roman" w:cs="Times New Roman"/>
          <w:b/>
          <w:bCs/>
        </w:rPr>
        <w:t>4</w:t>
      </w:r>
      <w:r w:rsidRPr="00672DC8">
        <w:rPr>
          <w:rFonts w:ascii="Times New Roman" w:hAnsi="Times New Roman" w:cs="Times New Roman"/>
          <w:b/>
          <w:bCs/>
        </w:rPr>
        <w:t>、合同资产</w:t>
      </w:r>
      <w:bookmarkEnd w:id="20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09" w:name="_Toc98907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合同资产情况</w:t>
      </w:r>
      <w:bookmarkEnd w:id="20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质保金</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2,223,480.85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136,696.54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2,086,784.31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1,613,441.69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105,442.08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1,507,999.61</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减：计入其他非流动资产</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-1,629,608.10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-85,555.41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-1,544,052.69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-708,618.94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-35,430.95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-673,187.99</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593,872.75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51,141.13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904,822.75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70,011.13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10" w:name="_Toc98907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报告期内账面价值发生的重大变动金额和原因</w:t>
      </w:r>
      <w:bookmarkEnd w:id="210"/>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变动原因</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11" w:name="_Toc98907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11"/>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593,872.75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51,141.13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904,822.75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70,011.13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593,872.75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51,141.13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904,822.75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70,011.13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593,872.75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51,141.13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542,731.62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904,822.75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70,011.13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834,811.62</w:t>
            </w: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按组合计提坏账准备类别个数：</w:t>
      </w:r>
      <w:r w:rsidRPr="00672DC8">
        <w:rPr>
          <w:rFonts w:ascii="Times New Roman" w:eastAsia="宋体" w:hAnsi="Times New Roman" w:cs="Times New Roman"/>
          <w:sz w:val="18"/>
          <w:szCs w:val="18"/>
        </w:rPr>
        <w:t>1</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2</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164,922.86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8,246.14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428,949.89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42,894.99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593,872.75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51,141.13</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664555757"/>
        <w:rPr>
          <w:rFonts w:ascii="Times New Roman" w:hAnsi="Times New Roman" w:cs="Times New Roman"/>
          <w:sz w:val="18"/>
          <w:szCs w:val="18"/>
        </w:rPr>
      </w:pPr>
      <w:r w:rsidRPr="00672DC8">
        <w:rPr>
          <w:rFonts w:ascii="Times New Roman" w:hAnsi="Times New Roman" w:cs="Times New Roman"/>
          <w:sz w:val="18"/>
          <w:szCs w:val="18"/>
        </w:rPr>
        <w:t>确定合同资产组合的依据详见本节五、</w:t>
      </w:r>
      <w:r w:rsidRPr="00672DC8">
        <w:rPr>
          <w:rFonts w:ascii="Times New Roman" w:hAnsi="Times New Roman" w:cs="Times New Roman"/>
          <w:sz w:val="18"/>
          <w:szCs w:val="18"/>
        </w:rPr>
        <w:t>16</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按预期信用损失一般模型计提坏账准备</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12" w:name="_Toc98907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本期计提、收回或转回的坏账准备情况</w:t>
      </w:r>
      <w:bookmarkEnd w:id="212"/>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本期收回或转回</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本期转销</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核销</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原因</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质保金</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31,254.46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31,254.46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D05A96">
      <w:pPr>
        <w:spacing w:before="100" w:after="100" w:line="240" w:lineRule="exact"/>
        <w:divId w:val="1071738282"/>
        <w:rPr>
          <w:rFonts w:ascii="Times New Roman" w:hAnsi="Times New Roman" w:cs="Times New Roman"/>
          <w:sz w:val="18"/>
          <w:szCs w:val="18"/>
        </w:rPr>
      </w:pPr>
      <w:r w:rsidRPr="00672DC8">
        <w:rPr>
          <w:rFonts w:ascii="Times New Roman" w:eastAsia="宋体" w:hAnsi="Times New Roman" w:cs="Times New Roman"/>
          <w:sz w:val="18"/>
          <w:szCs w:val="18"/>
        </w:rPr>
        <w:lastRenderedPageBreak/>
        <w:t>其他说明</w:t>
      </w:r>
      <w:r w:rsidR="00D05A96"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13" w:name="_Toc98907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本期实际核销的合同资产情况</w:t>
      </w:r>
      <w:bookmarkEnd w:id="21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其中重要的合同资产核销情况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D05A96">
      <w:pPr>
        <w:spacing w:before="100" w:after="100" w:line="240" w:lineRule="exact"/>
        <w:divId w:val="1113478018"/>
        <w:rPr>
          <w:rFonts w:ascii="Times New Roman" w:hAnsi="Times New Roman" w:cs="Times New Roman"/>
          <w:sz w:val="18"/>
          <w:szCs w:val="18"/>
        </w:rPr>
      </w:pPr>
      <w:r w:rsidRPr="00672DC8">
        <w:rPr>
          <w:rFonts w:ascii="Times New Roman" w:eastAsia="宋体" w:hAnsi="Times New Roman" w:cs="Times New Roman"/>
          <w:sz w:val="18"/>
          <w:szCs w:val="18"/>
        </w:rPr>
        <w:t>合同资产核销说明：本期无核销的合同资产。</w:t>
      </w:r>
    </w:p>
    <w:p w:rsidR="000C0769" w:rsidRPr="00672DC8" w:rsidRDefault="000C0769" w:rsidP="00D05A96">
      <w:pPr>
        <w:spacing w:before="100" w:after="100" w:line="240" w:lineRule="exact"/>
        <w:divId w:val="1357266140"/>
        <w:rPr>
          <w:rFonts w:ascii="Times New Roman" w:hAnsi="Times New Roman" w:cs="Times New Roman"/>
          <w:sz w:val="18"/>
          <w:szCs w:val="18"/>
        </w:rPr>
      </w:pPr>
      <w:r w:rsidRPr="00672DC8">
        <w:rPr>
          <w:rFonts w:ascii="Times New Roman" w:eastAsia="宋体" w:hAnsi="Times New Roman" w:cs="Times New Roman"/>
          <w:sz w:val="18"/>
          <w:szCs w:val="18"/>
        </w:rPr>
        <w:t>其他说明：无</w:t>
      </w:r>
      <w:r w:rsidR="005B07D3" w:rsidRPr="00672DC8">
        <w:rPr>
          <w:rFonts w:ascii="Times New Roman" w:eastAsia="宋体" w:hAnsi="Times New Roman" w:cs="Times New Roman"/>
          <w:sz w:val="18"/>
          <w:szCs w:val="18"/>
        </w:rPr>
        <w:t>。</w:t>
      </w:r>
    </w:p>
    <w:p w:rsidR="003D2BA8" w:rsidRPr="00672DC8" w:rsidRDefault="000C0769">
      <w:pPr>
        <w:pStyle w:val="3"/>
        <w:spacing w:line="280" w:lineRule="exact"/>
        <w:jc w:val="left"/>
        <w:rPr>
          <w:rFonts w:ascii="Times New Roman" w:hAnsi="Times New Roman" w:cs="Times New Roman"/>
          <w:b/>
          <w:bCs/>
        </w:rPr>
      </w:pPr>
      <w:bookmarkStart w:id="214" w:name="_Toc989077"/>
      <w:r w:rsidRPr="00672DC8">
        <w:rPr>
          <w:rFonts w:ascii="Times New Roman" w:hAnsi="Times New Roman" w:cs="Times New Roman"/>
          <w:b/>
          <w:bCs/>
        </w:rPr>
        <w:t>5</w:t>
      </w:r>
      <w:r w:rsidRPr="00672DC8">
        <w:rPr>
          <w:rFonts w:ascii="Times New Roman" w:hAnsi="Times New Roman" w:cs="Times New Roman"/>
          <w:b/>
          <w:bCs/>
        </w:rPr>
        <w:t>、其他应收款</w:t>
      </w:r>
      <w:bookmarkEnd w:id="21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7,855,084.00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7,465,404.60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7,855,084.00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7,465,404.60</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15" w:name="_Toc98907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应收利息</w:t>
      </w:r>
      <w:bookmarkEnd w:id="215"/>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16" w:name="_Toc989079"/>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应收利息分类</w:t>
      </w:r>
      <w:bookmarkEnd w:id="21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17" w:name="_Toc989080"/>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重要逾期利息</w:t>
      </w:r>
      <w:bookmarkEnd w:id="21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借款单位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逾期时间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是否发生减值及其判断依据</w:t>
            </w:r>
          </w:p>
        </w:tc>
      </w:tr>
    </w:tbl>
    <w:p w:rsidR="000C0769" w:rsidRPr="00672DC8" w:rsidRDefault="000C0769" w:rsidP="006F31C2">
      <w:pPr>
        <w:spacing w:before="100" w:after="100" w:line="240" w:lineRule="exact"/>
        <w:divId w:val="1517504560"/>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18" w:name="_Toc989081"/>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18"/>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219" w:name="_Toc989082"/>
      <w:r w:rsidRPr="00672DC8">
        <w:rPr>
          <w:rFonts w:ascii="Times New Roman" w:eastAsia="宋体" w:hAnsi="Times New Roman" w:cs="Times New Roman"/>
          <w:b/>
          <w:bCs/>
          <w:sz w:val="18"/>
          <w:szCs w:val="18"/>
        </w:rPr>
        <w:t>4</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本期计提、收回或转回的坏账准备的情况</w:t>
      </w:r>
      <w:bookmarkEnd w:id="21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CE02AC">
      <w:pPr>
        <w:spacing w:before="100" w:after="100" w:line="240" w:lineRule="exact"/>
        <w:divId w:val="25566054"/>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220" w:name="_Toc989083"/>
      <w:r w:rsidRPr="00672DC8">
        <w:rPr>
          <w:rFonts w:ascii="Times New Roman" w:eastAsia="宋体" w:hAnsi="Times New Roman" w:cs="Times New Roman"/>
          <w:b/>
          <w:bCs/>
          <w:sz w:val="18"/>
          <w:szCs w:val="18"/>
        </w:rPr>
        <w:t>5</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本期实际核销的应收利息情况</w:t>
      </w:r>
      <w:bookmarkEnd w:id="22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其中重要的应收利息核销情况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D82E20">
      <w:pPr>
        <w:spacing w:before="100" w:after="100" w:line="240" w:lineRule="exact"/>
        <w:divId w:val="813303776"/>
        <w:rPr>
          <w:rFonts w:ascii="Times New Roman" w:hAnsi="Times New Roman" w:cs="Times New Roman"/>
          <w:sz w:val="18"/>
          <w:szCs w:val="18"/>
        </w:rPr>
      </w:pPr>
      <w:r w:rsidRPr="00672DC8">
        <w:rPr>
          <w:rFonts w:ascii="Times New Roman" w:eastAsia="宋体" w:hAnsi="Times New Roman" w:cs="Times New Roman"/>
          <w:sz w:val="18"/>
          <w:szCs w:val="18"/>
        </w:rPr>
        <w:t>核销说明：不适用。</w:t>
      </w:r>
    </w:p>
    <w:p w:rsidR="003D2BA8" w:rsidRPr="00672DC8" w:rsidRDefault="000C0769" w:rsidP="00D82E20">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D82E20"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21" w:name="_Toc98908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应收股利</w:t>
      </w:r>
      <w:bookmarkEnd w:id="221"/>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2" w:name="_Toc989085"/>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应收股利分类</w:t>
      </w:r>
      <w:bookmarkEnd w:id="22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或被投资单位</w:t>
            </w:r>
            <w:r w:rsidRPr="00672DC8">
              <w:rPr>
                <w:rFonts w:ascii="Times New Roman" w:eastAsia="宋体" w:hAnsi="Times New Roman" w:cs="Times New Roman"/>
                <w:sz w:val="18"/>
                <w:szCs w:val="18"/>
              </w:rPr>
              <w:t>)</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3" w:name="_Toc989086"/>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重要的账龄超过</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年的应收股利</w:t>
      </w:r>
      <w:bookmarkEnd w:id="22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或被投资单位</w:t>
            </w: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未收回的原因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是否发生减值及其判断依据</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4" w:name="_Toc989087"/>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2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5" w:name="_Toc989088"/>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本期计提、收回或转回的坏账准备的情况</w:t>
      </w:r>
      <w:bookmarkEnd w:id="22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977976">
      <w:pPr>
        <w:spacing w:before="100" w:after="100" w:line="240" w:lineRule="exact"/>
        <w:divId w:val="457185263"/>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6" w:name="_Toc989089"/>
      <w:r w:rsidRPr="00672DC8">
        <w:rPr>
          <w:rFonts w:ascii="Times New Roman" w:eastAsia="宋体" w:hAnsi="Times New Roman" w:cs="Times New Roman"/>
          <w:b/>
          <w:bCs/>
          <w:szCs w:val="21"/>
        </w:rPr>
        <w:lastRenderedPageBreak/>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本期实际核销的应收股利情况</w:t>
      </w:r>
      <w:bookmarkEnd w:id="22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其中重要的应收股利核销情况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251339">
      <w:pPr>
        <w:spacing w:before="100" w:after="100" w:line="240" w:lineRule="exact"/>
        <w:divId w:val="794107258"/>
        <w:rPr>
          <w:rFonts w:ascii="Times New Roman" w:hAnsi="Times New Roman" w:cs="Times New Roman"/>
          <w:sz w:val="18"/>
          <w:szCs w:val="18"/>
        </w:rPr>
      </w:pPr>
      <w:r w:rsidRPr="00672DC8">
        <w:rPr>
          <w:rFonts w:ascii="Times New Roman" w:eastAsia="宋体" w:hAnsi="Times New Roman" w:cs="Times New Roman"/>
          <w:sz w:val="18"/>
          <w:szCs w:val="18"/>
        </w:rPr>
        <w:t>核销说明：不适用。</w:t>
      </w:r>
    </w:p>
    <w:p w:rsidR="000C0769" w:rsidRPr="00672DC8" w:rsidRDefault="000C0769" w:rsidP="00251339">
      <w:pPr>
        <w:spacing w:before="100" w:after="100" w:line="240" w:lineRule="exact"/>
        <w:divId w:val="1399858266"/>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27" w:name="_Toc98909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其他应收款</w:t>
      </w:r>
      <w:bookmarkEnd w:id="227"/>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8" w:name="_Toc989091"/>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其他应收款按款项性质分类情况</w:t>
      </w:r>
      <w:bookmarkEnd w:id="22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7,800,889.55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7,443,753.82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往来款项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893,452.58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877,013.98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代扣代缴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391,198.89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361,233.05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备用金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818,047.40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663,171.28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9,903,588.42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9,345,172.13</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29" w:name="_Toc989092"/>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按账龄披露</w:t>
      </w:r>
      <w:bookmarkEnd w:id="229"/>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年以内（含</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6,823,033.40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5,981,901.31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630,097.83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1,114,732.87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521,797.27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292,087.28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1,928,659.92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1,956,450.67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678,266.36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844,204.94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508,614.99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763,876.16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741,778.57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348,369.57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9,903,588.42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9,345,172.13</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30" w:name="_Toc989093"/>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30"/>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9,903,588.42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20.68%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7,855,084.00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9,345,172.13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7,465,404.60</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7,800,889.55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78.77%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1,458,212.71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6,342,676.84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7,443,753.82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79.65%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1,485,071.12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19.95%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5,958,682.70</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1,209,246.29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273,629.03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22.63%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935,617.26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1,024,404.33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10.96%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205,098.36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819,305.97</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893,452.58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316,662.68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576,789.90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877,013.98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189,598.05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687,415.93</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9,903,588.42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20.68%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7,855,084.00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9,345,172.13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7,465,404.60</w:t>
            </w: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按预期信用损失一般模型计提坏账准备：</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未来</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未发生信用减值</w:t>
            </w: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已发生信用减值</w:t>
            </w:r>
            <w:r w:rsidRPr="00672DC8">
              <w:rPr>
                <w:rFonts w:ascii="Times New Roman" w:eastAsia="宋体" w:hAnsi="Times New Roman" w:cs="Times New Roman"/>
                <w:sz w:val="18"/>
                <w:szCs w:val="18"/>
              </w:rPr>
              <w:t>)</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168,736.89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168,736.89</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各阶段划分依据和坏账准备计提比例</w:t>
      </w:r>
    </w:p>
    <w:p w:rsidR="003D2BA8" w:rsidRPr="00672DC8" w:rsidRDefault="003D2BA8">
      <w:pPr>
        <w:rPr>
          <w:rFonts w:ascii="Times New Roman" w:hAnsi="Times New Roman" w:cs="Times New Roman"/>
        </w:rPr>
      </w:pP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损失准备本期变动金额重大的账面余额变动情况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31" w:name="_Toc989094"/>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本期计提、收回或转回的坏账准备情况</w:t>
      </w:r>
      <w:bookmarkEnd w:id="23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本期计提坏账准备情况：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账龄组合</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168,736.89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1,879,767.53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168,736.89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2,048,504.42</w:t>
            </w:r>
          </w:p>
        </w:tc>
      </w:tr>
    </w:tbl>
    <w:p w:rsidR="003D2BA8" w:rsidRPr="00672DC8" w:rsidRDefault="003D2BA8">
      <w:pPr>
        <w:rPr>
          <w:rFonts w:ascii="Times New Roman" w:hAnsi="Times New Roman" w:cs="Times New Roman"/>
        </w:rPr>
      </w:pP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其中本期坏账准备转回或收回金额重要的：</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3D2BA8" w:rsidRPr="00672DC8" w:rsidRDefault="003D2BA8">
      <w:pPr>
        <w:rPr>
          <w:rFonts w:ascii="Times New Roman" w:hAnsi="Times New Roman" w:cs="Times New Roman"/>
        </w:rPr>
      </w:pP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32" w:name="_Toc989095"/>
      <w:r w:rsidRPr="00672DC8">
        <w:rPr>
          <w:rFonts w:ascii="Times New Roman" w:eastAsia="宋体" w:hAnsi="Times New Roman" w:cs="Times New Roman"/>
          <w:b/>
          <w:bCs/>
          <w:szCs w:val="21"/>
        </w:rPr>
        <w:lastRenderedPageBreak/>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本期实际核销的其他应收款情况</w:t>
      </w:r>
      <w:bookmarkEnd w:id="23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其中重要的其他应收款核销情况：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B71EEE">
      <w:pPr>
        <w:spacing w:before="100" w:after="100" w:line="240" w:lineRule="exact"/>
        <w:divId w:val="847251331"/>
        <w:rPr>
          <w:rFonts w:ascii="Times New Roman" w:hAnsi="Times New Roman" w:cs="Times New Roman"/>
          <w:sz w:val="18"/>
          <w:szCs w:val="18"/>
        </w:rPr>
      </w:pPr>
      <w:r w:rsidRPr="00672DC8">
        <w:rPr>
          <w:rFonts w:ascii="Times New Roman" w:eastAsia="宋体" w:hAnsi="Times New Roman" w:cs="Times New Roman"/>
          <w:sz w:val="18"/>
          <w:szCs w:val="18"/>
        </w:rPr>
        <w:t>其他应收款核销说明：不适用。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33" w:name="_Toc989096"/>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按欠款方归集的期末余额前五名的其他应收款情况</w:t>
      </w:r>
      <w:bookmarkEnd w:id="23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款项的性质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占其他应收款期末余额合计数的比例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坏账准备期末余额</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第一名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5,400,000.00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54.53%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270,000.00</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第二名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往来款项</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423,156.65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1-3</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96,320.09</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第三名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409,203.70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40,920.37</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第四名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349,409.00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349,409.00</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第五名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押金保证金、往来款项</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345,328.50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3-4</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162,118.91</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6,927,097.85</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69.95%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918,768.37</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234" w:name="_Toc989097"/>
      <w:r w:rsidRPr="00672DC8">
        <w:rPr>
          <w:rFonts w:ascii="Times New Roman" w:eastAsia="宋体" w:hAnsi="Times New Roman" w:cs="Times New Roman"/>
          <w:b/>
          <w:bCs/>
          <w:szCs w:val="21"/>
        </w:rPr>
        <w:t>7</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因资金集中管理而列报于其他应收款</w:t>
      </w:r>
      <w:bookmarkEnd w:id="23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p w:rsidR="000C0769" w:rsidRPr="00672DC8" w:rsidRDefault="000C0769" w:rsidP="008A71D1">
      <w:pPr>
        <w:spacing w:before="100" w:after="100" w:line="240" w:lineRule="exact"/>
        <w:divId w:val="1101484972"/>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pStyle w:val="3"/>
        <w:spacing w:line="280" w:lineRule="exact"/>
        <w:jc w:val="left"/>
        <w:rPr>
          <w:rFonts w:ascii="Times New Roman" w:hAnsi="Times New Roman" w:cs="Times New Roman"/>
          <w:b/>
          <w:bCs/>
        </w:rPr>
      </w:pPr>
      <w:bookmarkStart w:id="235" w:name="_Toc989098"/>
      <w:r w:rsidRPr="00672DC8">
        <w:rPr>
          <w:rFonts w:ascii="Times New Roman" w:hAnsi="Times New Roman" w:cs="Times New Roman"/>
          <w:b/>
          <w:bCs/>
        </w:rPr>
        <w:t>6</w:t>
      </w:r>
      <w:r w:rsidRPr="00672DC8">
        <w:rPr>
          <w:rFonts w:ascii="Times New Roman" w:hAnsi="Times New Roman" w:cs="Times New Roman"/>
          <w:b/>
          <w:bCs/>
        </w:rPr>
        <w:t>、预付款项</w:t>
      </w:r>
      <w:bookmarkEnd w:id="235"/>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36" w:name="_Toc98909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预付款项按账龄列示</w:t>
      </w:r>
      <w:bookmarkEnd w:id="23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22,578,238.00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99.05%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5,596,225.65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80.09%</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175,674.42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1,174,458.45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16.81%</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20,120.12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92,053.67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1.32%</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年以上</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20,574.33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124,445.09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1.78%</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22,794,606.87</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6,987,182.86</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账龄超过</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年且金额重要的预付款项未及时结算原因的说明：</w:t>
      </w:r>
    </w:p>
    <w:p w:rsidR="003D2BA8" w:rsidRPr="00672DC8" w:rsidRDefault="003D2BA8">
      <w:pPr>
        <w:rPr>
          <w:rFonts w:ascii="Times New Roman" w:hAnsi="Times New Roman" w:cs="Times New Roman"/>
        </w:rPr>
      </w:pP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37" w:name="_Toc989100"/>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按预付对象归集的期末余额前五名的预付款情况</w:t>
      </w:r>
      <w:bookmarkEnd w:id="237"/>
    </w:p>
    <w:tbl>
      <w:tblPr>
        <w:tblStyle w:val="aa"/>
        <w:tblW w:w="5000" w:type="pct"/>
        <w:tblLook w:val="04A0" w:firstRow="1" w:lastRow="0" w:firstColumn="1" w:lastColumn="0" w:noHBand="0" w:noVBand="1"/>
      </w:tblPr>
      <w:tblGrid>
        <w:gridCol w:w="1947"/>
        <w:gridCol w:w="3427"/>
        <w:gridCol w:w="4253"/>
      </w:tblGrid>
      <w:tr w:rsidR="000C0769" w:rsidRPr="00672DC8" w:rsidTr="000E1C97">
        <w:trPr>
          <w:divId w:val="3366377"/>
          <w:trHeight w:val="276"/>
        </w:trPr>
        <w:tc>
          <w:tcPr>
            <w:tcW w:w="1011" w:type="pct"/>
            <w:shd w:val="clear" w:color="auto" w:fill="D9D9D9" w:themeFill="background1" w:themeFillShade="D9"/>
            <w:noWrap/>
            <w:hideMark/>
          </w:tcPr>
          <w:p w:rsidR="000C0769" w:rsidRPr="00672DC8" w:rsidRDefault="000C0769">
            <w:pPr>
              <w:widowControl/>
              <w:jc w:val="center"/>
              <w:rPr>
                <w:rFonts w:ascii="Times New Roman" w:eastAsia="宋体" w:hAnsi="Times New Roman" w:cs="Times New Roman"/>
                <w:color w:val="000000"/>
                <w:kern w:val="0"/>
                <w:sz w:val="18"/>
                <w:szCs w:val="18"/>
              </w:rPr>
            </w:pPr>
            <w:r w:rsidRPr="00672DC8">
              <w:rPr>
                <w:rFonts w:ascii="Times New Roman" w:eastAsia="宋体" w:hAnsi="Times New Roman" w:cs="Times New Roman"/>
                <w:color w:val="000000"/>
                <w:sz w:val="18"/>
                <w:szCs w:val="18"/>
              </w:rPr>
              <w:t>单位名称</w:t>
            </w:r>
          </w:p>
        </w:tc>
        <w:tc>
          <w:tcPr>
            <w:tcW w:w="1780" w:type="pct"/>
            <w:shd w:val="clear" w:color="auto" w:fill="D9D9D9" w:themeFill="background1" w:themeFillShade="D9"/>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期末余额（元）</w:t>
            </w:r>
          </w:p>
        </w:tc>
        <w:tc>
          <w:tcPr>
            <w:tcW w:w="2209" w:type="pct"/>
            <w:shd w:val="clear" w:color="auto" w:fill="D9D9D9" w:themeFill="background1" w:themeFillShade="D9"/>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占预付款项期末余额合计数的比例</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第一名</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11,362,831.86</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49.85%</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第二名</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2,383,716.81</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10.46%</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第三名</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2,350,000.00</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10.31%</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第四名</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1,000,000.00</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4.39%</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第五名</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479,469.03</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2.10%</w:t>
            </w:r>
          </w:p>
        </w:tc>
      </w:tr>
      <w:tr w:rsidR="000C0769" w:rsidRPr="00672DC8" w:rsidTr="000E1C97">
        <w:trPr>
          <w:divId w:val="3366377"/>
          <w:trHeight w:val="276"/>
        </w:trPr>
        <w:tc>
          <w:tcPr>
            <w:tcW w:w="1011"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合计</w:t>
            </w:r>
          </w:p>
        </w:tc>
        <w:tc>
          <w:tcPr>
            <w:tcW w:w="1780"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     17,576,017.70</w:t>
            </w:r>
          </w:p>
        </w:tc>
        <w:tc>
          <w:tcPr>
            <w:tcW w:w="2209" w:type="pct"/>
            <w:noWrap/>
            <w:hideMark/>
          </w:tcPr>
          <w:p w:rsidR="000C0769" w:rsidRPr="00672DC8" w:rsidRDefault="000C0769">
            <w:pPr>
              <w:jc w:val="right"/>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77.11%</w:t>
            </w:r>
          </w:p>
        </w:tc>
      </w:tr>
    </w:tbl>
    <w:p w:rsidR="000C0769" w:rsidRPr="00672DC8" w:rsidRDefault="000C0769">
      <w:pPr>
        <w:pStyle w:val="a3"/>
        <w:divId w:val="1434939080"/>
        <w:rPr>
          <w:rFonts w:ascii="Times New Roman" w:hAnsi="Times New Roman" w:cs="Times New Roman"/>
          <w:sz w:val="18"/>
          <w:szCs w:val="18"/>
        </w:rPr>
      </w:pPr>
      <w:r w:rsidRPr="00672DC8">
        <w:rPr>
          <w:rFonts w:ascii="Times New Roman" w:hAnsi="Times New Roman" w:cs="Times New Roman"/>
          <w:sz w:val="18"/>
          <w:szCs w:val="18"/>
        </w:rPr>
        <w:t> </w:t>
      </w:r>
      <w:r w:rsidRPr="00672DC8">
        <w:rPr>
          <w:rFonts w:ascii="Times New Roman"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38" w:name="_Toc989101"/>
      <w:r w:rsidRPr="00672DC8">
        <w:rPr>
          <w:rFonts w:ascii="Times New Roman" w:hAnsi="Times New Roman" w:cs="Times New Roman"/>
          <w:b/>
          <w:bCs/>
        </w:rPr>
        <w:t>7</w:t>
      </w:r>
      <w:r w:rsidRPr="00672DC8">
        <w:rPr>
          <w:rFonts w:ascii="Times New Roman" w:hAnsi="Times New Roman" w:cs="Times New Roman"/>
          <w:b/>
          <w:bCs/>
        </w:rPr>
        <w:t>、存货</w:t>
      </w:r>
      <w:bookmarkEnd w:id="238"/>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公司是否需要遵守房地产行业的披露要求</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39" w:name="_Toc98910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存货分类</w:t>
      </w:r>
      <w:bookmarkEnd w:id="23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存货跌价准备或合同履约成本减值准备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存货跌价准备或合同履约成本减值准备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原材料</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2,006,820.19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54,344.06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1,952,476.13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606,225.98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51,668.75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554,557.23</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在产品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80,426,255.13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817,772.06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79,608,483.07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86,268,129.96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463,649.47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85,804,480.49</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库存商品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3,630,761.90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134,712.55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3,496,049.35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3,002,621.95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105,187.90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2,897,434.05</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发出商品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685,835.86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40,180.29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645,655.57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547,027.07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46,702.80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500,324.27</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86,749,673.08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1,047,008.96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85,702,664.12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90,424,004.96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667,208.92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89,756,796.04</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0" w:name="_Toc98910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确认为存货的数据资源</w:t>
      </w:r>
      <w:bookmarkEnd w:id="24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外购的数据资源存货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自行加工的数据资源存货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其他方式取得的数据资源存货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1" w:name="_Toc98910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存货跌价准备和合同履约成本减值准备</w:t>
      </w:r>
      <w:bookmarkEnd w:id="24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本期增加金额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转回或转销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原材料</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51,668.75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2,857.18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181.87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54,344.06</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在产品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463,649.47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354,122.59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817,772.06</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库存商品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105,187.90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31,123.67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1,599.02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134,712.55</w:t>
            </w:r>
          </w:p>
        </w:tc>
      </w:tr>
      <w:tr w:rsidR="003D2BA8" w:rsidRPr="00672DC8" w:rsidTr="000E1C9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发出商品</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46,702.80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8,209.92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14,732.43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40,180.29</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667,208.92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396,313.36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16,513.32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1,047,008.96</w:t>
            </w:r>
          </w:p>
        </w:tc>
      </w:tr>
    </w:tbl>
    <w:p w:rsidR="003D2BA8" w:rsidRPr="00672DC8" w:rsidRDefault="003D2BA8">
      <w:pPr>
        <w:rPr>
          <w:rFonts w:ascii="Times New Roman" w:hAnsi="Times New Roman" w:cs="Times New Roman"/>
        </w:rPr>
      </w:pP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按组合计提存货跌价准备</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组合名称</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跌价准备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跌价准备计提比例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跌价准备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跌价准备计提比例</w:t>
            </w:r>
          </w:p>
        </w:tc>
      </w:tr>
    </w:tbl>
    <w:p w:rsidR="003D2BA8" w:rsidRPr="00672DC8" w:rsidRDefault="000C0769" w:rsidP="00C4429E">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按组合计提存货跌价准备的计提标准</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2" w:name="_Toc98910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存货期末余额含有借款费用资本化金额的说明</w:t>
      </w:r>
      <w:bookmarkEnd w:id="242"/>
    </w:p>
    <w:p w:rsidR="000C0769" w:rsidRPr="00672DC8" w:rsidRDefault="000C0769">
      <w:pPr>
        <w:pStyle w:val="a3"/>
        <w:divId w:val="499278711"/>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3" w:name="_Toc98910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合同履约成本本期摊销金额的说明</w:t>
      </w:r>
      <w:bookmarkEnd w:id="243"/>
    </w:p>
    <w:p w:rsidR="000C0769" w:rsidRPr="00672DC8" w:rsidRDefault="000C0769">
      <w:pPr>
        <w:pStyle w:val="a3"/>
        <w:divId w:val="1689091494"/>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244" w:name="_Toc989107"/>
      <w:r w:rsidRPr="00672DC8">
        <w:rPr>
          <w:rFonts w:ascii="Times New Roman" w:hAnsi="Times New Roman" w:cs="Times New Roman"/>
          <w:b/>
          <w:bCs/>
        </w:rPr>
        <w:t>8</w:t>
      </w:r>
      <w:r w:rsidRPr="00672DC8">
        <w:rPr>
          <w:rFonts w:ascii="Times New Roman" w:hAnsi="Times New Roman" w:cs="Times New Roman"/>
          <w:b/>
          <w:bCs/>
        </w:rPr>
        <w:t>、一年内到期的非流动资产</w:t>
      </w:r>
      <w:bookmarkEnd w:id="24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一年内到期的长期应收款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37,281,092.46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36,242,782.56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37,281,092.46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36,242,782.56</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5" w:name="_Toc98910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一年内到期的债权投资</w:t>
      </w:r>
      <w:bookmarkEnd w:id="24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46" w:name="_Toc98910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一年内到期的其他债权投资</w:t>
      </w:r>
      <w:bookmarkEnd w:id="24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247" w:name="_Toc989110"/>
      <w:r w:rsidRPr="00672DC8">
        <w:rPr>
          <w:rFonts w:ascii="Times New Roman" w:hAnsi="Times New Roman" w:cs="Times New Roman"/>
          <w:b/>
          <w:bCs/>
        </w:rPr>
        <w:t>9</w:t>
      </w:r>
      <w:r w:rsidRPr="00672DC8">
        <w:rPr>
          <w:rFonts w:ascii="Times New Roman" w:hAnsi="Times New Roman" w:cs="Times New Roman"/>
          <w:b/>
          <w:bCs/>
        </w:rPr>
        <w:t>、其他流动资产</w:t>
      </w:r>
      <w:bookmarkEnd w:id="24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待认证、待抵扣进项税额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53,918,085.76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65,622,320.03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金融工具应计利息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332,162.89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312,502.35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留抵税额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1,851,405.72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预缴税费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899,183.86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2,927,389.58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1,084,905.66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58,085,743.89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68,862,211.96</w:t>
            </w:r>
          </w:p>
        </w:tc>
      </w:tr>
    </w:tbl>
    <w:p w:rsidR="003D2BA8" w:rsidRPr="00672DC8" w:rsidRDefault="000C0769" w:rsidP="00BA4E1D">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补偿性资产相关信息</w:t>
      </w:r>
    </w:p>
    <w:p w:rsidR="003D2BA8" w:rsidRPr="00672DC8" w:rsidRDefault="000C0769" w:rsidP="000E12A0">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BA4E1D"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48" w:name="_Toc989111"/>
      <w:r w:rsidRPr="00672DC8">
        <w:rPr>
          <w:rFonts w:ascii="Times New Roman" w:hAnsi="Times New Roman" w:cs="Times New Roman"/>
          <w:b/>
          <w:bCs/>
        </w:rPr>
        <w:t>10</w:t>
      </w:r>
      <w:r w:rsidRPr="00672DC8">
        <w:rPr>
          <w:rFonts w:ascii="Times New Roman" w:hAnsi="Times New Roman" w:cs="Times New Roman"/>
          <w:b/>
          <w:bCs/>
        </w:rPr>
        <w:t>、其他权益工具投资</w:t>
      </w:r>
      <w:bookmarkEnd w:id="24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045"/>
        <w:gridCol w:w="1161"/>
        <w:gridCol w:w="1045"/>
        <w:gridCol w:w="1045"/>
        <w:gridCol w:w="1045"/>
        <w:gridCol w:w="1045"/>
        <w:gridCol w:w="1046"/>
        <w:gridCol w:w="1161"/>
        <w:gridCol w:w="1038"/>
      </w:tblGrid>
      <w:tr w:rsidR="003D2BA8" w:rsidRPr="00672DC8" w:rsidTr="00932B5B">
        <w:trPr>
          <w:trHeight w:val="240"/>
          <w:tblHeader/>
        </w:trPr>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项目名称</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本期计入其他综合收益的利得</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本期计入其他综合收益的损失</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本期末累计计入其他综合收益的利得</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本期末累计计入其他综合收益的损失</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本期确认的股利收入</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指定为以公允价值计量且其变动计入其他综合收益的原因</w:t>
            </w:r>
          </w:p>
        </w:tc>
      </w:tr>
      <w:tr w:rsidR="003D2BA8" w:rsidRPr="00672DC8" w:rsidTr="00932B5B">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广东潮阳农村商业银行股份有限公司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rsidTr="00932B5B">
        <w:trPr>
          <w:trHeight w:val="240"/>
        </w:trPr>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本期存在终止确认</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转入留存收益的累计利得</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转入留存收益的累计损失</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终止确认的原因</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分项披露本期非交易性权益工具投资</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6"/>
        <w:gridCol w:w="1376"/>
        <w:gridCol w:w="1376"/>
        <w:gridCol w:w="1376"/>
        <w:gridCol w:w="1376"/>
        <w:gridCol w:w="1376"/>
        <w:gridCol w:w="1375"/>
      </w:tblGrid>
      <w:tr w:rsidR="003D2BA8" w:rsidRPr="00672DC8" w:rsidTr="00BB46BD">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确认的股利收入</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累计利得</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累计损失</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其他综合收益转入留存收益的金额</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指定为以公允价值计量且其变动计入其他综合收益的原因</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其他综合收益转入留存收益的原因</w:t>
            </w:r>
          </w:p>
        </w:tc>
      </w:tr>
      <w:tr w:rsidR="003D2BA8" w:rsidRPr="00672DC8" w:rsidTr="00BB46BD">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广东潮阳农村商业银行股份有限公司</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bl>
    <w:p w:rsidR="003D2BA8" w:rsidRPr="00672DC8" w:rsidRDefault="000C0769" w:rsidP="00DB1640">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r w:rsidR="00DB1640"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49" w:name="_Toc989112"/>
      <w:r w:rsidRPr="00672DC8">
        <w:rPr>
          <w:rFonts w:ascii="Times New Roman" w:hAnsi="Times New Roman" w:cs="Times New Roman"/>
          <w:b/>
          <w:bCs/>
        </w:rPr>
        <w:t>11</w:t>
      </w:r>
      <w:r w:rsidRPr="00672DC8">
        <w:rPr>
          <w:rFonts w:ascii="Times New Roman" w:hAnsi="Times New Roman" w:cs="Times New Roman"/>
          <w:b/>
          <w:bCs/>
        </w:rPr>
        <w:t>、长期应收款</w:t>
      </w:r>
      <w:bookmarkEnd w:id="249"/>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0" w:name="_Toc98911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长期应收款情况</w:t>
      </w:r>
      <w:bookmarkEnd w:id="25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156"/>
        <w:gridCol w:w="1251"/>
        <w:gridCol w:w="1161"/>
        <w:gridCol w:w="1251"/>
        <w:gridCol w:w="1251"/>
        <w:gridCol w:w="1161"/>
        <w:gridCol w:w="1251"/>
        <w:gridCol w:w="1149"/>
      </w:tblGrid>
      <w:tr w:rsidR="003D2BA8" w:rsidRPr="00672DC8" w:rsidTr="001A752E">
        <w:trPr>
          <w:trHeight w:val="240"/>
        </w:trPr>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875" w:type="pct"/>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875" w:type="pct"/>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折现率区间</w:t>
            </w:r>
          </w:p>
        </w:tc>
      </w:tr>
      <w:tr w:rsidR="003D2BA8" w:rsidRPr="00672DC8" w:rsidTr="001A752E">
        <w:trPr>
          <w:trHeight w:val="240"/>
        </w:trPr>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1A752E">
        <w:trPr>
          <w:trHeight w:val="240"/>
        </w:trPr>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分期收款销售商品</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86,898,832.71</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80,624,656.11</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97,788,053.77</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90,021,593.93</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3.00%-4.75%</w:t>
            </w:r>
          </w:p>
        </w:tc>
      </w:tr>
      <w:tr w:rsidR="003D2BA8" w:rsidRPr="00672DC8" w:rsidTr="001A752E">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减：一年内到期的长期应收款</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-43,555,269.06</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-37,281,092.46</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-44,009,242.40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-36,242,782.56</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3.00%-4.75%</w:t>
            </w:r>
          </w:p>
        </w:tc>
      </w:tr>
      <w:tr w:rsidR="003D2BA8" w:rsidRPr="00672DC8" w:rsidTr="001A752E">
        <w:trPr>
          <w:trHeight w:val="240"/>
        </w:trPr>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43,343,563.65</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43,343,563.65</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53,778,811.37</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53,778,811.37</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1" w:name="_Toc98911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25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371"/>
        <w:gridCol w:w="1107"/>
        <w:gridCol w:w="771"/>
        <w:gridCol w:w="1029"/>
        <w:gridCol w:w="616"/>
        <w:gridCol w:w="1107"/>
        <w:gridCol w:w="1107"/>
        <w:gridCol w:w="771"/>
        <w:gridCol w:w="1029"/>
        <w:gridCol w:w="616"/>
        <w:gridCol w:w="1107"/>
      </w:tblGrid>
      <w:tr w:rsidR="003D2BA8" w:rsidRPr="00672DC8" w:rsidTr="00BB46BD">
        <w:trPr>
          <w:trHeight w:val="240"/>
        </w:trPr>
        <w:tc>
          <w:tcPr>
            <w:tcW w:w="19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2403" w:type="pct"/>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2403" w:type="pct"/>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rsidTr="00BB46BD">
        <w:trPr>
          <w:trHeight w:val="240"/>
        </w:trPr>
        <w:tc>
          <w:tcPr>
            <w:tcW w:w="19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975"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854"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57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974"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854"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57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rsidTr="00BB46BD">
        <w:trPr>
          <w:trHeight w:val="240"/>
        </w:trPr>
        <w:tc>
          <w:tcPr>
            <w:tcW w:w="19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7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40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53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3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57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7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401"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53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32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57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BB46BD">
        <w:trPr>
          <w:trHeight w:val="240"/>
        </w:trPr>
        <w:tc>
          <w:tcPr>
            <w:tcW w:w="5000" w:type="pct"/>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其中：</w:t>
            </w:r>
          </w:p>
        </w:tc>
      </w:tr>
      <w:tr w:rsidR="003D2BA8" w:rsidRPr="00672DC8" w:rsidTr="00BB46BD">
        <w:trPr>
          <w:trHeight w:val="240"/>
        </w:trPr>
        <w:tc>
          <w:tcPr>
            <w:tcW w:w="19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86,898,832.71</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7.22%</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80,624,656.11</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97,788,053.77</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7.94%</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90,021,593.93</w:t>
            </w:r>
          </w:p>
        </w:tc>
      </w:tr>
      <w:tr w:rsidR="003D2BA8" w:rsidRPr="00672DC8" w:rsidTr="00BB46BD">
        <w:trPr>
          <w:trHeight w:val="240"/>
        </w:trPr>
        <w:tc>
          <w:tcPr>
            <w:tcW w:w="5000" w:type="pct"/>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r>
      <w:tr w:rsidR="003D2BA8" w:rsidRPr="00672DC8" w:rsidTr="00BB46BD">
        <w:trPr>
          <w:trHeight w:val="240"/>
        </w:trPr>
        <w:tc>
          <w:tcPr>
            <w:tcW w:w="19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13,530,411.35</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15.57%</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180,961.19</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13,349,450.16</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13,530,411.35</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13.84%</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161,864.41</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13,368,546.94</w:t>
            </w:r>
          </w:p>
        </w:tc>
      </w:tr>
      <w:tr w:rsidR="003D2BA8" w:rsidRPr="00672DC8" w:rsidTr="00BB46BD">
        <w:trPr>
          <w:trHeight w:val="240"/>
        </w:trPr>
        <w:tc>
          <w:tcPr>
            <w:tcW w:w="19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73,368,421.36</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84.43%</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6,093,215.41</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8.30%</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67,275,205.95</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84,257,642.42</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86.16%</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7,604,595.43</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9.03%</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76,653,046.99</w:t>
            </w:r>
          </w:p>
        </w:tc>
      </w:tr>
      <w:tr w:rsidR="003D2BA8" w:rsidRPr="00672DC8" w:rsidTr="00BB46BD">
        <w:trPr>
          <w:trHeight w:val="240"/>
        </w:trPr>
        <w:tc>
          <w:tcPr>
            <w:tcW w:w="19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86,898,832.71</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7.22%</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80,624,656.11</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97,788,053.77</w:t>
            </w:r>
          </w:p>
        </w:tc>
        <w:tc>
          <w:tcPr>
            <w:tcW w:w="401"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53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3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7.94%</w:t>
            </w:r>
          </w:p>
        </w:tc>
        <w:tc>
          <w:tcPr>
            <w:tcW w:w="57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90,021,593.93</w:t>
            </w: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1</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账龄组合</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13,530,411.35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180,961.19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13,530,411.35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180,961.19</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BB46BD">
      <w:pPr>
        <w:spacing w:before="100" w:after="100" w:line="240" w:lineRule="exact"/>
        <w:divId w:val="152911050"/>
        <w:rPr>
          <w:rFonts w:ascii="Times New Roman" w:hAnsi="Times New Roman" w:cs="Times New Roman"/>
          <w:sz w:val="18"/>
          <w:szCs w:val="18"/>
        </w:rPr>
      </w:pPr>
      <w:r w:rsidRPr="00672DC8">
        <w:rPr>
          <w:rFonts w:ascii="Times New Roman" w:eastAsia="宋体" w:hAnsi="Times New Roman" w:cs="Times New Roman"/>
          <w:sz w:val="18"/>
          <w:szCs w:val="18"/>
        </w:rPr>
        <w:t>确定该组合依据的说明：确定长期应收款组合的依据详见本节五、</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2</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账龄组合</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73,368,421.36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6,093,215.41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73,368,421.36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6,093,215.41</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BB46BD">
      <w:pPr>
        <w:spacing w:before="100" w:after="100" w:line="240" w:lineRule="exact"/>
        <w:divId w:val="863129470"/>
        <w:rPr>
          <w:rFonts w:ascii="Times New Roman" w:hAnsi="Times New Roman" w:cs="Times New Roman"/>
          <w:sz w:val="18"/>
          <w:szCs w:val="18"/>
        </w:rPr>
      </w:pPr>
      <w:r w:rsidRPr="00672DC8">
        <w:rPr>
          <w:rFonts w:ascii="Times New Roman" w:eastAsia="宋体" w:hAnsi="Times New Roman" w:cs="Times New Roman"/>
          <w:sz w:val="18"/>
          <w:szCs w:val="18"/>
        </w:rPr>
        <w:t>确定该组合依据的说明：确定长期应收款组合的依据详见本节五、</w:t>
      </w:r>
      <w:r w:rsidRPr="00672DC8">
        <w:rPr>
          <w:rFonts w:ascii="Times New Roman" w:eastAsia="宋体" w:hAnsi="Times New Roman" w:cs="Times New Roman"/>
          <w:sz w:val="18"/>
          <w:szCs w:val="18"/>
        </w:rPr>
        <w:t>21</w:t>
      </w:r>
      <w:r w:rsidRPr="00672DC8">
        <w:rPr>
          <w:rFonts w:ascii="Times New Roman" w:eastAsia="宋体"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按预期信用损失一般模型计提坏账准备</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未来</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未发生信用减值</w:t>
            </w: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已发生信用减值</w:t>
            </w:r>
            <w:r w:rsidRPr="00672DC8">
              <w:rPr>
                <w:rFonts w:ascii="Times New Roman" w:eastAsia="宋体" w:hAnsi="Times New Roman" w:cs="Times New Roman"/>
                <w:sz w:val="18"/>
                <w:szCs w:val="18"/>
              </w:rPr>
              <w:t>)</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rsidP="00BB46BD">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各阶段划分依据和坏账准备计提比例</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2" w:name="_Toc98911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本期计提、收回或转回的坏账准备的情况</w:t>
      </w:r>
      <w:bookmarkEnd w:id="252"/>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账龄组合</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-1,492,283.24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7,766,459.84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-1,492,283.24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6,274,176.60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其中本期坏账准备转回或收回金额重要的：</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BB46BD">
      <w:pPr>
        <w:spacing w:before="100" w:after="100" w:line="240" w:lineRule="exact"/>
        <w:divId w:val="1121000732"/>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3" w:name="_Toc98911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本期实际核销的长期应收款情况</w:t>
      </w:r>
      <w:bookmarkEnd w:id="25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其中重要的长期应收款核销情况：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BB46BD">
      <w:pPr>
        <w:spacing w:before="100" w:after="100" w:line="240" w:lineRule="exact"/>
        <w:divId w:val="972369665"/>
        <w:rPr>
          <w:rFonts w:ascii="Times New Roman" w:hAnsi="Times New Roman" w:cs="Times New Roman"/>
          <w:sz w:val="18"/>
          <w:szCs w:val="18"/>
        </w:rPr>
      </w:pPr>
      <w:r w:rsidRPr="00672DC8">
        <w:rPr>
          <w:rFonts w:ascii="Times New Roman" w:eastAsia="宋体" w:hAnsi="Times New Roman" w:cs="Times New Roman"/>
          <w:sz w:val="18"/>
          <w:szCs w:val="18"/>
        </w:rPr>
        <w:t>长期应收款核销说明：不适用。</w:t>
      </w:r>
    </w:p>
    <w:p w:rsidR="003D2BA8" w:rsidRPr="00672DC8" w:rsidRDefault="000C0769">
      <w:pPr>
        <w:pStyle w:val="3"/>
        <w:spacing w:line="280" w:lineRule="exact"/>
        <w:jc w:val="left"/>
        <w:rPr>
          <w:rFonts w:ascii="Times New Roman" w:hAnsi="Times New Roman" w:cs="Times New Roman"/>
          <w:b/>
          <w:bCs/>
        </w:rPr>
      </w:pPr>
      <w:bookmarkStart w:id="254" w:name="_Toc989117"/>
      <w:r w:rsidRPr="00672DC8">
        <w:rPr>
          <w:rFonts w:ascii="Times New Roman" w:hAnsi="Times New Roman" w:cs="Times New Roman"/>
          <w:b/>
          <w:bCs/>
        </w:rPr>
        <w:t>12</w:t>
      </w:r>
      <w:r w:rsidRPr="00672DC8">
        <w:rPr>
          <w:rFonts w:ascii="Times New Roman" w:hAnsi="Times New Roman" w:cs="Times New Roman"/>
          <w:b/>
          <w:bCs/>
        </w:rPr>
        <w:t>、长期股权投资</w:t>
      </w:r>
      <w:bookmarkEnd w:id="25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1"/>
        <w:gridCol w:w="741"/>
        <w:gridCol w:w="741"/>
        <w:gridCol w:w="741"/>
        <w:gridCol w:w="745"/>
        <w:gridCol w:w="741"/>
        <w:gridCol w:w="743"/>
      </w:tblGrid>
      <w:tr w:rsidR="003D2BA8" w:rsidRPr="00672DC8">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被投资单位</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减值准备期初余额</w:t>
            </w:r>
          </w:p>
        </w:tc>
        <w:tc>
          <w:tcPr>
            <w:tcW w:w="5932" w:type="dxa"/>
            <w:gridSpan w:val="8"/>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本期增减变动</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减值准备期末余额</w:t>
            </w:r>
          </w:p>
        </w:tc>
      </w:tr>
      <w:tr w:rsidR="003D2BA8" w:rsidRPr="00672DC8">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追加投资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减少投资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权益法下确认的投资损益</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其他综合收益调整</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其他权益变动</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宣告发放现金股利或利润</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计提减值准备</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一、合营企业</w:t>
            </w:r>
          </w:p>
        </w:tc>
      </w:tr>
      <w:tr w:rsidR="003D2BA8" w:rsidRPr="00672DC8">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二、联营企业</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可收回金额按公允价值减去处置费用后的净额确定</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可收回金额按预计未来现金流量的现值确定</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前述信息与以前年度减值测试采用的信息或外部信息明显不一致的差异原因</w:t>
      </w:r>
    </w:p>
    <w:p w:rsidR="000C0769" w:rsidRPr="00672DC8" w:rsidRDefault="000C0769">
      <w:pPr>
        <w:pStyle w:val="a3"/>
        <w:divId w:val="1250579347"/>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公司以前年度减值测试采用信息与当年实际情况明显不一致的差异原因</w:t>
      </w:r>
    </w:p>
    <w:p w:rsidR="000C0769" w:rsidRPr="00672DC8" w:rsidRDefault="000C0769">
      <w:pPr>
        <w:pStyle w:val="a3"/>
        <w:divId w:val="1545561378"/>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p>
    <w:p w:rsidR="000C0769" w:rsidRPr="00672DC8" w:rsidRDefault="000C0769">
      <w:pPr>
        <w:pStyle w:val="a3"/>
        <w:divId w:val="2102602350"/>
        <w:rPr>
          <w:rFonts w:ascii="Times New Roman" w:hAnsi="Times New Roman" w:cs="Times New Roman"/>
          <w:sz w:val="18"/>
          <w:szCs w:val="18"/>
        </w:rPr>
      </w:pPr>
      <w:r w:rsidRPr="00672DC8">
        <w:rPr>
          <w:rFonts w:ascii="Times New Roman" w:hAnsi="Times New Roman" w:cs="Times New Roman"/>
          <w:sz w:val="18"/>
          <w:szCs w:val="18"/>
        </w:rPr>
        <w:lastRenderedPageBreak/>
        <w:t>不适用。</w:t>
      </w:r>
    </w:p>
    <w:p w:rsidR="003D2BA8" w:rsidRPr="00672DC8" w:rsidRDefault="000C0769">
      <w:pPr>
        <w:pStyle w:val="3"/>
        <w:spacing w:line="280" w:lineRule="exact"/>
        <w:jc w:val="left"/>
        <w:rPr>
          <w:rFonts w:ascii="Times New Roman" w:hAnsi="Times New Roman" w:cs="Times New Roman"/>
          <w:b/>
          <w:bCs/>
        </w:rPr>
      </w:pPr>
      <w:bookmarkStart w:id="255" w:name="_Toc989118"/>
      <w:r w:rsidRPr="00672DC8">
        <w:rPr>
          <w:rFonts w:ascii="Times New Roman" w:hAnsi="Times New Roman" w:cs="Times New Roman"/>
          <w:b/>
          <w:bCs/>
        </w:rPr>
        <w:t>13</w:t>
      </w:r>
      <w:r w:rsidRPr="00672DC8">
        <w:rPr>
          <w:rFonts w:ascii="Times New Roman" w:hAnsi="Times New Roman" w:cs="Times New Roman"/>
          <w:b/>
          <w:bCs/>
        </w:rPr>
        <w:t>、固定资产</w:t>
      </w:r>
      <w:bookmarkEnd w:id="25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425,171,636.12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513,494,392.57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425,171,636.12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513,494,392.57</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6" w:name="_Toc98911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固定资产情况</w:t>
      </w:r>
      <w:bookmarkEnd w:id="25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86"/>
        <w:gridCol w:w="1167"/>
        <w:gridCol w:w="1082"/>
        <w:gridCol w:w="1250"/>
        <w:gridCol w:w="1250"/>
        <w:gridCol w:w="1167"/>
        <w:gridCol w:w="1082"/>
        <w:gridCol w:w="1247"/>
      </w:tblGrid>
      <w:tr w:rsidR="00020D65" w:rsidRPr="00672DC8" w:rsidTr="00020D65">
        <w:trPr>
          <w:trHeight w:val="240"/>
          <w:tblHeader/>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612"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房屋建筑物</w:t>
            </w:r>
          </w:p>
        </w:tc>
        <w:tc>
          <w:tcPr>
            <w:tcW w:w="568"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运输设备</w:t>
            </w:r>
          </w:p>
        </w:tc>
        <w:tc>
          <w:tcPr>
            <w:tcW w:w="65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算力设备</w:t>
            </w:r>
          </w:p>
        </w:tc>
        <w:tc>
          <w:tcPr>
            <w:tcW w:w="65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新能源设备</w:t>
            </w:r>
          </w:p>
        </w:tc>
        <w:tc>
          <w:tcPr>
            <w:tcW w:w="612"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电子设备</w:t>
            </w:r>
          </w:p>
        </w:tc>
        <w:tc>
          <w:tcPr>
            <w:tcW w:w="568"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办公设备及其他</w:t>
            </w:r>
          </w:p>
        </w:tc>
        <w:tc>
          <w:tcPr>
            <w:tcW w:w="65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一、账面原值：</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81,151,139.52</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5,135,986.41</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280,973,451.33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179,794,226.11</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16,262,842.18</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1,931,639.39</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565,249,284.94</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809,168.33</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160,023.33</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13,477.16</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982,668.82</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）购置</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160,023.33</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13,477.16</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173,500.49</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）在建工程转入</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809,168.33</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809,168.33</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）企业合并增加</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69,015,503.26</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459,023.71</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1,109,251.95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70,583,778.92</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）处置或报废</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69,015,503.26</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459,023.71</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1,109,251.95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70,583,778.92</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81,151,139.52</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5,135,986.41</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280,973,451.33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111,587,891.18</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15,963,841.80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835,864.60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495,648,174.84</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二、累计折旧</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5,097,507.18</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2,130,200.86</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31,229,028.38</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7,152,301.32</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4,613,391.21</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1,532,463.42</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51,754,892.37</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1,284,893.04</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194,883.27</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16,828,425.15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3,196,922.07</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1,350,659.24</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45,594.17</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22,901,376.94</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1,284,893.04</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194,883.27</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16,828,425.15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3,196,922.07</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1,350,659.24</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45,594.17</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22,901,376.94</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2,692,032.23</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434,336.23</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1,053,362.13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4,179,730.59</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）处置或报废</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2,692,032.23</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434,336.23</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1,053,362.13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4,179,730.59</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6,382,400.22</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2,325,084.13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48,057,453.53</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7,657,191.16</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5,529,714.22</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524,695.46</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70,476,538.72</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三、减值准备</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2.</w:t>
            </w:r>
            <w:r w:rsidRPr="00672DC8">
              <w:rPr>
                <w:rFonts w:ascii="Times New Roman" w:eastAsia="宋体" w:hAnsi="Times New Roman" w:cs="Times New Roman"/>
                <w:sz w:val="18"/>
                <w:szCs w:val="18"/>
              </w:rPr>
              <w:t>本期增加金额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）处置或报废</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四、账面价值</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rsidP="00020D65">
            <w:pPr>
              <w:spacing w:line="240" w:lineRule="exact"/>
              <w:ind w:leftChars="-50" w:left="-105" w:rightChars="-50" w:right="-105"/>
              <w:jc w:val="right"/>
              <w:rPr>
                <w:rFonts w:ascii="Times New Roman" w:eastAsia="宋体" w:hAnsi="Times New Roman" w:cs="Times New Roman"/>
                <w:sz w:val="18"/>
                <w:szCs w:val="18"/>
              </w:rPr>
            </w:pP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期末账面价值</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74,768,739.30</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2,810,902.28</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232,915,997.80</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103,930,700.02</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10,434,127.58</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311,169.14</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425,171,636.12</w:t>
            </w:r>
          </w:p>
        </w:tc>
      </w:tr>
      <w:tr w:rsidR="003D2BA8" w:rsidRPr="00672DC8" w:rsidTr="00020D65">
        <w:trPr>
          <w:trHeight w:val="240"/>
        </w:trPr>
        <w:tc>
          <w:tcPr>
            <w:tcW w:w="677"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期初账面价值</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76,053,632.34</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3,005,785.55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249,744,422.95</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172,641,924.79</w:t>
            </w:r>
          </w:p>
        </w:tc>
        <w:tc>
          <w:tcPr>
            <w:tcW w:w="6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11,649,450.97</w:t>
            </w:r>
          </w:p>
        </w:tc>
        <w:tc>
          <w:tcPr>
            <w:tcW w:w="568"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399,175.97</w:t>
            </w:r>
          </w:p>
        </w:tc>
        <w:tc>
          <w:tcPr>
            <w:tcW w:w="65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rsidP="00020D65">
            <w:pPr>
              <w:spacing w:line="240" w:lineRule="exact"/>
              <w:ind w:leftChars="-50" w:left="-105" w:rightChars="-50" w:right="-105"/>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513,494,392.57</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7" w:name="_Toc98912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暂时闲置的固定资产情况</w:t>
      </w:r>
      <w:bookmarkEnd w:id="25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账面原值</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累计折旧</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备注</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8" w:name="_Toc98912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通过经营租赁租出的固定资产</w:t>
      </w:r>
      <w:bookmarkEnd w:id="25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期末账面价值</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59" w:name="_Toc98912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未办妥产权证书的固定资产情况</w:t>
      </w:r>
      <w:bookmarkEnd w:id="25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未办妥产权证书的原因</w:t>
            </w:r>
          </w:p>
        </w:tc>
      </w:tr>
    </w:tbl>
    <w:p w:rsidR="003D2BA8" w:rsidRPr="00672DC8" w:rsidRDefault="000C0769" w:rsidP="00AE3194">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0" w:name="_Toc98912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固定资产的减值测试情况</w:t>
      </w:r>
      <w:bookmarkEnd w:id="26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1" w:name="_Toc98912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固定资产清理</w:t>
      </w:r>
      <w:bookmarkEnd w:id="26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rsidP="00AE3194">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p>
    <w:p w:rsidR="003D2BA8" w:rsidRPr="00672DC8" w:rsidRDefault="000C0769">
      <w:pPr>
        <w:pStyle w:val="3"/>
        <w:spacing w:line="280" w:lineRule="exact"/>
        <w:jc w:val="left"/>
        <w:rPr>
          <w:rFonts w:ascii="Times New Roman" w:hAnsi="Times New Roman" w:cs="Times New Roman"/>
          <w:b/>
          <w:bCs/>
        </w:rPr>
      </w:pPr>
      <w:bookmarkStart w:id="262" w:name="_Toc989125"/>
      <w:r w:rsidRPr="00672DC8">
        <w:rPr>
          <w:rFonts w:ascii="Times New Roman" w:hAnsi="Times New Roman" w:cs="Times New Roman"/>
          <w:b/>
          <w:bCs/>
        </w:rPr>
        <w:t>14</w:t>
      </w:r>
      <w:r w:rsidRPr="00672DC8">
        <w:rPr>
          <w:rFonts w:ascii="Times New Roman" w:hAnsi="Times New Roman" w:cs="Times New Roman"/>
          <w:b/>
          <w:bCs/>
        </w:rPr>
        <w:t>、在建工程</w:t>
      </w:r>
      <w:bookmarkEnd w:id="26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3" w:name="_Toc98912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在建工程情况</w:t>
      </w:r>
      <w:bookmarkEnd w:id="26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6"/>
        <w:gridCol w:w="1376"/>
        <w:gridCol w:w="1375"/>
        <w:gridCol w:w="1377"/>
        <w:gridCol w:w="1375"/>
        <w:gridCol w:w="1375"/>
        <w:gridCol w:w="1377"/>
      </w:tblGrid>
      <w:tr w:rsidR="003D2BA8" w:rsidRPr="00672DC8" w:rsidTr="00A55924">
        <w:trPr>
          <w:trHeight w:val="240"/>
        </w:trPr>
        <w:tc>
          <w:tcPr>
            <w:tcW w:w="714"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143" w:type="pct"/>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2143" w:type="pct"/>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rsidTr="00A55924">
        <w:trPr>
          <w:trHeight w:val="240"/>
        </w:trPr>
        <w:tc>
          <w:tcPr>
            <w:tcW w:w="714"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rsidTr="00A55924">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智算中心</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55924">
        <w:trPr>
          <w:trHeight w:val="240"/>
        </w:trPr>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东海岸</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栋</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楼临时办公室物品采购</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157,610.31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157,610.31</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55924">
        <w:trPr>
          <w:trHeight w:val="240"/>
        </w:trPr>
        <w:tc>
          <w:tcPr>
            <w:tcW w:w="71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18,493,893.50</w:t>
            </w: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4" w:name="_Toc98912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重要在建工程项目本期变动情况</w:t>
      </w:r>
      <w:bookmarkEnd w:id="26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580"/>
        <w:gridCol w:w="1341"/>
        <w:gridCol w:w="580"/>
        <w:gridCol w:w="1251"/>
        <w:gridCol w:w="580"/>
        <w:gridCol w:w="580"/>
        <w:gridCol w:w="1251"/>
        <w:gridCol w:w="681"/>
        <w:gridCol w:w="475"/>
        <w:gridCol w:w="578"/>
        <w:gridCol w:w="578"/>
        <w:gridCol w:w="578"/>
        <w:gridCol w:w="578"/>
      </w:tblGrid>
      <w:tr w:rsidR="003D2BA8" w:rsidRPr="00672DC8" w:rsidTr="00877D1D">
        <w:trPr>
          <w:trHeight w:val="240"/>
        </w:trPr>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预算数</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本期增加金额</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本期转入固定资产金额</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本期其他减少金额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工程累计投入占预算比例</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工程进度</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利息资本化累计金额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其中：本期利息资本化金额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本期利息资本化率</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资金来源</w:t>
            </w:r>
          </w:p>
        </w:tc>
      </w:tr>
      <w:tr w:rsidR="003D2BA8" w:rsidRPr="00672DC8" w:rsidTr="00877D1D">
        <w:trPr>
          <w:trHeight w:val="240"/>
        </w:trPr>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智算中心</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400,000,000.00</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w:t>
            </w: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其他、金融机构贷款</w:t>
            </w:r>
          </w:p>
        </w:tc>
      </w:tr>
      <w:tr w:rsidR="003D2BA8" w:rsidRPr="00672DC8" w:rsidTr="00877D1D">
        <w:trPr>
          <w:trHeight w:val="240"/>
        </w:trPr>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400,000,000.00</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18,336,283.19</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5" w:name="_Toc98912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本期计提在建工程减值准备情况</w:t>
      </w:r>
      <w:bookmarkEnd w:id="26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计提原因</w:t>
            </w:r>
          </w:p>
        </w:tc>
      </w:tr>
    </w:tbl>
    <w:p w:rsidR="000C0769" w:rsidRPr="00672DC8" w:rsidRDefault="000C0769" w:rsidP="00877D1D">
      <w:pPr>
        <w:spacing w:before="100" w:after="100" w:line="240" w:lineRule="exact"/>
        <w:divId w:val="1620794340"/>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877D1D"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6" w:name="_Toc98912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在建工程的减值测试情况</w:t>
      </w:r>
      <w:bookmarkEnd w:id="26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7" w:name="_Toc98913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工程物资</w:t>
      </w:r>
      <w:bookmarkEnd w:id="26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bl>
    <w:p w:rsidR="000C0769" w:rsidRPr="00672DC8" w:rsidRDefault="000C0769" w:rsidP="009976AC">
      <w:pPr>
        <w:spacing w:before="100" w:after="100" w:line="240" w:lineRule="exact"/>
        <w:divId w:val="1452555825"/>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68" w:name="_Toc989131"/>
      <w:r w:rsidRPr="00672DC8">
        <w:rPr>
          <w:rFonts w:ascii="Times New Roman" w:hAnsi="Times New Roman" w:cs="Times New Roman"/>
          <w:b/>
          <w:bCs/>
        </w:rPr>
        <w:lastRenderedPageBreak/>
        <w:t>15</w:t>
      </w:r>
      <w:r w:rsidRPr="00672DC8">
        <w:rPr>
          <w:rFonts w:ascii="Times New Roman" w:hAnsi="Times New Roman" w:cs="Times New Roman"/>
          <w:b/>
          <w:bCs/>
        </w:rPr>
        <w:t>、使用权资产</w:t>
      </w:r>
      <w:bookmarkEnd w:id="26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69" w:name="_Toc98913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使用权资产情况</w:t>
      </w:r>
      <w:bookmarkEnd w:id="26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房屋及建筑物</w:t>
            </w:r>
          </w:p>
        </w:tc>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土地使用权</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一、账面原值</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13,078,033.89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4,585,845.98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17,663,879.87</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1,898,761.55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1,898,761.55</w:t>
            </w:r>
          </w:p>
        </w:tc>
      </w:tr>
      <w:tr w:rsidR="003D2BA8" w:rsidRPr="00672DC8" w:rsidTr="002B58E4">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(1)</w:t>
            </w:r>
            <w:r w:rsidRPr="00672DC8">
              <w:rPr>
                <w:rFonts w:ascii="Times New Roman" w:eastAsia="宋体" w:hAnsi="Times New Roman" w:cs="Times New Roman"/>
                <w:sz w:val="18"/>
                <w:szCs w:val="18"/>
              </w:rPr>
              <w:t>租入</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1,898,761.55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1,898,761.55</w:t>
            </w:r>
          </w:p>
        </w:tc>
      </w:tr>
      <w:tr w:rsidR="003D2BA8" w:rsidRPr="00672DC8" w:rsidTr="002B58E4">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1,111,200.89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4,585,845.98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5,697,994.37</w:t>
            </w:r>
          </w:p>
        </w:tc>
      </w:tr>
      <w:tr w:rsidR="003D2BA8" w:rsidRPr="00672DC8" w:rsidTr="002B58E4">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(1)</w:t>
            </w:r>
            <w:r w:rsidRPr="00672DC8">
              <w:rPr>
                <w:rFonts w:ascii="Times New Roman" w:eastAsia="宋体" w:hAnsi="Times New Roman" w:cs="Times New Roman"/>
                <w:sz w:val="18"/>
                <w:szCs w:val="18"/>
              </w:rPr>
              <w:t>退租</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1,112,148.39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1,112,148.39</w:t>
            </w:r>
          </w:p>
        </w:tc>
      </w:tr>
      <w:tr w:rsidR="003D2BA8" w:rsidRPr="00672DC8" w:rsidTr="002B58E4">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(2)</w:t>
            </w:r>
            <w:r w:rsidRPr="00672DC8">
              <w:rPr>
                <w:rFonts w:ascii="Times New Roman" w:eastAsia="宋体" w:hAnsi="Times New Roman" w:cs="Times New Roman"/>
                <w:sz w:val="18"/>
                <w:szCs w:val="18"/>
              </w:rPr>
              <w:t>处置</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4,585,845.98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4,585,845.98</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13,864,647.05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13,864,647.05</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二、累计折旧</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2,886,299.31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191,076.90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3,077,376.21</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1,791,252.47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38,215.38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1,829,467.85</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1,791,252.47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38,215.38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1,829,467.85</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725,994.08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229,292.28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955,286.36</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725,994.08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229,292.28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955,286.36</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3,951,557.70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3,951,557.70</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三、减值准备</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四、账面价值</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期末账面价值</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9,913,089.35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9,913,089.35</w:t>
            </w:r>
          </w:p>
        </w:tc>
      </w:tr>
      <w:tr w:rsidR="003D2BA8" w:rsidRPr="00672DC8" w:rsidTr="009976AC">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期初账面价值</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10,191,734.58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4,394,769.08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14,586,503.66</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0" w:name="_Toc98913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使用权资产的减值测试情况</w:t>
      </w:r>
      <w:bookmarkEnd w:id="27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0C0769" w:rsidRPr="00672DC8" w:rsidRDefault="000C0769" w:rsidP="00805E48">
      <w:pPr>
        <w:spacing w:before="100" w:after="100" w:line="240" w:lineRule="exact"/>
        <w:divId w:val="1746610588"/>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71" w:name="_Toc989134"/>
      <w:r w:rsidRPr="00672DC8">
        <w:rPr>
          <w:rFonts w:ascii="Times New Roman" w:hAnsi="Times New Roman" w:cs="Times New Roman"/>
          <w:b/>
          <w:bCs/>
        </w:rPr>
        <w:t>16</w:t>
      </w:r>
      <w:r w:rsidRPr="00672DC8">
        <w:rPr>
          <w:rFonts w:ascii="Times New Roman" w:hAnsi="Times New Roman" w:cs="Times New Roman"/>
          <w:b/>
          <w:bCs/>
        </w:rPr>
        <w:t>、无形资产</w:t>
      </w:r>
      <w:bookmarkEnd w:id="271"/>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2" w:name="_Toc98913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无形资产情况</w:t>
      </w:r>
      <w:bookmarkEnd w:id="27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3D2BA8" w:rsidRPr="00672DC8" w:rsidTr="003D6C49">
        <w:trPr>
          <w:trHeight w:val="240"/>
          <w:tblHeader/>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土地使用权</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专利权</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非专利技术</w:t>
            </w:r>
          </w:p>
        </w:tc>
        <w:tc>
          <w:tcPr>
            <w:tcW w:w="120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软件</w:t>
            </w:r>
          </w:p>
        </w:tc>
        <w:tc>
          <w:tcPr>
            <w:tcW w:w="120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著作权</w:t>
            </w:r>
          </w:p>
        </w:tc>
        <w:tc>
          <w:tcPr>
            <w:tcW w:w="120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数据资源</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一、账面原值</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w:t>
            </w:r>
            <w:r w:rsidRPr="00672DC8">
              <w:rPr>
                <w:rFonts w:ascii="Times New Roman" w:eastAsia="宋体" w:hAnsi="Times New Roman" w:cs="Times New Roman"/>
                <w:sz w:val="18"/>
                <w:szCs w:val="18"/>
              </w:rPr>
              <w:t>期初余额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7,122,513.69</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7,580,000.00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16,313,227.68</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）购置</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）内部研发</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）企业合并增加</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7,122,513.69</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7,580,000.00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16,313,227.68</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二、累计摊销</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6,973,198.36</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5,626,625.00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14,110,894.74</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9,141.78</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20,213.16</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9,141.78</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20,213.16</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1,500,000.00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6,982,340.14</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5,626,625.00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22,142.76</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14,131,107.90</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三、减值准备</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1,953,375.00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1,953,375.00</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）计提</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本期减少金额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）处置</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1,953,375.00</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1,953,375.00</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四、账面价值</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w:t>
            </w:r>
            <w:r w:rsidRPr="00672DC8">
              <w:rPr>
                <w:rFonts w:ascii="Times New Roman" w:eastAsia="宋体" w:hAnsi="Times New Roman" w:cs="Times New Roman"/>
                <w:sz w:val="18"/>
                <w:szCs w:val="18"/>
              </w:rPr>
              <w:t>期末账面价值</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140,173.55</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88,571.23</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228,744.78</w:t>
            </w:r>
          </w:p>
        </w:tc>
      </w:tr>
      <w:tr w:rsidR="003D2BA8" w:rsidRPr="00672DC8" w:rsidTr="002A1939">
        <w:trPr>
          <w:trHeight w:val="240"/>
        </w:trPr>
        <w:tc>
          <w:tcPr>
            <w:tcW w:w="120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期初账面价值</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149,315.33</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99,642.61</w:t>
            </w:r>
          </w:p>
        </w:tc>
        <w:tc>
          <w:tcPr>
            <w:tcW w:w="1205"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248,957.94</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本期末通过公司内部研发形成的无形资产占无形资产余额的比例</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3" w:name="_Toc98913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确认为无形资产的数据资源</w:t>
      </w:r>
      <w:bookmarkEnd w:id="27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rsidTr="006B2853">
        <w:trPr>
          <w:trHeight w:val="240"/>
          <w:tblHeader/>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外购的数据资源无形资产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自行开发的数据资源无形资产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其他方式取得的数据资源无形资产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110,713.99</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本期增加金额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11,071.38</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22,142.76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22,142.76</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期末账面价值</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88,571.23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88,571.23</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期初账面价值</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99,642.61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99,642.61</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4" w:name="_Toc98913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未办妥产权证书的土地使用权情况</w:t>
      </w:r>
      <w:bookmarkEnd w:id="27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未办妥产权证书的原因</w:t>
            </w:r>
          </w:p>
        </w:tc>
      </w:tr>
    </w:tbl>
    <w:p w:rsidR="000C0769" w:rsidRPr="00672DC8" w:rsidRDefault="000C0769" w:rsidP="006B2853">
      <w:pPr>
        <w:spacing w:before="100" w:after="100" w:line="240" w:lineRule="exact"/>
        <w:divId w:val="1823160720"/>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6B2853"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5" w:name="_Toc98913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无形资产的减值测试情况</w:t>
      </w:r>
      <w:bookmarkEnd w:id="27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276" w:name="_Toc989139"/>
      <w:r w:rsidRPr="00672DC8">
        <w:rPr>
          <w:rFonts w:ascii="Times New Roman" w:hAnsi="Times New Roman" w:cs="Times New Roman"/>
          <w:b/>
          <w:bCs/>
        </w:rPr>
        <w:t>17</w:t>
      </w:r>
      <w:r w:rsidRPr="00672DC8">
        <w:rPr>
          <w:rFonts w:ascii="Times New Roman" w:hAnsi="Times New Roman" w:cs="Times New Roman"/>
          <w:b/>
          <w:bCs/>
        </w:rPr>
        <w:t>、商誉</w:t>
      </w:r>
      <w:bookmarkEnd w:id="276"/>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7" w:name="_Toc98914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商誉账面原值</w:t>
      </w:r>
      <w:bookmarkEnd w:id="27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被投资单位名称或形成商誉的事项</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企业合并形成的</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处置</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2,682,094.38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2,682,094.38</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1,810,891.86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1,810,891.86</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303,959.67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303,959.67</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4,796,945.91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4,796,945.91</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8" w:name="_Toc989141"/>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商誉减值准备</w:t>
      </w:r>
      <w:bookmarkEnd w:id="27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被投资单位名称或形成商誉的事项</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处置</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1,110,600.00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1,110,600.00</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1,810,891.86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1,810,891.86</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2,921,491.86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2,921,491.86</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79" w:name="_Toc98914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商誉所在资产组或资产组组合的相关信息</w:t>
      </w:r>
      <w:bookmarkEnd w:id="279"/>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所属资产组或组合的构成及依据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所属经营分部及依据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是否与以前年度保持一致</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深圳市互联精英信息技术有限公司经营性资产组</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根据从事的业务类型，划分为软件开发与服务行业分布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广图粤科（广州）科技有限公司经营性资产组</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根据从事的业务类型，划分为软件开发与服务行业分布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广东翼启数据产业有限公司经营性资产组</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根据从事的业务类型，划分为软件开发与服务行业分布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资产组或资产组组合发生变化</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变化前的构成</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变化后的构成</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导致变化的客观事实及依据</w:t>
            </w:r>
          </w:p>
        </w:tc>
      </w:tr>
    </w:tbl>
    <w:p w:rsidR="000C0769" w:rsidRPr="00672DC8" w:rsidRDefault="000C0769" w:rsidP="008C427B">
      <w:pPr>
        <w:spacing w:before="100" w:after="100" w:line="240" w:lineRule="exact"/>
        <w:divId w:val="1865363987"/>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8C427B"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0" w:name="_Toc98914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可收回金额的具体确定方法</w:t>
      </w:r>
      <w:bookmarkEnd w:id="28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可收回金额按公允价值减去处置费用后的净额确定</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可收回金额按预计未来现金流量的现值确定</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前述信息与以前年度减值测试采用的信息或外部信息明显不一致的差异原因</w:t>
      </w:r>
    </w:p>
    <w:p w:rsidR="000C0769" w:rsidRPr="00672DC8" w:rsidRDefault="000C0769">
      <w:pPr>
        <w:pStyle w:val="a3"/>
        <w:divId w:val="20887860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公司以前年度减值测试采用信息与当年实际情况明显不一致的差异原因</w:t>
      </w:r>
    </w:p>
    <w:p w:rsidR="000C0769" w:rsidRPr="00672DC8" w:rsidRDefault="000C0769">
      <w:pPr>
        <w:pStyle w:val="a3"/>
        <w:divId w:val="465513988"/>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1" w:name="_Toc98914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业绩承诺完成及对应商誉减值情况</w:t>
      </w:r>
      <w:bookmarkEnd w:id="28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形成商誉时存在业绩承诺且报告期或报告期上一期间处于业绩承诺期内</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0C0769" w:rsidRPr="00672DC8" w:rsidRDefault="000C0769" w:rsidP="00C903D6">
      <w:pPr>
        <w:spacing w:before="100" w:after="100" w:line="240" w:lineRule="exact"/>
        <w:divId w:val="1656061877"/>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C903D6"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82" w:name="_Toc989145"/>
      <w:r w:rsidRPr="00672DC8">
        <w:rPr>
          <w:rFonts w:ascii="Times New Roman" w:hAnsi="Times New Roman" w:cs="Times New Roman"/>
          <w:b/>
          <w:bCs/>
        </w:rPr>
        <w:lastRenderedPageBreak/>
        <w:t>18</w:t>
      </w:r>
      <w:r w:rsidRPr="00672DC8">
        <w:rPr>
          <w:rFonts w:ascii="Times New Roman" w:hAnsi="Times New Roman" w:cs="Times New Roman"/>
          <w:b/>
          <w:bCs/>
        </w:rPr>
        <w:t>、长期待摊费用</w:t>
      </w:r>
      <w:bookmarkEnd w:id="28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本期摊销金额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其他减少金额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装修费用</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3,374,871.70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301,653.46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59,264.84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3,013,953.40</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OA</w:t>
            </w:r>
            <w:r w:rsidRPr="00672DC8">
              <w:rPr>
                <w:rFonts w:ascii="Times New Roman" w:eastAsia="宋体" w:hAnsi="Times New Roman" w:cs="Times New Roman"/>
                <w:sz w:val="18"/>
                <w:szCs w:val="18"/>
              </w:rPr>
              <w:t>软件实施</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200,603.01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25,075.38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175,527.63</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有道项目配电室供电线路改造</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882,321.10</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44,116.02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838,205.08</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4,457,795.81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370,844.86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59,264.84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4,027,686.11</w:t>
            </w:r>
          </w:p>
        </w:tc>
      </w:tr>
    </w:tbl>
    <w:p w:rsidR="000C0769" w:rsidRPr="00672DC8" w:rsidRDefault="000C0769" w:rsidP="00245914">
      <w:pPr>
        <w:spacing w:before="100" w:after="100" w:line="240" w:lineRule="exact"/>
        <w:divId w:val="1746998522"/>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245914"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83" w:name="_Toc989146"/>
      <w:r w:rsidRPr="00672DC8">
        <w:rPr>
          <w:rFonts w:ascii="Times New Roman" w:hAnsi="Times New Roman" w:cs="Times New Roman"/>
          <w:b/>
          <w:bCs/>
        </w:rPr>
        <w:t>19</w:t>
      </w:r>
      <w:r w:rsidRPr="00672DC8">
        <w:rPr>
          <w:rFonts w:ascii="Times New Roman" w:hAnsi="Times New Roman" w:cs="Times New Roman"/>
          <w:b/>
          <w:bCs/>
        </w:rPr>
        <w:t>、递延所得税资产</w:t>
      </w:r>
      <w:r w:rsidRPr="00672DC8">
        <w:rPr>
          <w:rFonts w:ascii="Times New Roman" w:hAnsi="Times New Roman" w:cs="Times New Roman"/>
          <w:b/>
          <w:bCs/>
        </w:rPr>
        <w:t>/</w:t>
      </w:r>
      <w:r w:rsidRPr="00672DC8">
        <w:rPr>
          <w:rFonts w:ascii="Times New Roman" w:hAnsi="Times New Roman" w:cs="Times New Roman"/>
          <w:b/>
          <w:bCs/>
        </w:rPr>
        <w:t>递延所得税负债</w:t>
      </w:r>
      <w:bookmarkEnd w:id="283"/>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4" w:name="_Toc98914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未经抵销的递延所得税资产</w:t>
      </w:r>
      <w:bookmarkEnd w:id="28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可抵扣暂时性差异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可抵扣暂时性差异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资产减值准备</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107,286,450.06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16,249,922.46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113,878,905.08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17,160,047.76</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内部交易未实现利润</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56,036.40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8,405.46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可抵扣亏损</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50,899,569.59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9,306,344.26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54,454,608.03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10,219,868.43</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分期收款销售商品存货的所得税影响</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14,888,005.80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2,233,200.87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69,562,799.93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10,434,419.99</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无形资产摊销差异</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1,940,377.76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291,056.67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2,228,134.28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334,220.14</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其他权益工具投资</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47,490.00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47,490.00</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租赁负债</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9,713,801.53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1,704,386.23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14,410,018.72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2,515,754.99</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股份支付</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31,261,551.50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5,040,373.22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25,577,633.05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4,114,519.60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216,362,392.64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34,881,179.17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280,428,699.09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44,826,320.91</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5" w:name="_Toc98914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未经抵销的递延所得税负债</w:t>
      </w:r>
      <w:bookmarkEnd w:id="28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应纳税暂时性差异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应纳税暂时性差异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长期应收款</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23,305,287.84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3,495,793.18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91,754,735.86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13,763,210.38</w:t>
            </w:r>
          </w:p>
        </w:tc>
      </w:tr>
      <w:tr w:rsidR="003D2BA8" w:rsidRPr="00672DC8" w:rsidTr="00245914">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使用权资产</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9,913,089.35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1,737,399.64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14,643,826.73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2,470,900.91</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33,218,377.19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5,233,192.82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106,398,562.59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16,234,111.29</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6" w:name="_Toc98914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以抵销后净额列示的递延所得税资产或负债</w:t>
      </w:r>
      <w:bookmarkEnd w:id="28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递延所得税资产和负债期末互抵金额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抵销后递延所得税资产或负债期末余额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递延所得税资产和负债期初互抵金额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抵销后递延所得税资产或负债期初余额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34,881,179.17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44,826,320.91</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5,233,192.82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16,234,111.29</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7" w:name="_Toc989150"/>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未确认递延所得税资产明细</w:t>
      </w:r>
      <w:bookmarkEnd w:id="28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88" w:name="_Toc98915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未确认递延所得税资产的可抵扣亏损将于以下年度到期</w:t>
      </w:r>
      <w:bookmarkEnd w:id="28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年份</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备注</w:t>
            </w:r>
          </w:p>
        </w:tc>
      </w:tr>
    </w:tbl>
    <w:p w:rsidR="000C0769" w:rsidRPr="00672DC8" w:rsidRDefault="000C0769" w:rsidP="00245914">
      <w:pPr>
        <w:spacing w:before="100" w:after="100" w:line="240" w:lineRule="exact"/>
        <w:divId w:val="913585528"/>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245914"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89" w:name="_Toc989152"/>
      <w:r w:rsidRPr="00672DC8">
        <w:rPr>
          <w:rFonts w:ascii="Times New Roman" w:hAnsi="Times New Roman" w:cs="Times New Roman"/>
          <w:b/>
          <w:bCs/>
        </w:rPr>
        <w:t>20</w:t>
      </w:r>
      <w:r w:rsidRPr="00672DC8">
        <w:rPr>
          <w:rFonts w:ascii="Times New Roman" w:hAnsi="Times New Roman" w:cs="Times New Roman"/>
          <w:b/>
          <w:bCs/>
        </w:rPr>
        <w:t>、其他非流动资产</w:t>
      </w:r>
      <w:bookmarkEnd w:id="28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合同资产</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1,629,608.10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85,555.41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1,544,052.69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708,618.94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35,430.95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673,187.99</w:t>
            </w:r>
          </w:p>
        </w:tc>
      </w:tr>
      <w:tr w:rsidR="003D2BA8" w:rsidRPr="00672DC8" w:rsidTr="00245914">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软件实施成本</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283,949.09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283,949.09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276,061.95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276,061.95</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1,913,557.19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85,555.41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1,828,001.78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984,680.89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35,430.95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949,249.94</w:t>
            </w:r>
          </w:p>
        </w:tc>
      </w:tr>
    </w:tbl>
    <w:p w:rsidR="003D2BA8" w:rsidRPr="00672DC8" w:rsidRDefault="000C0769" w:rsidP="00245914">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补偿性资产相关信息</w:t>
      </w:r>
    </w:p>
    <w:p w:rsidR="000C0769" w:rsidRPr="00672DC8" w:rsidRDefault="000C0769" w:rsidP="00245914">
      <w:pPr>
        <w:spacing w:before="100" w:after="100" w:line="240" w:lineRule="exact"/>
        <w:divId w:val="1461342188"/>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90" w:name="_Toc989153"/>
      <w:bookmarkStart w:id="291" w:name="OLE_LINK22"/>
      <w:r w:rsidRPr="00672DC8">
        <w:rPr>
          <w:rFonts w:ascii="Times New Roman" w:hAnsi="Times New Roman" w:cs="Times New Roman"/>
          <w:b/>
          <w:bCs/>
        </w:rPr>
        <w:t>21</w:t>
      </w:r>
      <w:r w:rsidRPr="00672DC8">
        <w:rPr>
          <w:rFonts w:ascii="Times New Roman" w:hAnsi="Times New Roman" w:cs="Times New Roman"/>
          <w:b/>
          <w:bCs/>
        </w:rPr>
        <w:t>、所有权或使用权受到限制的资产</w:t>
      </w:r>
      <w:bookmarkEnd w:id="290"/>
    </w:p>
    <w:bookmarkEnd w:id="291"/>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3D2BA8" w:rsidRPr="00672DC8">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w:t>
            </w:r>
          </w:p>
        </w:tc>
      </w:tr>
      <w:tr w:rsidR="003D2BA8" w:rsidRPr="00672DC8">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受限类型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受限情况</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受限类型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受限情况</w:t>
            </w:r>
          </w:p>
        </w:tc>
      </w:tr>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货币资金</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859,256.43</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859,256.43</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承兑保证金</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承兑保证金</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306,390.45</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306,390.45</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承兑保证金、冻结</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承兑保证金、冻结</w:t>
            </w:r>
          </w:p>
        </w:tc>
      </w:tr>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303,697,110.07</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251,542,997.90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借款抵押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借款抵押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303,697,110.07</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269,856,906.35</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借款抵押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借款抵押</w:t>
            </w:r>
          </w:p>
        </w:tc>
      </w:tr>
      <w:tr w:rsidR="003D2BA8" w:rsidRPr="00672DC8" w:rsidTr="00245914">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16,313,878.33</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15,498,184.41</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19,077,817.79</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18,123,926.90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r>
      <w:tr w:rsidR="003D2BA8" w:rsidRPr="00672DC8" w:rsidTr="00245914">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一年内到期的非流动资产</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27,371,850.00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25,228,345.94</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21,588,600.00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19,935,383.60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r>
      <w:tr w:rsidR="003D2BA8" w:rsidRPr="00672DC8" w:rsidTr="00245914">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长期应收款</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37,016,100.00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35,919,249.96</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47,810,400.00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46,102,879.70</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借款质押</w:t>
            </w:r>
          </w:p>
        </w:tc>
      </w:tr>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385,258,194.83</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329,048,034.64</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392,480,318.31</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354,325,487.00</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245914">
      <w:pPr>
        <w:spacing w:before="100" w:after="100" w:line="240" w:lineRule="exact"/>
        <w:divId w:val="922835492"/>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92" w:name="_Toc989154"/>
      <w:r w:rsidRPr="00672DC8">
        <w:rPr>
          <w:rFonts w:ascii="Times New Roman" w:hAnsi="Times New Roman" w:cs="Times New Roman"/>
          <w:b/>
          <w:bCs/>
        </w:rPr>
        <w:t>22</w:t>
      </w:r>
      <w:r w:rsidRPr="00672DC8">
        <w:rPr>
          <w:rFonts w:ascii="Times New Roman" w:hAnsi="Times New Roman" w:cs="Times New Roman"/>
          <w:b/>
          <w:bCs/>
        </w:rPr>
        <w:t>、短期借款</w:t>
      </w:r>
      <w:bookmarkEnd w:id="292"/>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93" w:name="_Toc98915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短期借款分类</w:t>
      </w:r>
      <w:bookmarkEnd w:id="29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536FF0">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质押借款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8,241,128.00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保证借款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67,080,000.00</w:t>
            </w:r>
          </w:p>
        </w:tc>
      </w:tr>
      <w:tr w:rsidR="003D2BA8" w:rsidRPr="00672DC8" w:rsidTr="00245914">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应计利息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79,180.54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65,242.12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95,579,180.54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75,386,370.12</w:t>
            </w:r>
          </w:p>
        </w:tc>
      </w:tr>
    </w:tbl>
    <w:p w:rsidR="000C0769" w:rsidRPr="00672DC8" w:rsidRDefault="000C0769" w:rsidP="00245914">
      <w:pPr>
        <w:spacing w:before="100" w:after="100" w:line="240" w:lineRule="exact"/>
        <w:divId w:val="900168418"/>
        <w:rPr>
          <w:rFonts w:ascii="Times New Roman" w:hAnsi="Times New Roman" w:cs="Times New Roman"/>
          <w:sz w:val="18"/>
          <w:szCs w:val="18"/>
        </w:rPr>
      </w:pPr>
      <w:r w:rsidRPr="00672DC8">
        <w:rPr>
          <w:rFonts w:ascii="Times New Roman" w:eastAsia="宋体" w:hAnsi="Times New Roman" w:cs="Times New Roman"/>
          <w:sz w:val="18"/>
          <w:szCs w:val="18"/>
        </w:rPr>
        <w:t>短期借款分类的说明：无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294" w:name="_Toc98915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已逾期未偿还的短期借款情况</w:t>
      </w:r>
      <w:bookmarkEnd w:id="29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本期末已逾期未偿还的短期借款总额为元，其中重要的已逾期未偿还的短期借款情况如下：</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借款单位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借款利率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逾期时间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逾期利率</w:t>
            </w:r>
          </w:p>
        </w:tc>
      </w:tr>
    </w:tbl>
    <w:p w:rsidR="000C0769" w:rsidRPr="00672DC8" w:rsidRDefault="000C0769" w:rsidP="00245914">
      <w:pPr>
        <w:spacing w:before="100" w:after="100" w:line="240" w:lineRule="exact"/>
        <w:divId w:val="1455783571"/>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245914"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295" w:name="_Toc989157"/>
      <w:r w:rsidRPr="00672DC8">
        <w:rPr>
          <w:rFonts w:ascii="Times New Roman" w:hAnsi="Times New Roman" w:cs="Times New Roman"/>
          <w:b/>
          <w:bCs/>
        </w:rPr>
        <w:t>23</w:t>
      </w:r>
      <w:r w:rsidRPr="00672DC8">
        <w:rPr>
          <w:rFonts w:ascii="Times New Roman" w:hAnsi="Times New Roman" w:cs="Times New Roman"/>
          <w:b/>
          <w:bCs/>
        </w:rPr>
        <w:t>、应付票据</w:t>
      </w:r>
      <w:bookmarkEnd w:id="29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种类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银行承兑汇票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3,295,561.50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3,295,561.50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pStyle w:val="3"/>
        <w:spacing w:line="280" w:lineRule="exact"/>
        <w:jc w:val="left"/>
        <w:rPr>
          <w:rFonts w:ascii="Times New Roman" w:hAnsi="Times New Roman" w:cs="Times New Roman"/>
          <w:b/>
          <w:bCs/>
        </w:rPr>
      </w:pPr>
      <w:bookmarkStart w:id="296" w:name="_Toc989158"/>
      <w:r w:rsidRPr="00672DC8">
        <w:rPr>
          <w:rFonts w:ascii="Times New Roman" w:hAnsi="Times New Roman" w:cs="Times New Roman"/>
          <w:b/>
          <w:bCs/>
        </w:rPr>
        <w:t>24</w:t>
      </w:r>
      <w:r w:rsidRPr="00672DC8">
        <w:rPr>
          <w:rFonts w:ascii="Times New Roman" w:hAnsi="Times New Roman" w:cs="Times New Roman"/>
          <w:b/>
          <w:bCs/>
        </w:rPr>
        <w:t>、应付账款</w:t>
      </w:r>
      <w:bookmarkEnd w:id="296"/>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297" w:name="_Toc98915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应付账款列示</w:t>
      </w:r>
      <w:bookmarkEnd w:id="29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49,722,292.04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77,794,863.49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9,190,243.75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12,038,727.65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6,773,763.60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9,766,436.00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1,619,485.07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3,058,750.44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2,067,287.19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1,302,284.70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852,440.38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525,253.47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70,225,512.03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104,486,315.75</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298" w:name="_Toc98916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账龄超过</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年或逾期的重要应付账款</w:t>
      </w:r>
      <w:bookmarkEnd w:id="29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未偿还或结转的原因</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第一名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1,968,335.14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合同未履行完毕</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第二名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1,523,548.71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合同未履行完毕</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第三名</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1,132,075.47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合同未履行完毕</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4,623,959.32</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AF6848">
      <w:pPr>
        <w:spacing w:before="100" w:after="100" w:line="240" w:lineRule="exact"/>
        <w:divId w:val="2035567715"/>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299" w:name="_Toc989161"/>
      <w:r w:rsidRPr="00672DC8">
        <w:rPr>
          <w:rFonts w:ascii="Times New Roman" w:hAnsi="Times New Roman" w:cs="Times New Roman"/>
          <w:b/>
          <w:bCs/>
        </w:rPr>
        <w:lastRenderedPageBreak/>
        <w:t>25</w:t>
      </w:r>
      <w:r w:rsidRPr="00672DC8">
        <w:rPr>
          <w:rFonts w:ascii="Times New Roman" w:hAnsi="Times New Roman" w:cs="Times New Roman"/>
          <w:b/>
          <w:bCs/>
        </w:rPr>
        <w:t>、其他应付款</w:t>
      </w:r>
      <w:bookmarkEnd w:id="29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22,932,919.83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24,285,873.06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22,932,919.83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24,285,873.06</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00" w:name="_Toc989162"/>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应付利息</w:t>
      </w:r>
      <w:bookmarkEnd w:id="30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重要的已逾期未支付的利息情况：</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借款单位</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逾期原因</w:t>
            </w:r>
          </w:p>
        </w:tc>
      </w:tr>
    </w:tbl>
    <w:p w:rsidR="000C0769" w:rsidRPr="00672DC8" w:rsidRDefault="000C0769" w:rsidP="00536FF0">
      <w:pPr>
        <w:spacing w:before="100" w:after="100" w:line="240" w:lineRule="exact"/>
        <w:divId w:val="49161501"/>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01" w:name="_Toc989163"/>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应付股利</w:t>
      </w:r>
      <w:bookmarkEnd w:id="30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0C0769" w:rsidRPr="00672DC8" w:rsidRDefault="000C0769" w:rsidP="00536FF0">
      <w:pPr>
        <w:spacing w:before="100" w:after="100" w:line="240" w:lineRule="exact"/>
        <w:divId w:val="1649554658"/>
        <w:rPr>
          <w:rFonts w:ascii="Times New Roman" w:hAnsi="Times New Roman" w:cs="Times New Roman"/>
          <w:sz w:val="18"/>
          <w:szCs w:val="18"/>
        </w:rPr>
      </w:pPr>
      <w:r w:rsidRPr="00672DC8">
        <w:rPr>
          <w:rFonts w:ascii="Times New Roman" w:eastAsia="宋体" w:hAnsi="Times New Roman" w:cs="Times New Roman"/>
          <w:sz w:val="18"/>
          <w:szCs w:val="18"/>
        </w:rPr>
        <w:t>其他说明，包括重要的超过</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年未支付的应付股利，应披露未支付原因：不适用。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02" w:name="_Toc989164"/>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其他应付款</w:t>
      </w:r>
      <w:bookmarkEnd w:id="302"/>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303" w:name="_Toc989165"/>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按款项性质列示其他应付款</w:t>
      </w:r>
      <w:bookmarkEnd w:id="30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往来款项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764,324.58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员工报销款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1,001,165.98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1,622,640.38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股票回购款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21,636,844.00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21,681,644.00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294,909.85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217,264.10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22,932,919.83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24,285,873.06</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304" w:name="_Toc989166"/>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账龄超过</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年或逾期的重要其他应付款</w:t>
      </w:r>
      <w:bookmarkEnd w:id="30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未偿还或结转的原因</w:t>
            </w:r>
          </w:p>
        </w:tc>
      </w:tr>
    </w:tbl>
    <w:p w:rsidR="000C0769" w:rsidRPr="00672DC8" w:rsidRDefault="000C0769" w:rsidP="00536FF0">
      <w:pPr>
        <w:spacing w:before="100" w:after="100" w:line="240" w:lineRule="exact"/>
        <w:divId w:val="1304500608"/>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536FF0"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05" w:name="_Toc989167"/>
      <w:r w:rsidRPr="00672DC8">
        <w:rPr>
          <w:rFonts w:ascii="Times New Roman" w:hAnsi="Times New Roman" w:cs="Times New Roman"/>
          <w:b/>
          <w:bCs/>
        </w:rPr>
        <w:t>26</w:t>
      </w:r>
      <w:r w:rsidRPr="00672DC8">
        <w:rPr>
          <w:rFonts w:ascii="Times New Roman" w:hAnsi="Times New Roman" w:cs="Times New Roman"/>
          <w:b/>
          <w:bCs/>
        </w:rPr>
        <w:t>、合同负债</w:t>
      </w:r>
      <w:bookmarkEnd w:id="30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销货合同相关的合同负债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51,541,859.32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42,612,287.12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51,541,859.32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42,612,287.12</w:t>
            </w: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账龄超过</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年的重要合同负债</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未偿还或结转的原因</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报告期内账面价值发生重大变动的金额和原因</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20"/>
        <w:gridCol w:w="820"/>
        <w:gridCol w:w="7999"/>
      </w:tblGrid>
      <w:tr w:rsidR="003D2BA8" w:rsidRPr="00672DC8">
        <w:trPr>
          <w:trHeight w:val="240"/>
        </w:trPr>
        <w:tc>
          <w:tcPr>
            <w:tcW w:w="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变动金额</w:t>
            </w:r>
          </w:p>
        </w:tc>
        <w:tc>
          <w:tcPr>
            <w:tcW w:w="800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变动原因</w:t>
            </w:r>
          </w:p>
        </w:tc>
      </w:tr>
    </w:tbl>
    <w:p w:rsidR="003D2BA8" w:rsidRPr="00672DC8" w:rsidRDefault="000C0769">
      <w:pPr>
        <w:pStyle w:val="3"/>
        <w:spacing w:line="280" w:lineRule="exact"/>
        <w:jc w:val="left"/>
        <w:rPr>
          <w:rFonts w:ascii="Times New Roman" w:hAnsi="Times New Roman" w:cs="Times New Roman"/>
          <w:b/>
          <w:bCs/>
        </w:rPr>
      </w:pPr>
      <w:bookmarkStart w:id="306" w:name="_Toc989168"/>
      <w:r w:rsidRPr="00672DC8">
        <w:rPr>
          <w:rFonts w:ascii="Times New Roman" w:hAnsi="Times New Roman" w:cs="Times New Roman"/>
          <w:b/>
          <w:bCs/>
        </w:rPr>
        <w:t>27</w:t>
      </w:r>
      <w:r w:rsidRPr="00672DC8">
        <w:rPr>
          <w:rFonts w:ascii="Times New Roman" w:hAnsi="Times New Roman" w:cs="Times New Roman"/>
          <w:b/>
          <w:bCs/>
        </w:rPr>
        <w:t>、应付职工薪酬</w:t>
      </w:r>
      <w:bookmarkEnd w:id="306"/>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07" w:name="_Toc98916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应付职工薪酬列示</w:t>
      </w:r>
      <w:bookmarkEnd w:id="30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一、短期薪酬</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10,781,020.95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21,455,632.77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26,083,691.70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6,152,962.02</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二、离职后福利</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设定提存计划</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13,552.44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1,768,823.86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1,748,898.13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33,478.17</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三、辞退福利</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131,850.37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1,264,208.33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1,223,321.70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172,737.00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10,926,423.76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24,488,664.96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29,055,911.53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6,359,177.19</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08" w:name="_Toc98917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短期薪酬列示</w:t>
      </w:r>
      <w:bookmarkEnd w:id="30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rsidTr="006B5F5E">
        <w:trPr>
          <w:trHeight w:val="240"/>
          <w:tblHeader/>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、工资、奖金、津贴和补贴</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10,356,708.68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20,135,054.60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24,780,752.03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5,711,011.25</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、职工福利费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256,788.24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256,788.24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、社会保险费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7,526.74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756,136.58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744,940.08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18,723.24</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305906">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其中：医疗保险费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7,392.24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732,366.09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721,411.11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18,347.22</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305906">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工伤保险费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15,715.93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15,474.41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376.02</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rsidP="00305906">
            <w:pPr>
              <w:spacing w:before="40" w:after="40" w:line="240" w:lineRule="exact"/>
              <w:ind w:firstLineChars="400" w:firstLine="720"/>
              <w:rPr>
                <w:rFonts w:ascii="Times New Roman" w:eastAsia="宋体" w:hAnsi="Times New Roman" w:cs="Times New Roman"/>
                <w:sz w:val="18"/>
                <w:szCs w:val="18"/>
              </w:rPr>
            </w:pPr>
            <w:r w:rsidRPr="00672DC8">
              <w:rPr>
                <w:rFonts w:ascii="Times New Roman" w:eastAsia="宋体" w:hAnsi="Times New Roman" w:cs="Times New Roman"/>
                <w:sz w:val="18"/>
                <w:szCs w:val="18"/>
              </w:rPr>
              <w:t>生育保险费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8,054.56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8,054.56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、住房公积金</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1,485.00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287,717.50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281,275.50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7,927.00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、工会经费和职工教育经费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415,300.53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19,935.85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19,935.85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415,300.53</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10,781,020.95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21,455,632.77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26,083,691.70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6,152,962.02</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09" w:name="_Toc98917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设定提存计划列示</w:t>
      </w:r>
      <w:bookmarkEnd w:id="30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、基本养老保险</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13,141.76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1,711,653.05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1,692,331.13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32,463.68</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、失业保险费</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410.68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57,170.81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56,567.00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1,014.49</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13,552.44</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1,768,823.86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1,748,898.13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33,478.17</w:t>
            </w:r>
          </w:p>
        </w:tc>
      </w:tr>
    </w:tbl>
    <w:p w:rsidR="000C0769" w:rsidRPr="00672DC8" w:rsidRDefault="000C0769" w:rsidP="006B5F5E">
      <w:pPr>
        <w:spacing w:before="100" w:after="100" w:line="240" w:lineRule="exact"/>
        <w:divId w:val="1246184967"/>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10" w:name="_Toc989172"/>
      <w:r w:rsidRPr="00672DC8">
        <w:rPr>
          <w:rFonts w:ascii="Times New Roman" w:hAnsi="Times New Roman" w:cs="Times New Roman"/>
          <w:b/>
          <w:bCs/>
        </w:rPr>
        <w:lastRenderedPageBreak/>
        <w:t>28</w:t>
      </w:r>
      <w:r w:rsidRPr="00672DC8">
        <w:rPr>
          <w:rFonts w:ascii="Times New Roman" w:hAnsi="Times New Roman" w:cs="Times New Roman"/>
          <w:b/>
          <w:bCs/>
        </w:rPr>
        <w:t>、应交税费</w:t>
      </w:r>
      <w:bookmarkEnd w:id="31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增值税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43,430,374.91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46,377,547.47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企业所得税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46,204.17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51,686.93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个人所得税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101,417.88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157,630.30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2,284,677.45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2,299,557.15</w:t>
            </w:r>
          </w:p>
        </w:tc>
      </w:tr>
      <w:tr w:rsidR="003D2BA8" w:rsidRPr="00672DC8" w:rsidTr="006B5F5E">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教育费附加（含地方教育费附加）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1,631,891.05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1,642,519.41</w:t>
            </w:r>
          </w:p>
        </w:tc>
      </w:tr>
      <w:tr w:rsidR="003D2BA8" w:rsidRPr="00672DC8" w:rsidTr="006B5F5E">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印花税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64,171.01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107,840.79</w:t>
            </w:r>
          </w:p>
        </w:tc>
      </w:tr>
      <w:tr w:rsidR="003D2BA8" w:rsidRPr="00672DC8" w:rsidTr="006B5F5E">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其他税费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281,090.99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1,022.80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47,839,827.46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50,637,804.85</w:t>
            </w:r>
          </w:p>
        </w:tc>
      </w:tr>
    </w:tbl>
    <w:p w:rsidR="000C0769" w:rsidRPr="00672DC8" w:rsidRDefault="000C0769" w:rsidP="006B5F5E">
      <w:pPr>
        <w:spacing w:before="100" w:after="100" w:line="240" w:lineRule="exact"/>
        <w:divId w:val="188952828"/>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6B5F5E"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11" w:name="_Toc989173"/>
      <w:r w:rsidRPr="00672DC8">
        <w:rPr>
          <w:rFonts w:ascii="Times New Roman" w:hAnsi="Times New Roman" w:cs="Times New Roman"/>
          <w:b/>
          <w:bCs/>
        </w:rPr>
        <w:t>29</w:t>
      </w:r>
      <w:r w:rsidRPr="00672DC8">
        <w:rPr>
          <w:rFonts w:ascii="Times New Roman" w:hAnsi="Times New Roman" w:cs="Times New Roman"/>
          <w:b/>
          <w:bCs/>
        </w:rPr>
        <w:t>、一年内到期的非流动负债</w:t>
      </w:r>
      <w:bookmarkEnd w:id="31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一年内到期的长期借款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62,159,775.27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60,916,123.52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3,644,666.68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3,653,655.84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一年内到期的租赁负债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3,644,804.59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3,408,843.11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69,449,246.54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67,978,622.47</w:t>
            </w:r>
          </w:p>
        </w:tc>
      </w:tr>
    </w:tbl>
    <w:p w:rsidR="000C0769" w:rsidRPr="00672DC8" w:rsidRDefault="000C0769" w:rsidP="006B5F5E">
      <w:pPr>
        <w:spacing w:before="100" w:after="100" w:line="240" w:lineRule="exact"/>
        <w:divId w:val="1272856661"/>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12" w:name="_Toc989174"/>
      <w:r w:rsidRPr="00672DC8">
        <w:rPr>
          <w:rFonts w:ascii="Times New Roman" w:hAnsi="Times New Roman" w:cs="Times New Roman"/>
          <w:b/>
          <w:bCs/>
        </w:rPr>
        <w:t>30</w:t>
      </w:r>
      <w:r w:rsidRPr="00672DC8">
        <w:rPr>
          <w:rFonts w:ascii="Times New Roman" w:hAnsi="Times New Roman" w:cs="Times New Roman"/>
          <w:b/>
          <w:bCs/>
        </w:rPr>
        <w:t>、其他流动负债</w:t>
      </w:r>
      <w:bookmarkEnd w:id="31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rsidTr="006B5F5E">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已背书未到期的应收票据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77,900.00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短期应付债券的增减变动：</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741"/>
        <w:gridCol w:w="741"/>
        <w:gridCol w:w="741"/>
        <w:gridCol w:w="742"/>
        <w:gridCol w:w="742"/>
        <w:gridCol w:w="742"/>
        <w:gridCol w:w="742"/>
        <w:gridCol w:w="740"/>
        <w:gridCol w:w="740"/>
        <w:gridCol w:w="740"/>
        <w:gridCol w:w="740"/>
        <w:gridCol w:w="740"/>
        <w:gridCol w:w="740"/>
      </w:tblGrid>
      <w:tr w:rsidR="006E37F8" w:rsidRPr="00672DC8" w:rsidTr="000D0A0F">
        <w:trPr>
          <w:trHeight w:val="240"/>
        </w:trPr>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债券名称</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面值</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票面利率</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发行日期</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债券期限</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发行金额</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本期发行</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按面值计提利息</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溢折价摊销</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本期偿还</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是否违约</w:t>
            </w:r>
          </w:p>
        </w:tc>
      </w:tr>
      <w:tr w:rsidR="006E37F8" w:rsidRPr="00672DC8" w:rsidTr="000D0A0F">
        <w:trPr>
          <w:trHeight w:val="240"/>
        </w:trPr>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rPr>
                <w:rFonts w:ascii="Times New Roman" w:hAnsi="Times New Roman" w:cs="Times New Roman"/>
              </w:rPr>
            </w:pP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rPr>
                <w:rFonts w:ascii="Times New Roman" w:hAnsi="Times New Roman" w:cs="Times New Roman"/>
              </w:rPr>
            </w:pP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rPr>
                <w:rFonts w:ascii="Times New Roman" w:hAnsi="Times New Roman" w:cs="Times New Roman"/>
              </w:rPr>
            </w:pPr>
          </w:p>
        </w:tc>
        <w:tc>
          <w:tcPr>
            <w:tcW w:w="385"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rPr>
                <w:rFonts w:ascii="Times New Roman" w:hAnsi="Times New Roman" w:cs="Times New Roman"/>
              </w:rPr>
            </w:pPr>
          </w:p>
        </w:tc>
        <w:tc>
          <w:tcPr>
            <w:tcW w:w="385"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5"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vAlign w:val="center"/>
          </w:tcPr>
          <w:p w:rsidR="006E37F8" w:rsidRPr="00672DC8" w:rsidRDefault="006E37F8">
            <w:pPr>
              <w:spacing w:line="240" w:lineRule="exact"/>
              <w:jc w:val="right"/>
              <w:rPr>
                <w:rFonts w:ascii="Times New Roman" w:eastAsia="宋体" w:hAnsi="Times New Roman" w:cs="Times New Roman"/>
                <w:sz w:val="18"/>
                <w:szCs w:val="18"/>
              </w:rPr>
            </w:pPr>
          </w:p>
        </w:tc>
        <w:tc>
          <w:tcPr>
            <w:tcW w:w="384" w:type="pct"/>
            <w:tcBorders>
              <w:top w:val="single" w:sz="2" w:space="0" w:color="auto"/>
              <w:left w:val="single" w:sz="2" w:space="0" w:color="auto"/>
              <w:bottom w:val="single" w:sz="2" w:space="0" w:color="auto"/>
              <w:right w:val="single" w:sz="2" w:space="0" w:color="auto"/>
            </w:tcBorders>
            <w:shd w:val="clear" w:color="auto" w:fill="D3D3D3"/>
            <w:vAlign w:val="center"/>
          </w:tcPr>
          <w:p w:rsidR="006E37F8" w:rsidRPr="00672DC8" w:rsidRDefault="006E37F8">
            <w:pPr>
              <w:rPr>
                <w:rFonts w:ascii="Times New Roman" w:hAnsi="Times New Roman" w:cs="Times New Roman"/>
              </w:rPr>
            </w:pPr>
          </w:p>
        </w:tc>
      </w:tr>
    </w:tbl>
    <w:p w:rsidR="000C0769" w:rsidRPr="00672DC8" w:rsidRDefault="000C0769" w:rsidP="00A329B0">
      <w:pPr>
        <w:spacing w:before="100" w:after="100" w:line="240" w:lineRule="exact"/>
        <w:divId w:val="366369959"/>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pStyle w:val="3"/>
        <w:spacing w:line="280" w:lineRule="exact"/>
        <w:jc w:val="left"/>
        <w:rPr>
          <w:rFonts w:ascii="Times New Roman" w:hAnsi="Times New Roman" w:cs="Times New Roman"/>
          <w:b/>
          <w:bCs/>
        </w:rPr>
      </w:pPr>
      <w:bookmarkStart w:id="313" w:name="_Toc989175"/>
      <w:r w:rsidRPr="00672DC8">
        <w:rPr>
          <w:rFonts w:ascii="Times New Roman" w:hAnsi="Times New Roman" w:cs="Times New Roman"/>
          <w:b/>
          <w:bCs/>
        </w:rPr>
        <w:t>31</w:t>
      </w:r>
      <w:r w:rsidRPr="00672DC8">
        <w:rPr>
          <w:rFonts w:ascii="Times New Roman" w:hAnsi="Times New Roman" w:cs="Times New Roman"/>
          <w:b/>
          <w:bCs/>
        </w:rPr>
        <w:t>、长期借款</w:t>
      </w:r>
      <w:bookmarkEnd w:id="313"/>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14" w:name="_Toc989176"/>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长期借款分类</w:t>
      </w:r>
      <w:bookmarkEnd w:id="31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A329B0">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保证借款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质押及保证借款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77,126,457.46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78,221,044.07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质押及抵押借款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171,400,000.00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195,940,000.00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应计利息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222,960.99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273,130.76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减：一年内到期的长期借款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-62,159,775.27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-60,916,123.52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191,589,643.18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213,518,051.31</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长期借款分类的说明：</w:t>
      </w:r>
    </w:p>
    <w:p w:rsidR="000C0769" w:rsidRPr="00672DC8" w:rsidRDefault="000C0769" w:rsidP="00AD47D2">
      <w:pPr>
        <w:pStyle w:val="a3"/>
        <w:spacing w:beforeLines="50" w:before="156" w:beforeAutospacing="0" w:afterLines="50" w:after="156" w:afterAutospacing="0" w:line="288" w:lineRule="auto"/>
        <w:divId w:val="360670182"/>
        <w:rPr>
          <w:rFonts w:ascii="Times New Roman" w:hAnsi="Times New Roman" w:cs="Times New Roman"/>
          <w:sz w:val="18"/>
          <w:szCs w:val="18"/>
        </w:rPr>
      </w:pPr>
      <w:r w:rsidRPr="00672DC8">
        <w:rPr>
          <w:rFonts w:hint="eastAsia"/>
          <w:sz w:val="18"/>
          <w:szCs w:val="18"/>
        </w:rPr>
        <w:t>①</w:t>
      </w:r>
      <w:r w:rsidRPr="00672DC8">
        <w:rPr>
          <w:rFonts w:ascii="Times New Roman" w:hAnsi="Times New Roman" w:cs="Times New Roman"/>
          <w:sz w:val="18"/>
          <w:szCs w:val="18"/>
        </w:rPr>
        <w:t>质押及保证借款</w:t>
      </w:r>
      <w:r w:rsidRPr="00672DC8">
        <w:rPr>
          <w:rFonts w:ascii="Times New Roman" w:hAnsi="Times New Roman" w:cs="Times New Roman"/>
          <w:sz w:val="18"/>
          <w:szCs w:val="18"/>
        </w:rPr>
        <w:t>:</w:t>
      </w:r>
      <w:r w:rsidRPr="00672DC8">
        <w:rPr>
          <w:rFonts w:ascii="Times New Roman" w:hAnsi="Times New Roman" w:cs="Times New Roman"/>
          <w:sz w:val="18"/>
          <w:szCs w:val="18"/>
        </w:rPr>
        <w:t>该借款单位系子公司湖南天晨新能源有限公司。保证人</w:t>
      </w:r>
      <w:r w:rsidRPr="00672DC8">
        <w:rPr>
          <w:rFonts w:ascii="Times New Roman" w:hAnsi="Times New Roman" w:cs="Times New Roman"/>
          <w:sz w:val="18"/>
          <w:szCs w:val="18"/>
        </w:rPr>
        <w:t>:</w:t>
      </w:r>
      <w:r w:rsidRPr="00672DC8">
        <w:rPr>
          <w:rFonts w:ascii="Times New Roman" w:hAnsi="Times New Roman" w:cs="Times New Roman"/>
          <w:sz w:val="18"/>
          <w:szCs w:val="18"/>
        </w:rPr>
        <w:t>广东天亿马信息产业股份有限公司。质押物</w:t>
      </w:r>
      <w:r w:rsidRPr="00672DC8">
        <w:rPr>
          <w:rFonts w:ascii="Times New Roman" w:hAnsi="Times New Roman" w:cs="Times New Roman"/>
          <w:sz w:val="18"/>
          <w:szCs w:val="18"/>
        </w:rPr>
        <w:t>:</w:t>
      </w:r>
      <w:r w:rsidRPr="00672DC8">
        <w:rPr>
          <w:rFonts w:ascii="Times New Roman" w:hAnsi="Times New Roman" w:cs="Times New Roman"/>
          <w:sz w:val="18"/>
          <w:szCs w:val="18"/>
        </w:rPr>
        <w:t>湖南天晨新能源有限公司应收账款</w:t>
      </w:r>
      <w:r w:rsidRPr="00672DC8">
        <w:rPr>
          <w:rFonts w:ascii="Times New Roman" w:hAnsi="Times New Roman" w:cs="Times New Roman"/>
          <w:sz w:val="18"/>
          <w:szCs w:val="18"/>
        </w:rPr>
        <w:t>-</w:t>
      </w:r>
      <w:r w:rsidRPr="00672DC8">
        <w:rPr>
          <w:rFonts w:ascii="Times New Roman" w:hAnsi="Times New Roman" w:cs="Times New Roman"/>
          <w:sz w:val="18"/>
          <w:szCs w:val="18"/>
        </w:rPr>
        <w:t>售电收费权。</w:t>
      </w:r>
    </w:p>
    <w:p w:rsidR="000C0769" w:rsidRPr="00672DC8" w:rsidRDefault="000C0769" w:rsidP="00AD47D2">
      <w:pPr>
        <w:pStyle w:val="a3"/>
        <w:spacing w:beforeLines="50" w:before="156" w:beforeAutospacing="0" w:afterLines="50" w:after="156" w:afterAutospacing="0" w:line="288" w:lineRule="auto"/>
        <w:divId w:val="360670182"/>
        <w:rPr>
          <w:rFonts w:ascii="Times New Roman" w:hAnsi="Times New Roman" w:cs="Times New Roman"/>
          <w:sz w:val="18"/>
          <w:szCs w:val="18"/>
        </w:rPr>
      </w:pPr>
      <w:r w:rsidRPr="00672DC8">
        <w:rPr>
          <w:rFonts w:hint="eastAsia"/>
          <w:sz w:val="18"/>
          <w:szCs w:val="18"/>
        </w:rPr>
        <w:t>②</w:t>
      </w:r>
      <w:r w:rsidRPr="00672DC8">
        <w:rPr>
          <w:rFonts w:ascii="Times New Roman" w:hAnsi="Times New Roman" w:cs="Times New Roman"/>
          <w:sz w:val="18"/>
          <w:szCs w:val="18"/>
        </w:rPr>
        <w:t>质押及保证借款：借款单位系子公司天亿马信息技术有限公司：保证人广东天亿马信息产业股份有限公司。质押物：天亿马信息技术有限公司享有对上海数讯信息技术有限公司的应收账款收款权。</w:t>
      </w:r>
    </w:p>
    <w:p w:rsidR="000C0769" w:rsidRPr="00672DC8" w:rsidRDefault="000C0769" w:rsidP="00AD47D2">
      <w:pPr>
        <w:pStyle w:val="a3"/>
        <w:spacing w:beforeLines="50" w:before="156" w:beforeAutospacing="0" w:afterLines="50" w:after="156" w:afterAutospacing="0" w:line="288" w:lineRule="auto"/>
        <w:divId w:val="360670182"/>
        <w:rPr>
          <w:rFonts w:ascii="Times New Roman" w:hAnsi="Times New Roman" w:cs="Times New Roman"/>
          <w:sz w:val="18"/>
          <w:szCs w:val="18"/>
        </w:rPr>
      </w:pPr>
      <w:r w:rsidRPr="00672DC8">
        <w:rPr>
          <w:rFonts w:hint="eastAsia"/>
          <w:sz w:val="18"/>
          <w:szCs w:val="18"/>
        </w:rPr>
        <w:t>③</w:t>
      </w:r>
      <w:r w:rsidRPr="00672DC8">
        <w:rPr>
          <w:rFonts w:ascii="Times New Roman" w:hAnsi="Times New Roman" w:cs="Times New Roman"/>
          <w:sz w:val="18"/>
          <w:szCs w:val="18"/>
        </w:rPr>
        <w:t>质押及保证借款：借款单位系子公司天亿马信息技术有限公司：保证人广东天亿马信息产业股份有限公司。质押物：天亿马信息技术有限公司享有对中国移动通信集团广东有限公司汕头分公司的应收账款收款权。</w:t>
      </w:r>
    </w:p>
    <w:p w:rsidR="000C0769" w:rsidRPr="00672DC8" w:rsidRDefault="000C0769" w:rsidP="00AD47D2">
      <w:pPr>
        <w:pStyle w:val="a3"/>
        <w:spacing w:beforeLines="50" w:before="156" w:beforeAutospacing="0" w:afterLines="50" w:after="156" w:afterAutospacing="0" w:line="288" w:lineRule="auto"/>
        <w:divId w:val="360670182"/>
        <w:rPr>
          <w:rFonts w:ascii="Times New Roman" w:hAnsi="Times New Roman" w:cs="Times New Roman"/>
          <w:sz w:val="18"/>
          <w:szCs w:val="18"/>
        </w:rPr>
      </w:pPr>
      <w:r w:rsidRPr="00672DC8">
        <w:rPr>
          <w:rFonts w:hint="eastAsia"/>
          <w:sz w:val="18"/>
          <w:szCs w:val="18"/>
        </w:rPr>
        <w:t>④</w:t>
      </w:r>
      <w:r w:rsidRPr="00672DC8">
        <w:rPr>
          <w:rFonts w:ascii="Times New Roman" w:hAnsi="Times New Roman" w:cs="Times New Roman"/>
          <w:sz w:val="18"/>
          <w:szCs w:val="18"/>
        </w:rPr>
        <w:t>质押及抵押借款</w:t>
      </w:r>
      <w:r w:rsidRPr="00672DC8">
        <w:rPr>
          <w:rFonts w:ascii="Times New Roman" w:hAnsi="Times New Roman" w:cs="Times New Roman"/>
          <w:sz w:val="18"/>
          <w:szCs w:val="18"/>
        </w:rPr>
        <w:t>:</w:t>
      </w:r>
      <w:r w:rsidRPr="00672DC8">
        <w:rPr>
          <w:rFonts w:ascii="Times New Roman" w:hAnsi="Times New Roman" w:cs="Times New Roman"/>
          <w:sz w:val="18"/>
          <w:szCs w:val="18"/>
        </w:rPr>
        <w:t>该借款单位系广东天亿马信息产业股份有限公司。质押物：广东天亿马信息产业股份有限公司应收账款</w:t>
      </w:r>
      <w:r w:rsidRPr="00672DC8">
        <w:rPr>
          <w:rFonts w:ascii="Times New Roman" w:hAnsi="Times New Roman" w:cs="Times New Roman"/>
          <w:sz w:val="18"/>
          <w:szCs w:val="18"/>
        </w:rPr>
        <w:t>-</w:t>
      </w:r>
      <w:r w:rsidRPr="00672DC8">
        <w:rPr>
          <w:rFonts w:ascii="Times New Roman" w:hAnsi="Times New Roman" w:cs="Times New Roman"/>
          <w:sz w:val="18"/>
          <w:szCs w:val="18"/>
        </w:rPr>
        <w:t>算力服务。抵押物</w:t>
      </w:r>
      <w:r w:rsidRPr="00672DC8">
        <w:rPr>
          <w:rFonts w:ascii="Times New Roman" w:hAnsi="Times New Roman" w:cs="Times New Roman"/>
          <w:sz w:val="18"/>
          <w:szCs w:val="18"/>
        </w:rPr>
        <w:t>:127</w:t>
      </w:r>
      <w:r w:rsidRPr="00672DC8">
        <w:rPr>
          <w:rFonts w:ascii="Times New Roman" w:hAnsi="Times New Roman" w:cs="Times New Roman"/>
          <w:sz w:val="18"/>
          <w:szCs w:val="18"/>
        </w:rPr>
        <w:t>套</w:t>
      </w:r>
      <w:r w:rsidRPr="00672DC8">
        <w:rPr>
          <w:rFonts w:ascii="Times New Roman" w:hAnsi="Times New Roman" w:cs="Times New Roman"/>
          <w:sz w:val="18"/>
          <w:szCs w:val="18"/>
        </w:rPr>
        <w:t xml:space="preserve"> GPU</w:t>
      </w:r>
      <w:r w:rsidRPr="00672DC8">
        <w:rPr>
          <w:rFonts w:ascii="Times New Roman" w:hAnsi="Times New Roman" w:cs="Times New Roman"/>
          <w:sz w:val="18"/>
          <w:szCs w:val="18"/>
        </w:rPr>
        <w:t>裸金属算力服务的高性能服务器机器对应配套零件。</w:t>
      </w:r>
    </w:p>
    <w:p w:rsidR="000C0769" w:rsidRPr="00672DC8" w:rsidRDefault="000C0769" w:rsidP="00AD47D2">
      <w:pPr>
        <w:pStyle w:val="a3"/>
        <w:spacing w:beforeLines="50" w:before="156" w:beforeAutospacing="0" w:afterLines="50" w:after="156" w:afterAutospacing="0" w:line="288" w:lineRule="auto"/>
        <w:divId w:val="360670182"/>
        <w:rPr>
          <w:rFonts w:ascii="Times New Roman" w:hAnsi="Times New Roman" w:cs="Times New Roman"/>
          <w:sz w:val="18"/>
          <w:szCs w:val="18"/>
        </w:rPr>
      </w:pPr>
      <w:r w:rsidRPr="00672DC8">
        <w:rPr>
          <w:rFonts w:hint="eastAsia"/>
          <w:sz w:val="18"/>
          <w:szCs w:val="18"/>
        </w:rPr>
        <w:t>⑤</w:t>
      </w:r>
      <w:r w:rsidRPr="00672DC8">
        <w:rPr>
          <w:rFonts w:ascii="Times New Roman" w:hAnsi="Times New Roman" w:cs="Times New Roman"/>
          <w:sz w:val="18"/>
          <w:szCs w:val="18"/>
        </w:rPr>
        <w:t>保证借款：该借款单位系子公司广东天亿马信息科技有限公司。保证人</w:t>
      </w:r>
      <w:r w:rsidRPr="00672DC8">
        <w:rPr>
          <w:rFonts w:ascii="Times New Roman" w:hAnsi="Times New Roman" w:cs="Times New Roman"/>
          <w:sz w:val="18"/>
          <w:szCs w:val="18"/>
        </w:rPr>
        <w:t>:</w:t>
      </w:r>
      <w:r w:rsidRPr="00672DC8">
        <w:rPr>
          <w:rFonts w:ascii="Times New Roman" w:hAnsi="Times New Roman" w:cs="Times New Roman"/>
          <w:sz w:val="18"/>
          <w:szCs w:val="18"/>
        </w:rPr>
        <w:t>广东天亿马信息产业股份有限公司。</w:t>
      </w:r>
      <w:r w:rsidRPr="00672DC8">
        <w:rPr>
          <w:rFonts w:ascii="Times New Roman" w:hAnsi="Times New Roman" w:cs="Times New Roman"/>
          <w:sz w:val="18"/>
          <w:szCs w:val="18"/>
        </w:rPr>
        <w:t> </w:t>
      </w:r>
    </w:p>
    <w:p w:rsidR="000C0769" w:rsidRPr="00672DC8" w:rsidRDefault="000C0769" w:rsidP="00BB2888">
      <w:pPr>
        <w:spacing w:before="100" w:after="100" w:line="240" w:lineRule="exact"/>
        <w:divId w:val="550118524"/>
        <w:rPr>
          <w:rFonts w:ascii="Times New Roman" w:hAnsi="Times New Roman" w:cs="Times New Roman"/>
          <w:sz w:val="18"/>
          <w:szCs w:val="18"/>
        </w:rPr>
      </w:pPr>
      <w:r w:rsidRPr="00672DC8">
        <w:rPr>
          <w:rFonts w:ascii="Times New Roman" w:eastAsia="宋体" w:hAnsi="Times New Roman" w:cs="Times New Roman"/>
          <w:sz w:val="18"/>
          <w:szCs w:val="18"/>
        </w:rPr>
        <w:t>其他说明，包括利率区间：</w:t>
      </w:r>
      <w:r w:rsidRPr="00672DC8">
        <w:rPr>
          <w:rFonts w:ascii="Times New Roman" w:eastAsia="宋体" w:hAnsi="Times New Roman" w:cs="Times New Roman"/>
          <w:sz w:val="18"/>
          <w:szCs w:val="18"/>
        </w:rPr>
        <w:t>2.45%-3.3%</w:t>
      </w:r>
      <w:r w:rsidRPr="00672DC8">
        <w:rPr>
          <w:rFonts w:ascii="Times New Roman" w:eastAsia="宋体" w:hAnsi="Times New Roman" w:cs="Times New Roman"/>
          <w:sz w:val="18"/>
          <w:szCs w:val="18"/>
        </w:rPr>
        <w:t>。</w:t>
      </w:r>
    </w:p>
    <w:p w:rsidR="003D2BA8" w:rsidRPr="00672DC8" w:rsidRDefault="000C0769">
      <w:pPr>
        <w:pStyle w:val="3"/>
        <w:spacing w:line="280" w:lineRule="exact"/>
        <w:jc w:val="left"/>
        <w:rPr>
          <w:rFonts w:ascii="Times New Roman" w:hAnsi="Times New Roman" w:cs="Times New Roman"/>
          <w:b/>
          <w:bCs/>
        </w:rPr>
      </w:pPr>
      <w:bookmarkStart w:id="315" w:name="_Toc989177"/>
      <w:r w:rsidRPr="00672DC8">
        <w:rPr>
          <w:rFonts w:ascii="Times New Roman" w:hAnsi="Times New Roman" w:cs="Times New Roman"/>
          <w:b/>
          <w:bCs/>
        </w:rPr>
        <w:t>32</w:t>
      </w:r>
      <w:r w:rsidRPr="00672DC8">
        <w:rPr>
          <w:rFonts w:ascii="Times New Roman" w:hAnsi="Times New Roman" w:cs="Times New Roman"/>
          <w:b/>
          <w:bCs/>
        </w:rPr>
        <w:t>、租赁负债</w:t>
      </w:r>
      <w:bookmarkEnd w:id="31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租赁付款额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10,529,891.97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17,579,650.45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减：未确认的融资费用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-770,085.74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-3,169,631.73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减：一年内到期的租赁负债（本节七、</w:t>
            </w:r>
            <w:r w:rsidRPr="00672DC8">
              <w:rPr>
                <w:rFonts w:ascii="Times New Roman" w:eastAsia="宋体" w:hAnsi="Times New Roman" w:cs="Times New Roman"/>
                <w:sz w:val="18"/>
                <w:szCs w:val="18"/>
              </w:rPr>
              <w:t>29</w:t>
            </w:r>
            <w:r w:rsidRPr="00672DC8">
              <w:rPr>
                <w:rFonts w:ascii="Times New Roman" w:eastAsia="宋体" w:hAnsi="Times New Roman" w:cs="Times New Roman"/>
                <w:sz w:val="18"/>
                <w:szCs w:val="18"/>
              </w:rPr>
              <w:t>）</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-3,644,804.59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-3,408,843.11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6,115,001.64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11,001,175.61</w:t>
            </w:r>
          </w:p>
        </w:tc>
      </w:tr>
    </w:tbl>
    <w:p w:rsidR="000C0769" w:rsidRPr="00672DC8" w:rsidRDefault="000C0769" w:rsidP="00AA7E6C">
      <w:pPr>
        <w:spacing w:before="100" w:after="100" w:line="240" w:lineRule="exact"/>
        <w:divId w:val="1035429820"/>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AA7E6C"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16" w:name="_Toc989178"/>
      <w:r w:rsidRPr="00672DC8">
        <w:rPr>
          <w:rFonts w:ascii="Times New Roman" w:hAnsi="Times New Roman" w:cs="Times New Roman"/>
          <w:b/>
          <w:bCs/>
        </w:rPr>
        <w:t>33</w:t>
      </w:r>
      <w:r w:rsidRPr="00672DC8">
        <w:rPr>
          <w:rFonts w:ascii="Times New Roman" w:hAnsi="Times New Roman" w:cs="Times New Roman"/>
          <w:b/>
          <w:bCs/>
        </w:rPr>
        <w:t>、长期应付款</w:t>
      </w:r>
      <w:bookmarkEnd w:id="31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57,256,210.23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39,040,839.35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57,256,210.23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39,040,839.35</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17" w:name="_Toc98917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按款项性质列示长期应付款</w:t>
      </w:r>
      <w:bookmarkEnd w:id="31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132742">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本金及利息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72,516,072.17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55,452,926.78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未确认融资费用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-11,615,195.26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-12,758,431.59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减：一年内到期的长期应付款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-3,644,666.68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-3,653,655.84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57,256,210.23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39,040,839.35</w:t>
            </w:r>
          </w:p>
        </w:tc>
      </w:tr>
    </w:tbl>
    <w:p w:rsidR="000C0769" w:rsidRPr="00672DC8" w:rsidRDefault="000C0769" w:rsidP="004060AA">
      <w:pPr>
        <w:spacing w:before="100" w:after="100" w:line="240" w:lineRule="exact"/>
        <w:divId w:val="1346978287"/>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18" w:name="_Toc98918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专项应付款</w:t>
      </w:r>
      <w:bookmarkEnd w:id="31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形成原因</w:t>
            </w:r>
          </w:p>
        </w:tc>
      </w:tr>
    </w:tbl>
    <w:p w:rsidR="000C0769" w:rsidRPr="00672DC8" w:rsidRDefault="000C0769" w:rsidP="00115AB1">
      <w:pPr>
        <w:spacing w:before="100" w:after="100" w:line="240" w:lineRule="exact"/>
        <w:divId w:val="138427514"/>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19" w:name="_Toc989181"/>
      <w:r w:rsidRPr="00672DC8">
        <w:rPr>
          <w:rFonts w:ascii="Times New Roman" w:hAnsi="Times New Roman" w:cs="Times New Roman"/>
          <w:b/>
          <w:bCs/>
        </w:rPr>
        <w:t>34</w:t>
      </w:r>
      <w:r w:rsidRPr="00672DC8">
        <w:rPr>
          <w:rFonts w:ascii="Times New Roman" w:hAnsi="Times New Roman" w:cs="Times New Roman"/>
          <w:b/>
          <w:bCs/>
        </w:rPr>
        <w:t>、股本</w:t>
      </w:r>
      <w:bookmarkEnd w:id="31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156"/>
        <w:gridCol w:w="1251"/>
        <w:gridCol w:w="1157"/>
        <w:gridCol w:w="1157"/>
        <w:gridCol w:w="1251"/>
        <w:gridCol w:w="1157"/>
        <w:gridCol w:w="1251"/>
        <w:gridCol w:w="1251"/>
      </w:tblGrid>
      <w:tr w:rsidR="003D2BA8" w:rsidRPr="00672DC8" w:rsidTr="00FF3AED">
        <w:trPr>
          <w:trHeight w:val="240"/>
        </w:trPr>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3125" w:type="pct"/>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本次变动增减（</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rsidTr="00FF3AED">
        <w:trPr>
          <w:trHeight w:val="240"/>
        </w:trPr>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发行新股</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送股</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公积金转股</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小计</w:t>
            </w: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FF3AED">
        <w:trPr>
          <w:trHeight w:val="240"/>
        </w:trPr>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股份总数</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66,852,800.00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93,104,264.00</w:t>
            </w:r>
          </w:p>
        </w:tc>
      </w:tr>
    </w:tbl>
    <w:p w:rsidR="000C0769" w:rsidRPr="00672DC8" w:rsidRDefault="000C0769" w:rsidP="00406FAD">
      <w:pPr>
        <w:spacing w:before="100" w:after="100" w:line="240" w:lineRule="exact"/>
        <w:divId w:val="865213848"/>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20" w:name="_Toc989182"/>
      <w:r w:rsidRPr="00672DC8">
        <w:rPr>
          <w:rFonts w:ascii="Times New Roman" w:hAnsi="Times New Roman" w:cs="Times New Roman"/>
          <w:b/>
          <w:bCs/>
        </w:rPr>
        <w:t>35</w:t>
      </w:r>
      <w:r w:rsidRPr="00672DC8">
        <w:rPr>
          <w:rFonts w:ascii="Times New Roman" w:hAnsi="Times New Roman" w:cs="Times New Roman"/>
          <w:b/>
          <w:bCs/>
        </w:rPr>
        <w:t>、资本公积</w:t>
      </w:r>
      <w:bookmarkEnd w:id="32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资本溢价（股本溢价）</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579,803,015.81</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553,551,551.81</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其他资本公积</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26,045,063.82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31,728,982.27</w:t>
            </w:r>
          </w:p>
        </w:tc>
      </w:tr>
      <w:tr w:rsidR="003D2BA8" w:rsidRPr="00672DC8" w:rsidTr="00185D01">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其中：以权益结算的股份支付</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26,045,308.65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31,729,227.10</w:t>
            </w:r>
          </w:p>
        </w:tc>
      </w:tr>
      <w:tr w:rsidR="003D2BA8" w:rsidRPr="00672DC8" w:rsidTr="00185D01">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w:t>
            </w:r>
            <w:r w:rsidRPr="00672DC8">
              <w:rPr>
                <w:rFonts w:ascii="Times New Roman" w:eastAsia="宋体" w:hAnsi="Times New Roman" w:cs="Times New Roman"/>
                <w:sz w:val="18"/>
                <w:szCs w:val="18"/>
              </w:rPr>
              <w:t>其他</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-244.83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-244.83</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605,848,079.63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26,251,464.00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585,280,534.08</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其他说明，包括本期增减变动情况、变动原因说明：</w:t>
      </w:r>
    </w:p>
    <w:p w:rsidR="000C0769" w:rsidRPr="00672DC8" w:rsidRDefault="000C0769">
      <w:pPr>
        <w:pStyle w:val="a3"/>
        <w:divId w:val="1542550692"/>
        <w:rPr>
          <w:rFonts w:ascii="Times New Roman" w:hAnsi="Times New Roman" w:cs="Times New Roman"/>
          <w:sz w:val="18"/>
          <w:szCs w:val="18"/>
        </w:rPr>
      </w:pPr>
      <w:r w:rsidRPr="00672DC8">
        <w:rPr>
          <w:rFonts w:ascii="Times New Roman" w:hAnsi="Times New Roman" w:cs="Times New Roman"/>
          <w:sz w:val="18"/>
          <w:szCs w:val="18"/>
        </w:rPr>
        <w:t xml:space="preserve">1) </w:t>
      </w:r>
      <w:r w:rsidRPr="00672DC8">
        <w:rPr>
          <w:rFonts w:ascii="Times New Roman" w:hAnsi="Times New Roman" w:cs="Times New Roman"/>
          <w:sz w:val="18"/>
          <w:szCs w:val="18"/>
        </w:rPr>
        <w:t>根据本公司</w:t>
      </w:r>
      <w:r w:rsidRPr="00672DC8">
        <w:rPr>
          <w:rFonts w:ascii="Times New Roman" w:hAnsi="Times New Roman" w:cs="Times New Roman"/>
          <w:sz w:val="18"/>
          <w:szCs w:val="18"/>
        </w:rPr>
        <w:t>2023</w:t>
      </w:r>
      <w:r w:rsidRPr="00672DC8">
        <w:rPr>
          <w:rFonts w:ascii="Times New Roman" w:hAnsi="Times New Roman" w:cs="Times New Roman"/>
          <w:sz w:val="18"/>
          <w:szCs w:val="18"/>
        </w:rPr>
        <w:t>年第四次临时股东大会决议通过的《关于〈广东天亿马信息产业股份有限公司</w:t>
      </w:r>
      <w:r w:rsidRPr="00672DC8">
        <w:rPr>
          <w:rFonts w:ascii="Times New Roman" w:hAnsi="Times New Roman" w:cs="Times New Roman"/>
          <w:sz w:val="18"/>
          <w:szCs w:val="18"/>
        </w:rPr>
        <w:t>2023</w:t>
      </w:r>
      <w:r w:rsidRPr="00672DC8">
        <w:rPr>
          <w:rFonts w:ascii="Times New Roman" w:hAnsi="Times New Roman" w:cs="Times New Roman"/>
          <w:sz w:val="18"/>
          <w:szCs w:val="18"/>
        </w:rPr>
        <w:t>年限制性股票激励计划（草案修订稿）〉及其摘要的议案》以及本公司第三届董事会第十五次会议决议、第十七次会议决议，公司按照审议通过的限制性股票激励计划，本报告期内确认股份支付等待期费用</w:t>
      </w:r>
      <w:r w:rsidRPr="00672DC8">
        <w:rPr>
          <w:rFonts w:ascii="Times New Roman" w:hAnsi="Times New Roman" w:cs="Times New Roman"/>
          <w:sz w:val="18"/>
          <w:szCs w:val="18"/>
        </w:rPr>
        <w:t>5,683,918.45</w:t>
      </w:r>
      <w:r w:rsidRPr="00672DC8">
        <w:rPr>
          <w:rFonts w:ascii="Times New Roman" w:hAnsi="Times New Roman" w:cs="Times New Roman"/>
          <w:sz w:val="18"/>
          <w:szCs w:val="18"/>
        </w:rPr>
        <w:t>元，计入资本公积（其他资本公积）</w:t>
      </w:r>
      <w:r w:rsidRPr="00672DC8">
        <w:rPr>
          <w:rFonts w:ascii="Times New Roman" w:hAnsi="Times New Roman" w:cs="Times New Roman"/>
          <w:sz w:val="18"/>
          <w:szCs w:val="18"/>
        </w:rPr>
        <w:t>5,683,918.45</w:t>
      </w:r>
      <w:r w:rsidRPr="00672DC8">
        <w:rPr>
          <w:rFonts w:ascii="Times New Roman" w:hAnsi="Times New Roman" w:cs="Times New Roman"/>
          <w:sz w:val="18"/>
          <w:szCs w:val="18"/>
        </w:rPr>
        <w:t>元。</w:t>
      </w:r>
    </w:p>
    <w:p w:rsidR="003D2BA8" w:rsidRPr="00672DC8" w:rsidRDefault="000C0769">
      <w:pPr>
        <w:pStyle w:val="3"/>
        <w:spacing w:line="280" w:lineRule="exact"/>
        <w:jc w:val="left"/>
        <w:rPr>
          <w:rFonts w:ascii="Times New Roman" w:hAnsi="Times New Roman" w:cs="Times New Roman"/>
          <w:b/>
          <w:bCs/>
        </w:rPr>
      </w:pPr>
      <w:bookmarkStart w:id="321" w:name="_Toc989183"/>
      <w:r w:rsidRPr="00672DC8">
        <w:rPr>
          <w:rFonts w:ascii="Times New Roman" w:hAnsi="Times New Roman" w:cs="Times New Roman"/>
          <w:b/>
          <w:bCs/>
        </w:rPr>
        <w:t>36</w:t>
      </w:r>
      <w:r w:rsidRPr="00672DC8">
        <w:rPr>
          <w:rFonts w:ascii="Times New Roman" w:hAnsi="Times New Roman" w:cs="Times New Roman"/>
          <w:b/>
          <w:bCs/>
        </w:rPr>
        <w:t>、库存股</w:t>
      </w:r>
      <w:bookmarkEnd w:id="32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股票回购义务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48,693,212.07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44,800.00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48,648,412.07</w:t>
            </w:r>
          </w:p>
        </w:tc>
      </w:tr>
    </w:tbl>
    <w:p w:rsidR="000C0769" w:rsidRPr="00672DC8" w:rsidRDefault="000C0769" w:rsidP="00E2350D">
      <w:pPr>
        <w:spacing w:before="100" w:after="100" w:line="240" w:lineRule="exact"/>
        <w:divId w:val="1879926413"/>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其他说明，包括本期增减变动情况、变动原因说明：根据</w:t>
      </w: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年度利润分配方案，确认限制性股票可撤销现金股利义务减少库存股</w:t>
      </w:r>
      <w:r w:rsidRPr="00672DC8">
        <w:rPr>
          <w:rFonts w:ascii="Times New Roman" w:eastAsia="宋体" w:hAnsi="Times New Roman" w:cs="Times New Roman"/>
          <w:sz w:val="18"/>
          <w:szCs w:val="18"/>
        </w:rPr>
        <w:t xml:space="preserve"> 44,800.00</w:t>
      </w:r>
      <w:r w:rsidRPr="00672DC8">
        <w:rPr>
          <w:rFonts w:ascii="Times New Roman" w:eastAsia="宋体" w:hAnsi="Times New Roman" w:cs="Times New Roman"/>
          <w:sz w:val="18"/>
          <w:szCs w:val="18"/>
        </w:rPr>
        <w:t>元</w:t>
      </w:r>
    </w:p>
    <w:p w:rsidR="003D2BA8" w:rsidRPr="00672DC8" w:rsidRDefault="000C0769">
      <w:pPr>
        <w:pStyle w:val="3"/>
        <w:spacing w:line="280" w:lineRule="exact"/>
        <w:jc w:val="left"/>
        <w:rPr>
          <w:rFonts w:ascii="Times New Roman" w:hAnsi="Times New Roman" w:cs="Times New Roman"/>
          <w:b/>
          <w:bCs/>
        </w:rPr>
      </w:pPr>
      <w:bookmarkStart w:id="322" w:name="_Toc989184"/>
      <w:r w:rsidRPr="00672DC8">
        <w:rPr>
          <w:rFonts w:ascii="Times New Roman" w:hAnsi="Times New Roman" w:cs="Times New Roman"/>
          <w:b/>
          <w:bCs/>
        </w:rPr>
        <w:lastRenderedPageBreak/>
        <w:t>37</w:t>
      </w:r>
      <w:r w:rsidRPr="00672DC8">
        <w:rPr>
          <w:rFonts w:ascii="Times New Roman" w:hAnsi="Times New Roman" w:cs="Times New Roman"/>
          <w:b/>
          <w:bCs/>
        </w:rPr>
        <w:t>、其他综合收益</w:t>
      </w:r>
      <w:bookmarkEnd w:id="32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287"/>
        <w:gridCol w:w="1039"/>
        <w:gridCol w:w="1197"/>
        <w:gridCol w:w="1184"/>
        <w:gridCol w:w="1260"/>
        <w:gridCol w:w="766"/>
        <w:gridCol w:w="1159"/>
        <w:gridCol w:w="700"/>
        <w:gridCol w:w="1039"/>
      </w:tblGrid>
      <w:tr w:rsidR="003D2BA8" w:rsidRPr="00672DC8" w:rsidTr="00DA0599">
        <w:trPr>
          <w:trHeight w:val="240"/>
        </w:trPr>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0" w:type="auto"/>
            <w:gridSpan w:val="6"/>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0" w:type="auto"/>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rsidTr="00DA0599">
        <w:trPr>
          <w:trHeight w:val="240"/>
        </w:trPr>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本期所得税前发生额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减：前期计入其他综合收益当期转入损益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减：前期计入其他综合收益当期转入留存收益</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减：所得税费用</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税后归属于母公司</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税后归属于少数股东</w:t>
            </w:r>
          </w:p>
        </w:tc>
        <w:tc>
          <w:tcPr>
            <w:tcW w:w="0" w:type="auto"/>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DA0599">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一、不能重分类进损益的其他综合收益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r>
      <w:tr w:rsidR="003D2BA8" w:rsidRPr="00672DC8" w:rsidTr="00DA0599">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其他权益工具投资公允价值变动</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-269,110.00</w:t>
            </w:r>
          </w:p>
        </w:tc>
      </w:tr>
      <w:tr w:rsidR="003D2BA8" w:rsidRPr="00672DC8" w:rsidTr="00DA0599">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二、将重分类进损益的其他综合收益</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-428,957.46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-639,262.38</w:t>
            </w:r>
          </w:p>
        </w:tc>
      </w:tr>
      <w:tr w:rsidR="003D2BA8" w:rsidRPr="00672DC8" w:rsidTr="00DA0599">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外币财务报表折算差额</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-428,957.46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-639,262.38</w:t>
            </w:r>
          </w:p>
        </w:tc>
      </w:tr>
      <w:tr w:rsidR="003D2BA8" w:rsidRPr="00672DC8" w:rsidTr="00DA0599">
        <w:trPr>
          <w:trHeight w:val="240"/>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其他综合收益合计</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-698,067.46</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-210,304.92</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-908,372.38</w:t>
            </w:r>
          </w:p>
        </w:tc>
      </w:tr>
    </w:tbl>
    <w:p w:rsidR="000C0769" w:rsidRPr="00672DC8" w:rsidRDefault="000C0769" w:rsidP="00DA0599">
      <w:pPr>
        <w:spacing w:before="100" w:after="100" w:line="240" w:lineRule="exact"/>
        <w:divId w:val="1701055146"/>
        <w:rPr>
          <w:rFonts w:ascii="Times New Roman" w:hAnsi="Times New Roman" w:cs="Times New Roman"/>
          <w:sz w:val="18"/>
          <w:szCs w:val="18"/>
        </w:rPr>
      </w:pPr>
      <w:r w:rsidRPr="00672DC8">
        <w:rPr>
          <w:rFonts w:ascii="Times New Roman" w:eastAsia="宋体" w:hAnsi="Times New Roman" w:cs="Times New Roman"/>
          <w:sz w:val="18"/>
          <w:szCs w:val="18"/>
        </w:rPr>
        <w:t>其他说明，包括对现金流量套期损益的有效部分转为被套期项目初始确认金额调整：无</w:t>
      </w:r>
    </w:p>
    <w:p w:rsidR="003D2BA8" w:rsidRPr="00672DC8" w:rsidRDefault="000C0769">
      <w:pPr>
        <w:pStyle w:val="3"/>
        <w:spacing w:line="280" w:lineRule="exact"/>
        <w:jc w:val="left"/>
        <w:rPr>
          <w:rFonts w:ascii="Times New Roman" w:hAnsi="Times New Roman" w:cs="Times New Roman"/>
          <w:b/>
          <w:bCs/>
        </w:rPr>
      </w:pPr>
      <w:bookmarkStart w:id="323" w:name="_Toc989185"/>
      <w:r w:rsidRPr="00672DC8">
        <w:rPr>
          <w:rFonts w:ascii="Times New Roman" w:hAnsi="Times New Roman" w:cs="Times New Roman"/>
          <w:b/>
          <w:bCs/>
        </w:rPr>
        <w:t>38</w:t>
      </w:r>
      <w:r w:rsidRPr="00672DC8">
        <w:rPr>
          <w:rFonts w:ascii="Times New Roman" w:hAnsi="Times New Roman" w:cs="Times New Roman"/>
          <w:b/>
          <w:bCs/>
        </w:rPr>
        <w:t>、盈余公积</w:t>
      </w:r>
      <w:bookmarkEnd w:id="32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法定盈余公积</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25,904,440.33</w:t>
            </w:r>
          </w:p>
        </w:tc>
      </w:tr>
    </w:tbl>
    <w:p w:rsidR="000C0769" w:rsidRPr="00672DC8" w:rsidRDefault="000C0769" w:rsidP="00DA0599">
      <w:pPr>
        <w:spacing w:before="100" w:after="100" w:line="240" w:lineRule="exact"/>
        <w:divId w:val="450514570"/>
        <w:rPr>
          <w:rFonts w:ascii="Times New Roman" w:hAnsi="Times New Roman" w:cs="Times New Roman"/>
          <w:sz w:val="18"/>
          <w:szCs w:val="18"/>
        </w:rPr>
      </w:pPr>
      <w:r w:rsidRPr="00672DC8">
        <w:rPr>
          <w:rFonts w:ascii="Times New Roman" w:eastAsia="宋体" w:hAnsi="Times New Roman" w:cs="Times New Roman"/>
          <w:sz w:val="18"/>
          <w:szCs w:val="18"/>
        </w:rPr>
        <w:t>盈余公积说明，包括本期增减变动情况、变动原因说明：无</w:t>
      </w:r>
    </w:p>
    <w:p w:rsidR="003D2BA8" w:rsidRPr="00672DC8" w:rsidRDefault="000C0769">
      <w:pPr>
        <w:pStyle w:val="3"/>
        <w:spacing w:line="280" w:lineRule="exact"/>
        <w:jc w:val="left"/>
        <w:rPr>
          <w:rFonts w:ascii="Times New Roman" w:hAnsi="Times New Roman" w:cs="Times New Roman"/>
          <w:b/>
          <w:bCs/>
        </w:rPr>
      </w:pPr>
      <w:bookmarkStart w:id="324" w:name="_Toc989186"/>
      <w:r w:rsidRPr="00672DC8">
        <w:rPr>
          <w:rFonts w:ascii="Times New Roman" w:hAnsi="Times New Roman" w:cs="Times New Roman"/>
          <w:b/>
          <w:bCs/>
        </w:rPr>
        <w:t>39</w:t>
      </w:r>
      <w:r w:rsidRPr="00672DC8">
        <w:rPr>
          <w:rFonts w:ascii="Times New Roman" w:hAnsi="Times New Roman" w:cs="Times New Roman"/>
          <w:b/>
          <w:bCs/>
        </w:rPr>
        <w:t>、未分配利润</w:t>
      </w:r>
      <w:bookmarkEnd w:id="32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调整前上期末未分配利润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127,798,551.42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120,283,337.88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调整后期初未分配利润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127,798,551.42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120,283,337.88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加：本期归属于母公司所有者的净利润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2,588,333.74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6,059,068.30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应付普通股股利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3,281,433.00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DA0599">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调整限制性股票可撤销现金股利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期末未分配利润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127,105,452.16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126,368,006.18</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调整期初未分配利润明细：</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w:t>
      </w:r>
      <w:r w:rsidRPr="00672DC8">
        <w:rPr>
          <w:rFonts w:ascii="Times New Roman" w:eastAsia="宋体" w:hAnsi="Times New Roman" w:cs="Times New Roman"/>
          <w:sz w:val="18"/>
          <w:szCs w:val="18"/>
        </w:rPr>
        <w:t>、由于《企业会计准则》及其相关新规定进行追溯调整，影响期初未分配利润</w:t>
      </w:r>
      <w:r w:rsidRPr="00672DC8">
        <w:rPr>
          <w:rFonts w:ascii="Times New Roman" w:eastAsia="宋体" w:hAnsi="Times New Roman" w:cs="Times New Roman"/>
          <w:sz w:val="18"/>
          <w:szCs w:val="18"/>
        </w:rPr>
        <w:t>0.00</w:t>
      </w:r>
      <w:r w:rsidRPr="00672DC8">
        <w:rPr>
          <w:rFonts w:ascii="Times New Roman" w:eastAsia="宋体" w:hAnsi="Times New Roman" w:cs="Times New Roman"/>
          <w:sz w:val="18"/>
          <w:szCs w:val="18"/>
        </w:rPr>
        <w:t>元。</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、由于会计政策变更，影响期初未分配利润</w:t>
      </w:r>
      <w:r w:rsidRPr="00672DC8">
        <w:rPr>
          <w:rFonts w:ascii="Times New Roman" w:eastAsia="宋体" w:hAnsi="Times New Roman" w:cs="Times New Roman"/>
          <w:sz w:val="18"/>
          <w:szCs w:val="18"/>
        </w:rPr>
        <w:t>0.00</w:t>
      </w:r>
      <w:r w:rsidRPr="00672DC8">
        <w:rPr>
          <w:rFonts w:ascii="Times New Roman" w:eastAsia="宋体" w:hAnsi="Times New Roman" w:cs="Times New Roman"/>
          <w:sz w:val="18"/>
          <w:szCs w:val="18"/>
        </w:rPr>
        <w:t>元。</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、由于重大会计差错更正，影响期初未分配利润</w:t>
      </w:r>
      <w:r w:rsidRPr="00672DC8">
        <w:rPr>
          <w:rFonts w:ascii="Times New Roman" w:eastAsia="宋体" w:hAnsi="Times New Roman" w:cs="Times New Roman"/>
          <w:sz w:val="18"/>
          <w:szCs w:val="18"/>
        </w:rPr>
        <w:t>0.00</w:t>
      </w:r>
      <w:r w:rsidRPr="00672DC8">
        <w:rPr>
          <w:rFonts w:ascii="Times New Roman" w:eastAsia="宋体" w:hAnsi="Times New Roman" w:cs="Times New Roman"/>
          <w:sz w:val="18"/>
          <w:szCs w:val="18"/>
        </w:rPr>
        <w:t>元。</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、由于同一控制导致的合并范围变更，影响期初未分配利润</w:t>
      </w:r>
      <w:r w:rsidRPr="00672DC8">
        <w:rPr>
          <w:rFonts w:ascii="Times New Roman" w:eastAsia="宋体" w:hAnsi="Times New Roman" w:cs="Times New Roman"/>
          <w:sz w:val="18"/>
          <w:szCs w:val="18"/>
        </w:rPr>
        <w:t>0.00</w:t>
      </w:r>
      <w:r w:rsidRPr="00672DC8">
        <w:rPr>
          <w:rFonts w:ascii="Times New Roman" w:eastAsia="宋体" w:hAnsi="Times New Roman" w:cs="Times New Roman"/>
          <w:sz w:val="18"/>
          <w:szCs w:val="18"/>
        </w:rPr>
        <w:t>元。</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、其他调整合计影响期初未分配利润</w:t>
      </w:r>
      <w:r w:rsidRPr="00672DC8">
        <w:rPr>
          <w:rFonts w:ascii="Times New Roman" w:eastAsia="宋体" w:hAnsi="Times New Roman" w:cs="Times New Roman"/>
          <w:sz w:val="18"/>
          <w:szCs w:val="18"/>
        </w:rPr>
        <w:t>0.00</w:t>
      </w:r>
      <w:r w:rsidRPr="00672DC8">
        <w:rPr>
          <w:rFonts w:ascii="Times New Roman" w:eastAsia="宋体" w:hAnsi="Times New Roman" w:cs="Times New Roman"/>
          <w:sz w:val="18"/>
          <w:szCs w:val="18"/>
        </w:rPr>
        <w:t>元。</w:t>
      </w:r>
    </w:p>
    <w:p w:rsidR="000C0769" w:rsidRPr="00672DC8" w:rsidRDefault="000C0769" w:rsidP="00DA0599">
      <w:pPr>
        <w:spacing w:before="100" w:after="100" w:line="240" w:lineRule="exact"/>
        <w:divId w:val="399865610"/>
        <w:rPr>
          <w:rFonts w:ascii="Times New Roman" w:hAnsi="Times New Roman" w:cs="Times New Roman"/>
          <w:sz w:val="18"/>
          <w:szCs w:val="18"/>
        </w:rPr>
      </w:pPr>
      <w:r w:rsidRPr="00672DC8">
        <w:rPr>
          <w:rFonts w:ascii="Times New Roman" w:eastAsia="宋体" w:hAnsi="Times New Roman" w:cs="Times New Roman"/>
          <w:sz w:val="18"/>
          <w:szCs w:val="18"/>
        </w:rPr>
        <w:t>使用资本公积弥补亏损详细情况说明：不适用。</w:t>
      </w:r>
    </w:p>
    <w:p w:rsidR="003D2BA8" w:rsidRPr="00672DC8" w:rsidRDefault="000C0769">
      <w:pPr>
        <w:pStyle w:val="3"/>
        <w:spacing w:line="280" w:lineRule="exact"/>
        <w:jc w:val="left"/>
        <w:rPr>
          <w:rFonts w:ascii="Times New Roman" w:hAnsi="Times New Roman" w:cs="Times New Roman"/>
          <w:b/>
          <w:bCs/>
        </w:rPr>
      </w:pPr>
      <w:bookmarkStart w:id="325" w:name="_Toc989187"/>
      <w:r w:rsidRPr="00672DC8">
        <w:rPr>
          <w:rFonts w:ascii="Times New Roman" w:hAnsi="Times New Roman" w:cs="Times New Roman"/>
          <w:b/>
          <w:bCs/>
        </w:rPr>
        <w:t>40</w:t>
      </w:r>
      <w:r w:rsidRPr="00672DC8">
        <w:rPr>
          <w:rFonts w:ascii="Times New Roman" w:hAnsi="Times New Roman" w:cs="Times New Roman"/>
          <w:b/>
          <w:bCs/>
        </w:rPr>
        <w:t>、营业收入和营业成本</w:t>
      </w:r>
      <w:bookmarkEnd w:id="32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成本</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成本</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主营业务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212,257,240.65</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145,590,548.88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101,465,019.80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其他业务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281,247.03</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38,977.69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145,629,526.57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101,465,019.80</w:t>
            </w:r>
          </w:p>
        </w:tc>
      </w:tr>
    </w:tbl>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营业收入、营业成本的分解信息：</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927"/>
        <w:gridCol w:w="1926"/>
        <w:gridCol w:w="1926"/>
        <w:gridCol w:w="1926"/>
        <w:gridCol w:w="1926"/>
      </w:tblGrid>
      <w:tr w:rsidR="00DA0599" w:rsidRPr="00672DC8" w:rsidTr="00CC6138">
        <w:trPr>
          <w:trHeight w:val="240"/>
        </w:trPr>
        <w:tc>
          <w:tcPr>
            <w:tcW w:w="1000"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合同分类</w:t>
            </w:r>
          </w:p>
        </w:tc>
        <w:tc>
          <w:tcPr>
            <w:tcW w:w="2000"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DA0599" w:rsidRPr="00672DC8" w:rsidRDefault="00DA0599">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本公司</w:t>
            </w:r>
          </w:p>
        </w:tc>
        <w:tc>
          <w:tcPr>
            <w:tcW w:w="2000"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DA0599" w:rsidRPr="00672DC8" w:rsidTr="00CC6138">
        <w:trPr>
          <w:trHeight w:val="240"/>
        </w:trPr>
        <w:tc>
          <w:tcPr>
            <w:tcW w:w="1000"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营业成本</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营业成本</w:t>
            </w:r>
          </w:p>
        </w:tc>
      </w:tr>
      <w:tr w:rsidR="00DA0599"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业务类型</w:t>
            </w:r>
          </w:p>
        </w:tc>
        <w:tc>
          <w:tcPr>
            <w:tcW w:w="1000" w:type="pct"/>
            <w:tcBorders>
              <w:top w:val="single" w:sz="2" w:space="0" w:color="auto"/>
              <w:left w:val="single" w:sz="2" w:space="0" w:color="auto"/>
              <w:bottom w:val="single" w:sz="2" w:space="0" w:color="auto"/>
              <w:right w:val="single" w:sz="2" w:space="0" w:color="auto"/>
            </w:tcBorders>
            <w:vAlign w:val="center"/>
          </w:tcPr>
          <w:p w:rsidR="00DA0599" w:rsidRPr="00672DC8" w:rsidRDefault="00DA0599">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DA0599" w:rsidRPr="00672DC8" w:rsidRDefault="00DA0599">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DA0599" w:rsidRPr="00672DC8" w:rsidRDefault="00DA0599">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DA0599" w:rsidRPr="00672DC8" w:rsidRDefault="00DA0599">
            <w:pPr>
              <w:spacing w:line="240" w:lineRule="exact"/>
              <w:jc w:val="right"/>
              <w:rPr>
                <w:rFonts w:ascii="Times New Roman" w:eastAsia="宋体" w:hAnsi="Times New Roman" w:cs="Times New Roman"/>
                <w:sz w:val="18"/>
                <w:szCs w:val="18"/>
              </w:rPr>
            </w:pPr>
          </w:p>
        </w:tc>
      </w:tr>
      <w:tr w:rsidR="00DA0599"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DA0599" w:rsidRPr="00672DC8" w:rsidRDefault="00DA0599">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sidRPr="00B71C4F">
              <w:rPr>
                <w:rFonts w:ascii="宋体" w:eastAsia="宋体" w:hAnsi="宋体" w:cs="宋体" w:hint="eastAsia"/>
                <w:sz w:val="18"/>
                <w:szCs w:val="18"/>
              </w:rPr>
              <w:t>数智化解决方案</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59,052,728.39</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48,461,217.63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59,052,728.39</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48,461,217.63</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sidRPr="009E3824">
              <w:rPr>
                <w:rFonts w:ascii="宋体" w:eastAsia="宋体" w:hAnsi="宋体" w:cs="宋体" w:hint="eastAsia"/>
                <w:sz w:val="18"/>
                <w:szCs w:val="18"/>
              </w:rPr>
              <w:t>算力与信息设备销售</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35,769,834.84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33,118,600.03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35,769,834.84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33,118,600.03</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Pr>
                <w:rFonts w:ascii="宋体" w:eastAsia="宋体" w:hAnsi="宋体" w:cs="宋体"/>
                <w:sz w:val="18"/>
                <w:szCs w:val="18"/>
              </w:rPr>
              <w:t>算力服务</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18,811,210.94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18,811,210.94</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Pr>
                <w:rFonts w:ascii="宋体" w:eastAsia="宋体" w:hAnsi="宋体" w:cs="宋体" w:hint="eastAsia"/>
                <w:sz w:val="18"/>
                <w:szCs w:val="18"/>
              </w:rPr>
              <w:t>新能源电力</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81,344,301.58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70,150,281.62</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81,344,301.58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sidRPr="00B71C4F">
              <w:rPr>
                <w:rFonts w:ascii="宋体" w:eastAsia="宋体" w:hAnsi="宋体" w:cs="宋体" w:hint="eastAsia"/>
                <w:sz w:val="18"/>
                <w:szCs w:val="18"/>
              </w:rPr>
              <w:t>70,150,281.62</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Pr>
                <w:rFonts w:ascii="宋体" w:eastAsia="宋体" w:hAnsi="宋体" w:cs="宋体"/>
                <w:sz w:val="18"/>
                <w:szCs w:val="18"/>
              </w:rPr>
              <w:t>其他业务收入</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281,247.03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281,247.03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按经营地区分类</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华南</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192,894,581.03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156,108,585.60</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192,894,581.03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156,108,585.60</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华中</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5,182,218.23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2,938,850.51</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5,182,218.23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2,938,850.51</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华东</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3,665,912.20</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2,051,657.17</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3,665,912.20</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2,051,657.17</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华北</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6,631,549.97</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5,645,840.84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6,631,549.97</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5,645,840.84</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西南</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4,151,118.29</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3,796,376.10</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4,151,118.29</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3,796,376.10</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西北</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13,107.96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13,107.96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市场或客户类型</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rPr>
                <w:rFonts w:ascii="Times New Roman" w:eastAsia="宋体" w:hAnsi="Times New Roman" w:cs="Times New Roman"/>
                <w:sz w:val="18"/>
                <w:szCs w:val="18"/>
              </w:rPr>
            </w:pPr>
            <w:r w:rsidRPr="006B31D8">
              <w:rPr>
                <w:rFonts w:ascii="Times New Roman" w:eastAsia="宋体" w:hAnsi="Times New Roman" w:cs="Times New Roman"/>
                <w:sz w:val="18"/>
                <w:szCs w:val="18"/>
              </w:rPr>
              <w:t>行业数智化</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94,822,563.23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81,579,817.66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94,822,563.23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81,579,817.66</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rPr>
                <w:rFonts w:ascii="Times New Roman" w:eastAsia="宋体" w:hAnsi="Times New Roman" w:cs="Times New Roman"/>
                <w:sz w:val="18"/>
                <w:szCs w:val="18"/>
              </w:rPr>
            </w:pPr>
            <w:r w:rsidRPr="006B31D8">
              <w:rPr>
                <w:rFonts w:ascii="Times New Roman" w:eastAsia="宋体" w:hAnsi="Times New Roman" w:cs="Times New Roman"/>
                <w:sz w:val="18"/>
                <w:szCs w:val="18"/>
              </w:rPr>
              <w:t>算力服务</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18,811,210.94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18,811,210.94</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rPr>
                <w:rFonts w:ascii="Times New Roman" w:eastAsia="宋体" w:hAnsi="Times New Roman" w:cs="Times New Roman"/>
                <w:sz w:val="18"/>
                <w:szCs w:val="18"/>
              </w:rPr>
            </w:pPr>
            <w:r w:rsidRPr="006B31D8">
              <w:rPr>
                <w:rFonts w:ascii="Times New Roman" w:eastAsia="宋体" w:hAnsi="Times New Roman" w:cs="Times New Roman"/>
                <w:sz w:val="18"/>
                <w:szCs w:val="18"/>
              </w:rPr>
              <w:t>新能源电力</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81,344,301.58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70,150,281.62</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81,344,301.58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B31D8" w:rsidRDefault="001E48BC" w:rsidP="001E48BC">
            <w:pPr>
              <w:spacing w:line="240" w:lineRule="exact"/>
              <w:jc w:val="right"/>
              <w:rPr>
                <w:rFonts w:ascii="Times New Roman" w:eastAsia="宋体" w:hAnsi="Times New Roman" w:cs="Times New Roman"/>
                <w:sz w:val="18"/>
                <w:szCs w:val="18"/>
              </w:rPr>
            </w:pPr>
            <w:r w:rsidRPr="006B31D8">
              <w:rPr>
                <w:rFonts w:ascii="Times New Roman" w:eastAsia="宋体" w:hAnsi="Times New Roman" w:cs="Times New Roman"/>
                <w:sz w:val="18"/>
                <w:szCs w:val="18"/>
              </w:rPr>
              <w:t>70,150,281.62</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rPr>
                <w:rFonts w:ascii="宋体" w:eastAsia="宋体" w:hAnsi="宋体" w:cs="宋体"/>
                <w:sz w:val="18"/>
                <w:szCs w:val="18"/>
              </w:rPr>
            </w:pPr>
            <w:r>
              <w:rPr>
                <w:rFonts w:ascii="宋体" w:eastAsia="宋体" w:hAnsi="宋体" w:cs="宋体"/>
                <w:sz w:val="18"/>
                <w:szCs w:val="18"/>
              </w:rPr>
              <w:t>其他业务收入</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281,247.03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r>
              <w:rPr>
                <w:rFonts w:ascii="宋体" w:eastAsia="宋体" w:hAnsi="宋体" w:cs="宋体"/>
                <w:sz w:val="18"/>
                <w:szCs w:val="18"/>
              </w:rPr>
              <w:t>281,247.03</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Default="001E48BC" w:rsidP="001E48BC">
            <w:pPr>
              <w:spacing w:line="240" w:lineRule="exact"/>
              <w:jc w:val="right"/>
              <w:rPr>
                <w:rFonts w:ascii="宋体" w:eastAsia="宋体" w:hAnsi="宋体" w:cs="宋体"/>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合同类型</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按商品转让的时间分类</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在某一时点</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170,033,177.02</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148,427,825.96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170,033,177.02</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148,427,825.96</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在某一时间段</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42,505,310.66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22,113,484.26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42,505,310.66</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22,113,484.26</w:t>
            </w: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按合同期限分类</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按销售渠道分类</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rPr>
                <w:rFonts w:ascii="Times New Roman" w:hAnsi="Times New Roman" w:cs="Times New Roman"/>
              </w:rPr>
            </w:pPr>
          </w:p>
        </w:tc>
      </w:tr>
      <w:tr w:rsidR="001E48BC" w:rsidRPr="00672DC8" w:rsidTr="00CC6138">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1E48BC" w:rsidRPr="00672DC8" w:rsidRDefault="001E48BC" w:rsidP="001E48BC">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212,538,487.68</w:t>
            </w:r>
          </w:p>
        </w:tc>
        <w:tc>
          <w:tcPr>
            <w:tcW w:w="1000" w:type="pct"/>
            <w:tcBorders>
              <w:top w:val="single" w:sz="2" w:space="0" w:color="auto"/>
              <w:left w:val="single" w:sz="2" w:space="0" w:color="auto"/>
              <w:bottom w:val="single" w:sz="2" w:space="0" w:color="auto"/>
              <w:right w:val="single" w:sz="2" w:space="0" w:color="auto"/>
            </w:tcBorders>
            <w:vAlign w:val="center"/>
          </w:tcPr>
          <w:p w:rsidR="001E48BC" w:rsidRPr="00672DC8" w:rsidRDefault="001E48BC" w:rsidP="001E48BC">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170,541,310.22</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与履约义务相关的信息：</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履行履约义务的时间</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重要的支付条款</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公司承诺转让商品的性质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是否为主要责任人</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公司承担的预期将退还给客户的款项</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公司提供的质量保证类型及相关义务</w:t>
            </w:r>
          </w:p>
        </w:tc>
      </w:tr>
    </w:tbl>
    <w:p w:rsidR="003D2BA8" w:rsidRPr="00672DC8" w:rsidRDefault="000C0769" w:rsidP="00E75AB7">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与分摊至剩余履约义务的交易价格相关的信息：</w:t>
      </w:r>
    </w:p>
    <w:p w:rsidR="003D2BA8" w:rsidRPr="00672DC8" w:rsidRDefault="000C0769" w:rsidP="000B1299">
      <w:pPr>
        <w:spacing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本报告期末已签订合同、但尚未履行或尚未履行完毕的履约义务所对应的收入金额为</w:t>
      </w:r>
      <w:r w:rsidRPr="00672DC8">
        <w:rPr>
          <w:rFonts w:ascii="Times New Roman" w:eastAsia="宋体" w:hAnsi="Times New Roman" w:cs="Times New Roman"/>
          <w:sz w:val="18"/>
          <w:szCs w:val="18"/>
        </w:rPr>
        <w:t>730,979,397.88</w:t>
      </w:r>
      <w:r w:rsidRPr="00672DC8">
        <w:rPr>
          <w:rFonts w:ascii="Times New Roman" w:eastAsia="宋体" w:hAnsi="Times New Roman" w:cs="Times New Roman"/>
          <w:sz w:val="18"/>
          <w:szCs w:val="18"/>
        </w:rPr>
        <w:t>元。</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合同中可变对价相关信息：重大合同变更或重大交易价格调整</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会计处理方法</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对收入的影响金额</w:t>
            </w:r>
          </w:p>
        </w:tc>
      </w:tr>
    </w:tbl>
    <w:p w:rsidR="003D2BA8" w:rsidRPr="00672DC8" w:rsidRDefault="000C0769" w:rsidP="00E75AB7">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p>
    <w:p w:rsidR="003D2BA8" w:rsidRPr="00672DC8" w:rsidRDefault="000C0769">
      <w:pPr>
        <w:pStyle w:val="3"/>
        <w:spacing w:line="280" w:lineRule="exact"/>
        <w:jc w:val="left"/>
        <w:rPr>
          <w:rFonts w:ascii="Times New Roman" w:hAnsi="Times New Roman" w:cs="Times New Roman"/>
          <w:b/>
          <w:bCs/>
        </w:rPr>
      </w:pPr>
      <w:bookmarkStart w:id="326" w:name="_Toc989188"/>
      <w:r w:rsidRPr="00672DC8">
        <w:rPr>
          <w:rFonts w:ascii="Times New Roman" w:hAnsi="Times New Roman" w:cs="Times New Roman"/>
          <w:b/>
          <w:bCs/>
        </w:rPr>
        <w:t>41</w:t>
      </w:r>
      <w:r w:rsidRPr="00672DC8">
        <w:rPr>
          <w:rFonts w:ascii="Times New Roman" w:hAnsi="Times New Roman" w:cs="Times New Roman"/>
          <w:b/>
          <w:bCs/>
        </w:rPr>
        <w:t>、税金及附加</w:t>
      </w:r>
      <w:bookmarkEnd w:id="32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38,085.36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52,359.28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教育费附加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16,105.68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22,149.95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房产税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279,100.28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279,100.29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土地使用税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40,209.22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538.82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车船使用税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2,336.42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2,336.42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印花税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142,193.87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102,917.13</w:t>
            </w:r>
          </w:p>
        </w:tc>
      </w:tr>
      <w:tr w:rsidR="003D2BA8" w:rsidRPr="00672DC8" w:rsidTr="002E3671">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地方教育附加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10,737.11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14,766.61</w:t>
            </w:r>
          </w:p>
        </w:tc>
      </w:tr>
      <w:tr w:rsidR="003D2BA8" w:rsidRPr="00672DC8" w:rsidTr="002E3671">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2,704.24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528,767.94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476,872.74</w:t>
            </w:r>
          </w:p>
        </w:tc>
      </w:tr>
    </w:tbl>
    <w:p w:rsidR="000C0769" w:rsidRPr="00672DC8" w:rsidRDefault="000C0769" w:rsidP="00205349">
      <w:pPr>
        <w:spacing w:before="100" w:after="100" w:line="240" w:lineRule="exact"/>
        <w:divId w:val="1414202950"/>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27" w:name="_Toc989189"/>
      <w:r w:rsidRPr="00672DC8">
        <w:rPr>
          <w:rFonts w:ascii="Times New Roman" w:hAnsi="Times New Roman" w:cs="Times New Roman"/>
          <w:b/>
          <w:bCs/>
        </w:rPr>
        <w:t>42</w:t>
      </w:r>
      <w:r w:rsidRPr="00672DC8">
        <w:rPr>
          <w:rFonts w:ascii="Times New Roman" w:hAnsi="Times New Roman" w:cs="Times New Roman"/>
          <w:b/>
          <w:bCs/>
        </w:rPr>
        <w:t>、管理费用</w:t>
      </w:r>
      <w:bookmarkEnd w:id="32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9D137B">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8,612,828.11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6,813,764.15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折旧摊销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1,485,613.54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1,161,989.37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规范运营费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1,796,351.16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1,181,633.87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房租水电</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287,291.29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150,132.51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办公费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1,626,234.02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820,767.93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差旅费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382,105.22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554,442.03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业务招待费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2,773,175.32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1,486,711.69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股权激励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3,969,044.65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3,872,117.95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20,932,643.31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16,041,559.50</w:t>
            </w:r>
          </w:p>
        </w:tc>
      </w:tr>
    </w:tbl>
    <w:p w:rsidR="000C0769" w:rsidRPr="00672DC8" w:rsidRDefault="000C0769" w:rsidP="004279C9">
      <w:pPr>
        <w:spacing w:before="100" w:after="100" w:line="240" w:lineRule="exact"/>
        <w:divId w:val="1136684809"/>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4279C9"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28" w:name="_Toc989190"/>
      <w:r w:rsidRPr="00672DC8">
        <w:rPr>
          <w:rFonts w:ascii="Times New Roman" w:hAnsi="Times New Roman" w:cs="Times New Roman"/>
          <w:b/>
          <w:bCs/>
        </w:rPr>
        <w:lastRenderedPageBreak/>
        <w:t>43</w:t>
      </w:r>
      <w:r w:rsidRPr="00672DC8">
        <w:rPr>
          <w:rFonts w:ascii="Times New Roman" w:hAnsi="Times New Roman" w:cs="Times New Roman"/>
          <w:b/>
          <w:bCs/>
        </w:rPr>
        <w:t>、销售费用</w:t>
      </w:r>
      <w:bookmarkEnd w:id="32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职工薪酬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3,731,786.00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4,543,769.78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广告宣传费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312,056.14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263,503.57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业务招待费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968,120.81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1,375,906.40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办公费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102,159.55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192,331.53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差旅费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188,235.81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186,141.28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投标服务费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184,177.26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191,422.81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售后服务费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1,159,314.23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490,264.47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折旧摊销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1,036,359.87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1,215,419.10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房租水电</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142,376.82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176,677.13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股权激励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1,443,207.00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1,496,640.95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1,808,181.25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47,750.27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11,075,974.74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10,179,827.29</w:t>
            </w:r>
          </w:p>
        </w:tc>
      </w:tr>
    </w:tbl>
    <w:p w:rsidR="000C0769" w:rsidRPr="00672DC8" w:rsidRDefault="000C0769" w:rsidP="00742B63">
      <w:pPr>
        <w:spacing w:before="100" w:after="100" w:line="240" w:lineRule="exact"/>
        <w:divId w:val="1501236636"/>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29" w:name="_Toc989191"/>
      <w:r w:rsidRPr="00672DC8">
        <w:rPr>
          <w:rFonts w:ascii="Times New Roman" w:hAnsi="Times New Roman" w:cs="Times New Roman"/>
          <w:b/>
          <w:bCs/>
        </w:rPr>
        <w:t>44</w:t>
      </w:r>
      <w:r w:rsidRPr="00672DC8">
        <w:rPr>
          <w:rFonts w:ascii="Times New Roman" w:hAnsi="Times New Roman" w:cs="Times New Roman"/>
          <w:b/>
          <w:bCs/>
        </w:rPr>
        <w:t>、研发费用</w:t>
      </w:r>
      <w:bookmarkEnd w:id="32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直接人工费用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4,963,158.26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5,582,515.92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直接投入费用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43,704.17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61,358.93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折旧摊销费用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894,806.53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1,061,037.29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其他相关费用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407,312.64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549,388.76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委托研发费用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697,745.87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1,169,811.33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股权激励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231,715.80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7,238,443.27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8,424,112.23</w:t>
            </w:r>
          </w:p>
        </w:tc>
      </w:tr>
    </w:tbl>
    <w:p w:rsidR="000C0769" w:rsidRPr="00672DC8" w:rsidRDefault="000C0769" w:rsidP="008C3F2F">
      <w:pPr>
        <w:spacing w:before="100" w:after="100" w:line="240" w:lineRule="exact"/>
        <w:divId w:val="869881148"/>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125D5D"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30" w:name="_Toc989192"/>
      <w:r w:rsidRPr="00672DC8">
        <w:rPr>
          <w:rFonts w:ascii="Times New Roman" w:hAnsi="Times New Roman" w:cs="Times New Roman"/>
          <w:b/>
          <w:bCs/>
        </w:rPr>
        <w:t>45</w:t>
      </w:r>
      <w:r w:rsidRPr="00672DC8">
        <w:rPr>
          <w:rFonts w:ascii="Times New Roman" w:hAnsi="Times New Roman" w:cs="Times New Roman"/>
          <w:b/>
          <w:bCs/>
        </w:rPr>
        <w:t>、财务费用</w:t>
      </w:r>
      <w:bookmarkEnd w:id="33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利息费用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6,832,000.98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5,865,606.56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905,976.01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1,163,837.96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汇兑净损失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-9,004.84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-32,189.35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手续费及其他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62,956.03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91,741.30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未确认融资费用和未实现融资收益的摊销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-366,287.23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142,836.69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5,613,688.93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4,904,157.24</w:t>
            </w:r>
          </w:p>
        </w:tc>
      </w:tr>
    </w:tbl>
    <w:p w:rsidR="000C0769" w:rsidRPr="00672DC8" w:rsidRDefault="000C0769" w:rsidP="00341889">
      <w:pPr>
        <w:spacing w:before="100" w:after="100" w:line="240" w:lineRule="exact"/>
        <w:divId w:val="74016535"/>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341889"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31" w:name="_Toc989193"/>
      <w:r w:rsidRPr="00672DC8">
        <w:rPr>
          <w:rFonts w:ascii="Times New Roman" w:hAnsi="Times New Roman" w:cs="Times New Roman"/>
          <w:b/>
          <w:bCs/>
        </w:rPr>
        <w:t>46</w:t>
      </w:r>
      <w:r w:rsidRPr="00672DC8">
        <w:rPr>
          <w:rFonts w:ascii="Times New Roman" w:hAnsi="Times New Roman" w:cs="Times New Roman"/>
          <w:b/>
          <w:bCs/>
        </w:rPr>
        <w:t>、其他收益</w:t>
      </w:r>
      <w:bookmarkEnd w:id="33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产生其他收益的来源</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与日常活动相关的政府补助</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52,150.15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7,093.45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代扣个人所得税手续费返回</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29,308.99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38,823.70</w:t>
            </w:r>
          </w:p>
        </w:tc>
      </w:tr>
    </w:tbl>
    <w:p w:rsidR="003D2BA8" w:rsidRPr="00672DC8" w:rsidRDefault="000C0769">
      <w:pPr>
        <w:pStyle w:val="3"/>
        <w:spacing w:line="280" w:lineRule="exact"/>
        <w:jc w:val="left"/>
        <w:rPr>
          <w:rFonts w:ascii="Times New Roman" w:hAnsi="Times New Roman" w:cs="Times New Roman"/>
          <w:b/>
          <w:bCs/>
        </w:rPr>
      </w:pPr>
      <w:bookmarkStart w:id="332" w:name="_Toc989194"/>
      <w:r w:rsidRPr="00672DC8">
        <w:rPr>
          <w:rFonts w:ascii="Times New Roman" w:hAnsi="Times New Roman" w:cs="Times New Roman"/>
          <w:b/>
          <w:bCs/>
        </w:rPr>
        <w:lastRenderedPageBreak/>
        <w:t>47</w:t>
      </w:r>
      <w:r w:rsidRPr="00672DC8">
        <w:rPr>
          <w:rFonts w:ascii="Times New Roman" w:hAnsi="Times New Roman" w:cs="Times New Roman"/>
          <w:b/>
          <w:bCs/>
        </w:rPr>
        <w:t>、投资收益</w:t>
      </w:r>
      <w:bookmarkEnd w:id="33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处置长期股权投资产生的投资收益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-326,532.15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-326,532.15</w:t>
            </w:r>
          </w:p>
        </w:tc>
      </w:tr>
    </w:tbl>
    <w:p w:rsidR="000C0769" w:rsidRPr="00672DC8" w:rsidRDefault="000C0769" w:rsidP="007817DC">
      <w:pPr>
        <w:spacing w:before="100" w:after="100" w:line="240" w:lineRule="exact"/>
        <w:divId w:val="2111117101"/>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7817DC"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33" w:name="_Toc989195"/>
      <w:r w:rsidRPr="00672DC8">
        <w:rPr>
          <w:rFonts w:ascii="Times New Roman" w:hAnsi="Times New Roman" w:cs="Times New Roman"/>
          <w:b/>
          <w:bCs/>
        </w:rPr>
        <w:t>48</w:t>
      </w:r>
      <w:r w:rsidRPr="00672DC8">
        <w:rPr>
          <w:rFonts w:ascii="Times New Roman" w:hAnsi="Times New Roman" w:cs="Times New Roman"/>
          <w:b/>
          <w:bCs/>
        </w:rPr>
        <w:t>、信用减值损失</w:t>
      </w:r>
      <w:bookmarkEnd w:id="33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应收票据坏账损失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-924,996.94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应收账款坏账损失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6,292,900.36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3,076,375.29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其他应收款坏账损失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-172,740.65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-256,590.90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长期应收款坏账损失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1,492,283.24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-11,731.19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6,687,446.01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2,808,053.20</w:t>
            </w:r>
          </w:p>
        </w:tc>
      </w:tr>
    </w:tbl>
    <w:p w:rsidR="000C0769" w:rsidRPr="00672DC8" w:rsidRDefault="000C0769" w:rsidP="007817DC">
      <w:pPr>
        <w:spacing w:before="100" w:after="100" w:line="240" w:lineRule="exact"/>
        <w:divId w:val="906190222"/>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7817DC"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34" w:name="_Toc989196"/>
      <w:r w:rsidRPr="00672DC8">
        <w:rPr>
          <w:rFonts w:ascii="Times New Roman" w:hAnsi="Times New Roman" w:cs="Times New Roman"/>
          <w:b/>
          <w:bCs/>
        </w:rPr>
        <w:t>49</w:t>
      </w:r>
      <w:r w:rsidRPr="00672DC8">
        <w:rPr>
          <w:rFonts w:ascii="Times New Roman" w:hAnsi="Times New Roman" w:cs="Times New Roman"/>
          <w:b/>
          <w:bCs/>
        </w:rPr>
        <w:t>、资产减值损失</w:t>
      </w:r>
      <w:bookmarkEnd w:id="33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一、存货跌价损失及合同履约成本减值损失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-396,313.36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-458,664.67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十一、合同资产减值损失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-31,254.46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24,394.07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-427,567.82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-434,270.60</w:t>
            </w:r>
          </w:p>
        </w:tc>
      </w:tr>
    </w:tbl>
    <w:p w:rsidR="000C0769" w:rsidRPr="00672DC8" w:rsidRDefault="000C0769" w:rsidP="007817DC">
      <w:pPr>
        <w:spacing w:before="100" w:after="100" w:line="240" w:lineRule="exact"/>
        <w:divId w:val="605698642"/>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35" w:name="_Toc989197"/>
      <w:r w:rsidRPr="00672DC8">
        <w:rPr>
          <w:rFonts w:ascii="Times New Roman" w:hAnsi="Times New Roman" w:cs="Times New Roman"/>
          <w:b/>
          <w:bCs/>
        </w:rPr>
        <w:t>50</w:t>
      </w:r>
      <w:r w:rsidRPr="00672DC8">
        <w:rPr>
          <w:rFonts w:ascii="Times New Roman" w:hAnsi="Times New Roman" w:cs="Times New Roman"/>
          <w:b/>
          <w:bCs/>
        </w:rPr>
        <w:t>、资产处置收益</w:t>
      </w:r>
      <w:bookmarkEnd w:id="33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资产处置收益的来源</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处置非流动资产的利得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-117,350.75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pStyle w:val="3"/>
        <w:spacing w:line="280" w:lineRule="exact"/>
        <w:jc w:val="left"/>
        <w:rPr>
          <w:rFonts w:ascii="Times New Roman" w:hAnsi="Times New Roman" w:cs="Times New Roman"/>
          <w:b/>
          <w:bCs/>
        </w:rPr>
      </w:pPr>
      <w:bookmarkStart w:id="336" w:name="_Toc989198"/>
      <w:r w:rsidRPr="00672DC8">
        <w:rPr>
          <w:rFonts w:ascii="Times New Roman" w:hAnsi="Times New Roman" w:cs="Times New Roman"/>
          <w:b/>
          <w:bCs/>
        </w:rPr>
        <w:t>51</w:t>
      </w:r>
      <w:r w:rsidRPr="00672DC8">
        <w:rPr>
          <w:rFonts w:ascii="Times New Roman" w:hAnsi="Times New Roman" w:cs="Times New Roman"/>
          <w:b/>
          <w:bCs/>
        </w:rPr>
        <w:t>、营业外收入</w:t>
      </w:r>
      <w:bookmarkEnd w:id="33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497948">
        <w:trPr>
          <w:trHeight w:val="240"/>
          <w:tblHeader/>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计入当期非经常性损益的金额</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政府补助</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2,152.00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49794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2,153.31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6.14</w:t>
            </w:r>
          </w:p>
        </w:tc>
      </w:tr>
    </w:tbl>
    <w:p w:rsidR="000C0769" w:rsidRPr="00672DC8" w:rsidRDefault="000C0769" w:rsidP="007817DC">
      <w:pPr>
        <w:spacing w:before="100" w:after="100" w:line="240" w:lineRule="exact"/>
        <w:divId w:val="75445834"/>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37" w:name="_Toc989199"/>
      <w:r w:rsidRPr="00672DC8">
        <w:rPr>
          <w:rFonts w:ascii="Times New Roman" w:hAnsi="Times New Roman" w:cs="Times New Roman"/>
          <w:b/>
          <w:bCs/>
        </w:rPr>
        <w:lastRenderedPageBreak/>
        <w:t>52</w:t>
      </w:r>
      <w:r w:rsidRPr="00672DC8">
        <w:rPr>
          <w:rFonts w:ascii="Times New Roman" w:hAnsi="Times New Roman" w:cs="Times New Roman"/>
          <w:b/>
          <w:bCs/>
        </w:rPr>
        <w:t>、营业外支出</w:t>
      </w:r>
      <w:bookmarkEnd w:id="33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F2101D">
        <w:trPr>
          <w:trHeight w:val="240"/>
          <w:tblHeader/>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计入当期非经常性损益的金额</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对外捐赠</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901,500.00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920,000.00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901,500.00</w:t>
            </w:r>
          </w:p>
        </w:tc>
      </w:tr>
      <w:tr w:rsidR="003D2BA8" w:rsidRPr="00672DC8" w:rsidTr="00235175">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非流动资产毁损报废损失</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80,577.30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882.89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80,577.30</w:t>
            </w:r>
          </w:p>
        </w:tc>
      </w:tr>
      <w:tr w:rsidR="003D2BA8" w:rsidRPr="00672DC8" w:rsidTr="00235175">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滞纳金、罚款</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1,177.79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1,083.42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1,177.79</w:t>
            </w:r>
          </w:p>
        </w:tc>
      </w:tr>
      <w:tr w:rsidR="003D2BA8" w:rsidRPr="00672DC8" w:rsidTr="00235175">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821.47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113,113.67</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821.47</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984,076.56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1,035,079.98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984,076.56</w:t>
            </w:r>
          </w:p>
        </w:tc>
      </w:tr>
    </w:tbl>
    <w:p w:rsidR="000C0769" w:rsidRPr="00672DC8" w:rsidRDefault="000C0769" w:rsidP="007817DC">
      <w:pPr>
        <w:spacing w:before="100" w:after="100" w:line="240" w:lineRule="exact"/>
        <w:divId w:val="1266378736"/>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38" w:name="_Toc989200"/>
      <w:r w:rsidRPr="00672DC8">
        <w:rPr>
          <w:rFonts w:ascii="Times New Roman" w:hAnsi="Times New Roman" w:cs="Times New Roman"/>
          <w:b/>
          <w:bCs/>
        </w:rPr>
        <w:t>53</w:t>
      </w:r>
      <w:r w:rsidRPr="00672DC8">
        <w:rPr>
          <w:rFonts w:ascii="Times New Roman" w:hAnsi="Times New Roman" w:cs="Times New Roman"/>
          <w:b/>
          <w:bCs/>
        </w:rPr>
        <w:t>、所得税费用</w:t>
      </w:r>
      <w:bookmarkEnd w:id="33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39" w:name="_Toc98920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所得税费用表</w:t>
      </w:r>
      <w:bookmarkEnd w:id="33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当期所得税费用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1,777,222.04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47,294.55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-1,111,888.87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-858,854.94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665,333.17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-811,560.39</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0" w:name="_Toc98920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会计利润与所得税费用调整过程</w:t>
      </w:r>
      <w:bookmarkEnd w:id="34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利润总额</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1,847,575.43</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按法定</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适用税率计算的所得税费用</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277,136.31</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子公司适用不同税率的影响</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149,564.60</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调整以前期间所得税的影响</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633,089.38</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非应税收入的影响</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-480,010.71</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不可抵扣的成本、费用和损失的影响</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982,853.66</w:t>
            </w:r>
          </w:p>
        </w:tc>
      </w:tr>
      <w:tr w:rsidR="003D2BA8" w:rsidRPr="00672DC8" w:rsidTr="007817DC">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税法规定的额外可扣除费用</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-897,300.07</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所得税费用</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665,333.17</w:t>
            </w:r>
          </w:p>
        </w:tc>
      </w:tr>
    </w:tbl>
    <w:p w:rsidR="000C0769" w:rsidRPr="00672DC8" w:rsidRDefault="000C0769" w:rsidP="007817DC">
      <w:pPr>
        <w:spacing w:before="100" w:after="100" w:line="240" w:lineRule="exact"/>
        <w:divId w:val="174811193"/>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41" w:name="_Toc989203"/>
      <w:r w:rsidRPr="00672DC8">
        <w:rPr>
          <w:rFonts w:ascii="Times New Roman" w:hAnsi="Times New Roman" w:cs="Times New Roman"/>
          <w:b/>
          <w:bCs/>
        </w:rPr>
        <w:t>54</w:t>
      </w:r>
      <w:r w:rsidRPr="00672DC8">
        <w:rPr>
          <w:rFonts w:ascii="Times New Roman" w:hAnsi="Times New Roman" w:cs="Times New Roman"/>
          <w:b/>
          <w:bCs/>
        </w:rPr>
        <w:t>、其他综合收益</w:t>
      </w:r>
      <w:bookmarkEnd w:id="34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详见附注</w:t>
      </w:r>
      <w:r w:rsidRPr="00672DC8">
        <w:rPr>
          <w:rFonts w:ascii="Times New Roman" w:eastAsia="宋体" w:hAnsi="Times New Roman" w:cs="Times New Roman"/>
          <w:sz w:val="18"/>
          <w:szCs w:val="18"/>
        </w:rPr>
        <w:t>37</w:t>
      </w:r>
    </w:p>
    <w:p w:rsidR="003D2BA8" w:rsidRPr="00672DC8" w:rsidRDefault="000C0769">
      <w:pPr>
        <w:pStyle w:val="3"/>
        <w:spacing w:line="280" w:lineRule="exact"/>
        <w:jc w:val="left"/>
        <w:rPr>
          <w:rFonts w:ascii="Times New Roman" w:hAnsi="Times New Roman" w:cs="Times New Roman"/>
          <w:b/>
          <w:bCs/>
        </w:rPr>
      </w:pPr>
      <w:bookmarkStart w:id="342" w:name="_Toc989204"/>
      <w:r w:rsidRPr="00672DC8">
        <w:rPr>
          <w:rFonts w:ascii="Times New Roman" w:hAnsi="Times New Roman" w:cs="Times New Roman"/>
          <w:b/>
          <w:bCs/>
        </w:rPr>
        <w:t>55</w:t>
      </w:r>
      <w:r w:rsidRPr="00672DC8">
        <w:rPr>
          <w:rFonts w:ascii="Times New Roman" w:hAnsi="Times New Roman" w:cs="Times New Roman"/>
          <w:b/>
          <w:bCs/>
        </w:rPr>
        <w:t>、现金流量表项目</w:t>
      </w:r>
      <w:bookmarkEnd w:id="342"/>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3" w:name="_Toc98920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与经营活动有关的现金</w:t>
      </w:r>
      <w:bookmarkEnd w:id="343"/>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收到的其他与经营活动有关的现金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230,506.90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332,040.15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政府补助（含财政贴息）</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81,510.18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48,069.15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6,425,933.42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11,154,994.33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日常往来及其他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248,892.75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734,239.30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6,986,843.25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12,269,342.93</w:t>
            </w:r>
          </w:p>
        </w:tc>
      </w:tr>
    </w:tbl>
    <w:p w:rsidR="000C0769" w:rsidRPr="00672DC8" w:rsidRDefault="000C0769" w:rsidP="007817DC">
      <w:pPr>
        <w:spacing w:before="100" w:after="100" w:line="240" w:lineRule="exact"/>
        <w:divId w:val="216160731"/>
        <w:rPr>
          <w:rFonts w:ascii="Times New Roman" w:hAnsi="Times New Roman" w:cs="Times New Roman"/>
          <w:sz w:val="18"/>
          <w:szCs w:val="18"/>
        </w:rPr>
      </w:pPr>
      <w:r w:rsidRPr="00672DC8">
        <w:rPr>
          <w:rFonts w:ascii="Times New Roman" w:eastAsia="宋体" w:hAnsi="Times New Roman" w:cs="Times New Roman"/>
          <w:sz w:val="18"/>
          <w:szCs w:val="18"/>
        </w:rPr>
        <w:t>收到的其他与经营活动有关的现金说明：无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支付的其他与经营活动有关的现金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付现费用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11,036,833.67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7,102,380.49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银行手续费</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62,414.87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91,742.68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1,025,335.00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247,065.00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日常往来及其他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2,025,407.16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3,363,885.46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14,149,990.70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10,805,073.63</w:t>
            </w:r>
          </w:p>
        </w:tc>
      </w:tr>
    </w:tbl>
    <w:p w:rsidR="000C0769" w:rsidRPr="00672DC8" w:rsidRDefault="000C0769" w:rsidP="007817DC">
      <w:pPr>
        <w:spacing w:before="100" w:after="100" w:line="240" w:lineRule="exact"/>
        <w:divId w:val="1532257855"/>
        <w:rPr>
          <w:rFonts w:ascii="Times New Roman" w:hAnsi="Times New Roman" w:cs="Times New Roman"/>
          <w:sz w:val="18"/>
          <w:szCs w:val="18"/>
        </w:rPr>
      </w:pPr>
      <w:r w:rsidRPr="00672DC8">
        <w:rPr>
          <w:rFonts w:ascii="Times New Roman" w:eastAsia="宋体" w:hAnsi="Times New Roman" w:cs="Times New Roman"/>
          <w:sz w:val="18"/>
          <w:szCs w:val="18"/>
        </w:rPr>
        <w:t>支付的其他与经营活动有关的现金说明：无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4" w:name="_Toc98920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与投资活动有关的现金</w:t>
      </w:r>
      <w:bookmarkEnd w:id="34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收到的其他与投资活动有关的现金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定期存款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656,050.00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387,500.00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108,656,050.00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50,387,500.00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收到的重要的与投资活动有关的现金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bl>
    <w:p w:rsidR="000C0769" w:rsidRPr="00672DC8" w:rsidRDefault="000C0769" w:rsidP="007817DC">
      <w:pPr>
        <w:spacing w:before="100" w:after="100" w:line="240" w:lineRule="exact"/>
        <w:divId w:val="894895233"/>
        <w:rPr>
          <w:rFonts w:ascii="Times New Roman" w:hAnsi="Times New Roman" w:cs="Times New Roman"/>
          <w:sz w:val="18"/>
          <w:szCs w:val="18"/>
        </w:rPr>
      </w:pPr>
      <w:r w:rsidRPr="00672DC8">
        <w:rPr>
          <w:rFonts w:ascii="Times New Roman" w:eastAsia="宋体" w:hAnsi="Times New Roman" w:cs="Times New Roman"/>
          <w:sz w:val="18"/>
          <w:szCs w:val="18"/>
        </w:rPr>
        <w:t>收到的其他与投资活动有关的现金说明：无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支付的其他与投资活动有关的现金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定期存款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108,000,000.00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58,000,000.00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支付的重要的与投资活动有关的现金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bl>
    <w:p w:rsidR="000C0769" w:rsidRPr="00672DC8" w:rsidRDefault="000C0769" w:rsidP="007817DC">
      <w:pPr>
        <w:spacing w:before="100" w:after="100" w:line="240" w:lineRule="exact"/>
        <w:divId w:val="1591229818"/>
        <w:rPr>
          <w:rFonts w:ascii="Times New Roman" w:hAnsi="Times New Roman" w:cs="Times New Roman"/>
          <w:sz w:val="18"/>
          <w:szCs w:val="18"/>
        </w:rPr>
      </w:pPr>
      <w:r w:rsidRPr="00672DC8">
        <w:rPr>
          <w:rFonts w:ascii="Times New Roman" w:eastAsia="宋体" w:hAnsi="Times New Roman" w:cs="Times New Roman"/>
          <w:sz w:val="18"/>
          <w:szCs w:val="18"/>
        </w:rPr>
        <w:t>支付的其他与投资活动有关的现金说明：无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5" w:name="_Toc98920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与筹资活动有关的现金</w:t>
      </w:r>
      <w:bookmarkEnd w:id="34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收到的其他与筹资活动有关的现金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DD18B5">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融资租赁款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收回租赁押金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非金融机构借款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20,006,000.00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16,000,000.00</w:t>
            </w:r>
          </w:p>
        </w:tc>
      </w:tr>
    </w:tbl>
    <w:p w:rsidR="000C0769" w:rsidRPr="00672DC8" w:rsidRDefault="000C0769" w:rsidP="007817DC">
      <w:pPr>
        <w:spacing w:before="100" w:after="100" w:line="240" w:lineRule="exact"/>
        <w:divId w:val="115560564"/>
        <w:rPr>
          <w:rFonts w:ascii="Times New Roman" w:hAnsi="Times New Roman" w:cs="Times New Roman"/>
          <w:sz w:val="18"/>
          <w:szCs w:val="18"/>
        </w:rPr>
      </w:pPr>
      <w:r w:rsidRPr="00672DC8">
        <w:rPr>
          <w:rFonts w:ascii="Times New Roman" w:eastAsia="宋体" w:hAnsi="Times New Roman" w:cs="Times New Roman"/>
          <w:sz w:val="18"/>
          <w:szCs w:val="18"/>
        </w:rPr>
        <w:t>收到的其他与筹资活动有关的现金说明：无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支付的其他与筹资活动有关的现金</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支付租金和租赁押金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2,313,263.68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2,670,107.10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回购股份</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4,047,360.00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融资租赁款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2,872,090.92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1,915,187.50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877,889.00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6,063,243.60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8,632,654.60</w:t>
            </w:r>
          </w:p>
        </w:tc>
      </w:tr>
    </w:tbl>
    <w:p w:rsidR="000C0769" w:rsidRPr="00672DC8" w:rsidRDefault="000C0769" w:rsidP="006B09CB">
      <w:pPr>
        <w:spacing w:before="100" w:after="100" w:line="240" w:lineRule="exact"/>
        <w:divId w:val="78527501"/>
        <w:rPr>
          <w:rFonts w:ascii="Times New Roman" w:hAnsi="Times New Roman" w:cs="Times New Roman"/>
          <w:sz w:val="18"/>
          <w:szCs w:val="18"/>
        </w:rPr>
      </w:pPr>
      <w:r w:rsidRPr="00672DC8">
        <w:rPr>
          <w:rFonts w:ascii="Times New Roman" w:eastAsia="宋体" w:hAnsi="Times New Roman" w:cs="Times New Roman"/>
          <w:sz w:val="18"/>
          <w:szCs w:val="18"/>
        </w:rPr>
        <w:t>支付的其他与筹资活动有关的现金说明：无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筹资活动产生的各项负债变动情况</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rsidTr="003B6404">
        <w:trPr>
          <w:trHeight w:val="240"/>
          <w:tblHeader/>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rsidTr="003B6404">
        <w:trPr>
          <w:trHeight w:val="240"/>
          <w:tblHeader/>
        </w:trPr>
        <w:tc>
          <w:tcPr>
            <w:tcW w:w="137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非现金变动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短期借款</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75,386,370.12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64,000,000.00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1,386,087.25</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45,193,276.83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95,579,180.54</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应付股利</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5,361,433.00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5,361,433.00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长期借款（含一年内到期部分）</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274,434,174.83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10,088,000.00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4,345,775.02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35,118,531.40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253,749,418.45</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长期应付款（含一年内到期部分）</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42,694,495.19</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1,183,510.31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2,872,090.92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105,037.67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60,900,876.91</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租赁负债（含一年内到期部分）</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14,410,018.72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3,844,946.03</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2,018,242.42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6,476,916.10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9,759,806.23</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406,925,058.86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94,088,000.00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16,121,751.61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90,563,574.57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6,581,953.77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419,989,282.13</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6" w:name="_Toc98920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以净额列报现金流量的说明</w:t>
      </w:r>
      <w:bookmarkEnd w:id="346"/>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相关事实情况</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采用净额列报的依据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财务影响</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7" w:name="_Toc98920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不涉及当期现金收支、但影响企业财务状况或在未来可能影响企业现金流量的重大活动及财务影响</w:t>
      </w:r>
      <w:bookmarkEnd w:id="347"/>
    </w:p>
    <w:p w:rsidR="000C0769" w:rsidRPr="00672DC8" w:rsidRDefault="000C0769">
      <w:pPr>
        <w:pStyle w:val="a3"/>
        <w:divId w:val="1600261994"/>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48" w:name="_Toc989210"/>
      <w:r w:rsidRPr="00672DC8">
        <w:rPr>
          <w:rFonts w:ascii="Times New Roman" w:hAnsi="Times New Roman" w:cs="Times New Roman"/>
          <w:b/>
          <w:bCs/>
        </w:rPr>
        <w:t>56</w:t>
      </w:r>
      <w:r w:rsidRPr="00672DC8">
        <w:rPr>
          <w:rFonts w:ascii="Times New Roman" w:hAnsi="Times New Roman" w:cs="Times New Roman"/>
          <w:b/>
          <w:bCs/>
        </w:rPr>
        <w:t>、现金流量表补充资料</w:t>
      </w:r>
      <w:bookmarkEnd w:id="34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49" w:name="_Toc98921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现金流量表补充资料</w:t>
      </w:r>
      <w:bookmarkEnd w:id="34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rsidTr="007B70D5">
        <w:trPr>
          <w:trHeight w:val="240"/>
          <w:tblHeader/>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补充资料</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上期金额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．将净利润调节为经营活动现金流量：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净利润</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1,182,242.26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6,009,779.09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加：资产减值准备</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427,567.82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434,270.60</w:t>
            </w:r>
          </w:p>
        </w:tc>
      </w:tr>
      <w:tr w:rsidR="003D2BA8" w:rsidRPr="00672DC8" w:rsidTr="009F7CF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0" w:lineRule="atLeast"/>
              <w:ind w:firstLineChars="100" w:firstLine="210"/>
              <w:rPr>
                <w:rFonts w:ascii="Times New Roman" w:eastAsia="仿宋" w:hAnsi="Times New Roman" w:cs="Times New Roman"/>
                <w:szCs w:val="21"/>
              </w:rPr>
            </w:pPr>
            <w:r w:rsidRPr="00672DC8">
              <w:rPr>
                <w:rFonts w:ascii="Times New Roman" w:eastAsia="仿宋" w:hAnsi="Times New Roman" w:cs="Times New Roman"/>
                <w:szCs w:val="21"/>
              </w:rPr>
              <w:t xml:space="preserve">  </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信用减值损失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-6,687,446.01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-2,808,053.20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固定资产折旧、油气资产折耗、生产性生物资产折旧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22,901,376.94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19,640,135.77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使用权资产折旧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1,829,467.85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1,885,348.29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无形资产摊销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20,213.16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9,141.78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长期待摊费用摊销</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430,109.70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347,117.68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处置固定资产、无形资产和其他长期资产的损失（收益以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117,350.75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固定资产报废损失（收益以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80,577.30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882.89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公允价值变动损失（收益以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财务费用（收益以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5,760,114.89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5,445,917.21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投资损失（收益以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326,532.15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递延所得税资产减少（增加以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9,945,141.74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-2,424,259.44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递延所得税负债增加（减少以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-11,000,918.47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1,565,449.79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存货的减少（增加以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3,674,331.88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-60,338,469.74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经营性应收项目的减少（增加以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44,061,243.03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-29,230,073.47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经营性应付项目的增加（减少以</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号填列）</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5,344,694.06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42,753,358.99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83,769,985.35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-16,382,921.61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．不涉及现金收支的重大投资和筹资活动：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债务转为资本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一年内到期的可转换公司债券</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融资租入固定资产</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．现金及现金等价物净变动情况：</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现金的期末余额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366,630,387.58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204,885,563.22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减：现金的期初余额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307,078,221.04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271,722,181.78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加：现金等价物的期末余额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减：现金等价物的期初余额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59,552,166.54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-66,836,618.56</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0" w:name="_Toc989212"/>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本期支付的取得子公司的现金净额</w:t>
      </w:r>
      <w:bookmarkEnd w:id="35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6707B7">
      <w:pPr>
        <w:spacing w:before="100" w:after="100" w:line="240" w:lineRule="exact"/>
        <w:divId w:val="1647007431"/>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1" w:name="_Toc98921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本期收到的处置子公司的现金净额</w:t>
      </w:r>
      <w:bookmarkEnd w:id="35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6707B7">
      <w:pPr>
        <w:spacing w:before="100" w:after="100" w:line="240" w:lineRule="exact"/>
        <w:divId w:val="897866144"/>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2" w:name="_Toc98921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现金和现金等价物的构成</w:t>
      </w:r>
      <w:bookmarkEnd w:id="35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一、现金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366,630,387.58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307,078,221.04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可随时用于支付的银行存款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366,411,166.76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306,924,100.65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可随时用于支付的其他货币资金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219,220.82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154,120.39</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三、期末现金及现金等价物余额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366,630,387.58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307,078,221.04</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3" w:name="_Toc98921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使用范围受限但仍属于现金及现金等价物列示的情况</w:t>
      </w:r>
      <w:bookmarkEnd w:id="35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仍属于现金及现金等价物的理由</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4" w:name="_Toc98921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不属于现金及现金等价物的货币资金</w:t>
      </w:r>
      <w:bookmarkEnd w:id="35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不属于现金及现金等价物的理由</w:t>
            </w:r>
          </w:p>
        </w:tc>
      </w:tr>
    </w:tbl>
    <w:p w:rsidR="000C0769" w:rsidRPr="00672DC8" w:rsidRDefault="000C0769" w:rsidP="00FA3940">
      <w:pPr>
        <w:spacing w:before="100" w:after="100" w:line="240" w:lineRule="exact"/>
        <w:divId w:val="1593777707"/>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rsidP="00772BDD">
      <w:pPr>
        <w:keepNext/>
        <w:keepLines/>
        <w:spacing w:before="300" w:after="300" w:line="280" w:lineRule="exact"/>
        <w:outlineLvl w:val="3"/>
        <w:rPr>
          <w:rFonts w:ascii="Times New Roman" w:hAnsi="Times New Roman" w:cs="Times New Roman"/>
        </w:rPr>
      </w:pPr>
      <w:bookmarkStart w:id="355" w:name="_Toc98921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7</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其他重大活动说明</w:t>
      </w:r>
      <w:bookmarkEnd w:id="355"/>
    </w:p>
    <w:p w:rsidR="003D2BA8" w:rsidRPr="00672DC8" w:rsidRDefault="000C0769">
      <w:pPr>
        <w:pStyle w:val="3"/>
        <w:spacing w:line="280" w:lineRule="exact"/>
        <w:jc w:val="left"/>
        <w:rPr>
          <w:rFonts w:ascii="Times New Roman" w:hAnsi="Times New Roman" w:cs="Times New Roman"/>
          <w:b/>
          <w:bCs/>
        </w:rPr>
      </w:pPr>
      <w:bookmarkStart w:id="356" w:name="_Toc989218"/>
      <w:r w:rsidRPr="00672DC8">
        <w:rPr>
          <w:rFonts w:ascii="Times New Roman" w:hAnsi="Times New Roman" w:cs="Times New Roman"/>
          <w:b/>
          <w:bCs/>
        </w:rPr>
        <w:t>57</w:t>
      </w:r>
      <w:r w:rsidRPr="00672DC8">
        <w:rPr>
          <w:rFonts w:ascii="Times New Roman" w:hAnsi="Times New Roman" w:cs="Times New Roman"/>
          <w:b/>
          <w:bCs/>
        </w:rPr>
        <w:t>、所有者权益变动表项目注释</w:t>
      </w:r>
      <w:bookmarkEnd w:id="356"/>
    </w:p>
    <w:p w:rsidR="000C0769" w:rsidRPr="00672DC8" w:rsidRDefault="000C0769" w:rsidP="00D950B3">
      <w:pPr>
        <w:spacing w:before="100" w:after="100" w:line="240" w:lineRule="exact"/>
        <w:divId w:val="1557160016"/>
        <w:rPr>
          <w:rFonts w:ascii="Times New Roman" w:hAnsi="Times New Roman" w:cs="Times New Roman"/>
          <w:sz w:val="18"/>
          <w:szCs w:val="18"/>
        </w:rPr>
      </w:pPr>
      <w:r w:rsidRPr="00672DC8">
        <w:rPr>
          <w:rFonts w:ascii="Times New Roman" w:eastAsia="宋体" w:hAnsi="Times New Roman" w:cs="Times New Roman"/>
          <w:sz w:val="18"/>
          <w:szCs w:val="18"/>
        </w:rPr>
        <w:t>说明对上年年末余额进行调整的</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其他</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项目名称及调整金额等事项：不适用。</w:t>
      </w:r>
    </w:p>
    <w:p w:rsidR="003D2BA8" w:rsidRPr="00672DC8" w:rsidRDefault="000C0769">
      <w:pPr>
        <w:pStyle w:val="3"/>
        <w:spacing w:line="280" w:lineRule="exact"/>
        <w:jc w:val="left"/>
        <w:rPr>
          <w:rFonts w:ascii="Times New Roman" w:hAnsi="Times New Roman" w:cs="Times New Roman"/>
          <w:b/>
          <w:bCs/>
        </w:rPr>
      </w:pPr>
      <w:bookmarkStart w:id="357" w:name="_Toc989219"/>
      <w:r w:rsidRPr="00672DC8">
        <w:rPr>
          <w:rFonts w:ascii="Times New Roman" w:hAnsi="Times New Roman" w:cs="Times New Roman"/>
          <w:b/>
          <w:bCs/>
        </w:rPr>
        <w:lastRenderedPageBreak/>
        <w:t>58</w:t>
      </w:r>
      <w:r w:rsidRPr="00672DC8">
        <w:rPr>
          <w:rFonts w:ascii="Times New Roman" w:hAnsi="Times New Roman" w:cs="Times New Roman"/>
          <w:b/>
          <w:bCs/>
        </w:rPr>
        <w:t>、外币货币性项目</w:t>
      </w:r>
      <w:bookmarkEnd w:id="357"/>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8" w:name="_Toc98922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外币货币性项目</w:t>
      </w:r>
      <w:bookmarkEnd w:id="35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期末外币余额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折算汇率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期末折算人民币余额</w:t>
            </w: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货币资金</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4,330,610.80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DD73F2">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0.86855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3,761,352.01</w:t>
            </w: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rsidP="00DD73F2">
            <w:pPr>
              <w:jc w:val="cente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848,821.20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DD73F2">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0.86855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737,243.65</w:t>
            </w: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长期借款</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rsidP="00DD73F2">
            <w:pPr>
              <w:jc w:val="cente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rsidP="00DD73F2">
            <w:pPr>
              <w:spacing w:line="240" w:lineRule="exact"/>
              <w:jc w:val="center"/>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其中：港币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9,335.65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DD73F2">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0.86855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8,108.48</w:t>
            </w: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其他流动资产</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A32213">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其中：港币</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31,501.00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rsidP="00DD73F2">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0.86855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27,360.19</w:t>
            </w:r>
          </w:p>
        </w:tc>
      </w:tr>
    </w:tbl>
    <w:p w:rsidR="000C0769" w:rsidRPr="00672DC8" w:rsidRDefault="000C0769" w:rsidP="00FA6F74">
      <w:pPr>
        <w:spacing w:before="100" w:after="100" w:line="240" w:lineRule="exact"/>
        <w:divId w:val="335235093"/>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59" w:name="_Toc98922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货币缺乏可兑换性的性质及其财务影响、所采用的即期汇率及其估计过程，以及企业因货币缺乏可兑换性而面临的风险</w:t>
      </w:r>
      <w:bookmarkEnd w:id="359"/>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60" w:name="_Toc98922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境外经营实体说明，包括对于重要的境外经营实体，应披露其境外主要经营地、记账本位币及选择依据，记账本位币发生变化的还应披露原因。</w:t>
      </w:r>
      <w:bookmarkEnd w:id="36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tbl>
      <w:tblPr>
        <w:tblStyle w:val="aa"/>
        <w:tblW w:w="5000" w:type="pct"/>
        <w:tblLook w:val="04A0" w:firstRow="1" w:lastRow="0" w:firstColumn="1" w:lastColumn="0" w:noHBand="0" w:noVBand="1"/>
      </w:tblPr>
      <w:tblGrid>
        <w:gridCol w:w="2043"/>
        <w:gridCol w:w="2289"/>
        <w:gridCol w:w="2008"/>
        <w:gridCol w:w="3287"/>
      </w:tblGrid>
      <w:tr w:rsidR="000C0769" w:rsidRPr="00672DC8" w:rsidTr="00FA6F74">
        <w:trPr>
          <w:divId w:val="99297750"/>
          <w:trHeight w:val="340"/>
        </w:trPr>
        <w:tc>
          <w:tcPr>
            <w:tcW w:w="1061" w:type="pct"/>
            <w:shd w:val="clear" w:color="auto" w:fill="D9D9D9" w:themeFill="background1" w:themeFillShade="D9"/>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Style w:val="a4"/>
                <w:rFonts w:ascii="Times New Roman" w:hAnsi="Times New Roman" w:cs="Times New Roman"/>
                <w:sz w:val="18"/>
                <w:szCs w:val="21"/>
              </w:rPr>
              <w:t>项目</w:t>
            </w:r>
          </w:p>
        </w:tc>
        <w:tc>
          <w:tcPr>
            <w:tcW w:w="1189" w:type="pct"/>
            <w:shd w:val="clear" w:color="auto" w:fill="D9D9D9" w:themeFill="background1" w:themeFillShade="D9"/>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Style w:val="a4"/>
                <w:rFonts w:ascii="Times New Roman" w:hAnsi="Times New Roman" w:cs="Times New Roman"/>
                <w:sz w:val="18"/>
                <w:szCs w:val="21"/>
              </w:rPr>
              <w:t>境外主要经营地</w:t>
            </w:r>
          </w:p>
        </w:tc>
        <w:tc>
          <w:tcPr>
            <w:tcW w:w="1043" w:type="pct"/>
            <w:shd w:val="clear" w:color="auto" w:fill="D9D9D9" w:themeFill="background1" w:themeFillShade="D9"/>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Style w:val="a4"/>
                <w:rFonts w:ascii="Times New Roman" w:hAnsi="Times New Roman" w:cs="Times New Roman"/>
                <w:sz w:val="18"/>
                <w:szCs w:val="21"/>
              </w:rPr>
              <w:t>记账本位币</w:t>
            </w:r>
          </w:p>
        </w:tc>
        <w:tc>
          <w:tcPr>
            <w:tcW w:w="1707" w:type="pct"/>
            <w:shd w:val="clear" w:color="auto" w:fill="D9D9D9" w:themeFill="background1" w:themeFillShade="D9"/>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Style w:val="a4"/>
                <w:rFonts w:ascii="Times New Roman" w:hAnsi="Times New Roman" w:cs="Times New Roman"/>
                <w:sz w:val="18"/>
                <w:szCs w:val="21"/>
              </w:rPr>
              <w:t>记账本位币的选择依据</w:t>
            </w:r>
          </w:p>
        </w:tc>
      </w:tr>
      <w:tr w:rsidR="000C0769" w:rsidRPr="00672DC8" w:rsidTr="00FA6F74">
        <w:trPr>
          <w:divId w:val="99297750"/>
          <w:trHeight w:val="340"/>
        </w:trPr>
        <w:tc>
          <w:tcPr>
            <w:tcW w:w="1061" w:type="pct"/>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Fonts w:ascii="Times New Roman" w:hAnsi="Times New Roman" w:cs="Times New Roman"/>
                <w:sz w:val="18"/>
                <w:szCs w:val="21"/>
              </w:rPr>
              <w:t>天亿马（香港）信息产业有限公司</w:t>
            </w:r>
          </w:p>
        </w:tc>
        <w:tc>
          <w:tcPr>
            <w:tcW w:w="1189" w:type="pct"/>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Fonts w:ascii="Times New Roman" w:hAnsi="Times New Roman" w:cs="Times New Roman"/>
                <w:sz w:val="18"/>
                <w:szCs w:val="21"/>
              </w:rPr>
              <w:t>香港</w:t>
            </w:r>
          </w:p>
        </w:tc>
        <w:tc>
          <w:tcPr>
            <w:tcW w:w="1043" w:type="pct"/>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Fonts w:ascii="Times New Roman" w:hAnsi="Times New Roman" w:cs="Times New Roman"/>
                <w:sz w:val="18"/>
                <w:szCs w:val="21"/>
              </w:rPr>
              <w:t>港币</w:t>
            </w:r>
          </w:p>
        </w:tc>
        <w:tc>
          <w:tcPr>
            <w:tcW w:w="1707" w:type="pct"/>
            <w:vAlign w:val="center"/>
            <w:hideMark/>
          </w:tcPr>
          <w:p w:rsidR="000C0769" w:rsidRPr="00672DC8" w:rsidRDefault="000C0769" w:rsidP="00FA6F74">
            <w:pPr>
              <w:pStyle w:val="a3"/>
              <w:spacing w:before="0" w:beforeAutospacing="0" w:after="0" w:afterAutospacing="0"/>
              <w:jc w:val="center"/>
              <w:rPr>
                <w:rFonts w:ascii="Times New Roman" w:hAnsi="Times New Roman" w:cs="Times New Roman"/>
                <w:sz w:val="18"/>
                <w:szCs w:val="21"/>
              </w:rPr>
            </w:pPr>
            <w:r w:rsidRPr="00672DC8">
              <w:rPr>
                <w:rFonts w:ascii="Times New Roman" w:hAnsi="Times New Roman" w:cs="Times New Roman"/>
                <w:sz w:val="18"/>
                <w:szCs w:val="21"/>
              </w:rPr>
              <w:t>公司交易主要以港币结算</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61" w:name="_Toc98922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境外经营的记账本位币与企业的列报货币之间缺乏可兑换性的情况</w:t>
      </w:r>
      <w:bookmarkEnd w:id="36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62" w:name="_Toc989224"/>
      <w:r w:rsidRPr="00672DC8">
        <w:rPr>
          <w:rFonts w:ascii="Times New Roman" w:hAnsi="Times New Roman" w:cs="Times New Roman"/>
          <w:b/>
          <w:bCs/>
        </w:rPr>
        <w:t>59</w:t>
      </w:r>
      <w:r w:rsidRPr="00672DC8">
        <w:rPr>
          <w:rFonts w:ascii="Times New Roman" w:hAnsi="Times New Roman" w:cs="Times New Roman"/>
          <w:b/>
          <w:bCs/>
        </w:rPr>
        <w:t>、租赁</w:t>
      </w:r>
      <w:bookmarkEnd w:id="362"/>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63" w:name="_Toc98922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本公司作为承租方</w:t>
      </w:r>
      <w:bookmarkEnd w:id="363"/>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未纳入租赁负债计量的可变租赁付款额</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简化处理的短期租赁或低价值资产的租赁费用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涉及售后租回交易的情况</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64" w:name="_Toc98922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本公司作为出租方</w:t>
      </w:r>
      <w:bookmarkEnd w:id="36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作为出租人的经营租赁</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作为出租人的融资租赁</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未来五年每年未折现租赁收款额</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未折现租赁收款额与租赁投资净额的调节表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65" w:name="_Toc98922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作为生产商或经销商确认融资租赁销售损益</w:t>
      </w:r>
      <w:bookmarkEnd w:id="36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66" w:name="_Toc989228"/>
      <w:r w:rsidRPr="00672DC8">
        <w:rPr>
          <w:rFonts w:ascii="Times New Roman" w:hAnsi="Times New Roman" w:cs="Times New Roman"/>
          <w:b/>
          <w:bCs/>
        </w:rPr>
        <w:t>60</w:t>
      </w:r>
      <w:r w:rsidRPr="00672DC8">
        <w:rPr>
          <w:rFonts w:ascii="Times New Roman" w:hAnsi="Times New Roman" w:cs="Times New Roman"/>
          <w:b/>
          <w:bCs/>
        </w:rPr>
        <w:t>、数据资源</w:t>
      </w:r>
      <w:bookmarkEnd w:id="366"/>
    </w:p>
    <w:p w:rsidR="000C0769" w:rsidRPr="00672DC8" w:rsidRDefault="000C0769" w:rsidP="00120161">
      <w:pPr>
        <w:pStyle w:val="a3"/>
        <w:ind w:firstLineChars="200" w:firstLine="360"/>
        <w:jc w:val="both"/>
        <w:divId w:val="2031099096"/>
        <w:rPr>
          <w:rFonts w:ascii="Times New Roman" w:hAnsi="Times New Roman" w:cs="Times New Roman"/>
          <w:sz w:val="18"/>
          <w:szCs w:val="18"/>
        </w:rPr>
      </w:pP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翼启</w:t>
      </w:r>
      <w:r w:rsidRPr="00672DC8">
        <w:rPr>
          <w:rFonts w:ascii="Times New Roman" w:hAnsi="Times New Roman" w:cs="Times New Roman"/>
          <w:sz w:val="18"/>
          <w:szCs w:val="18"/>
        </w:rPr>
        <w:t xml:space="preserve"> AI </w:t>
      </w:r>
      <w:r w:rsidRPr="00672DC8">
        <w:rPr>
          <w:rFonts w:ascii="Times New Roman" w:hAnsi="Times New Roman" w:cs="Times New Roman"/>
          <w:sz w:val="18"/>
          <w:szCs w:val="18"/>
        </w:rPr>
        <w:t>政策计算器</w:t>
      </w:r>
      <w:r w:rsidRPr="00672DC8">
        <w:rPr>
          <w:rFonts w:ascii="Times New Roman" w:hAnsi="Times New Roman" w:cs="Times New Roman"/>
          <w:sz w:val="18"/>
          <w:szCs w:val="18"/>
        </w:rPr>
        <w:t>”</w:t>
      </w:r>
      <w:r w:rsidRPr="00672DC8">
        <w:rPr>
          <w:rFonts w:ascii="Times New Roman" w:hAnsi="Times New Roman" w:cs="Times New Roman"/>
          <w:sz w:val="18"/>
          <w:szCs w:val="18"/>
        </w:rPr>
        <w:t>利用人工智能技术对汕头市各级政府部门发布的政策文件进行收集、分析和整理，实现政策的精准匹配、推荐和详细解读，为用户提供政策查询精准匹配、个性化的政策推荐、政策数据可视化展示等服务，减少用户查找政策的时间和精力，提升效率，助力企业和群众更好地享受政策红利。同时也作为政策宣传和推广的辅助工具，帮助政府部门更好地服务企业和群众，从而为企业带来经济效益。公司通过数据治理和挖掘，确保数据的准确性、有效性和合法性。</w:t>
      </w:r>
      <w:r w:rsidRPr="00672DC8">
        <w:rPr>
          <w:rFonts w:ascii="Times New Roman" w:hAnsi="Times New Roman" w:cs="Times New Roman"/>
          <w:sz w:val="18"/>
          <w:szCs w:val="18"/>
        </w:rPr>
        <w:t>“</w:t>
      </w:r>
      <w:r w:rsidRPr="00672DC8">
        <w:rPr>
          <w:rFonts w:ascii="Times New Roman" w:hAnsi="Times New Roman" w:cs="Times New Roman"/>
          <w:sz w:val="18"/>
          <w:szCs w:val="18"/>
        </w:rPr>
        <w:t>翼启</w:t>
      </w:r>
      <w:r w:rsidRPr="00672DC8">
        <w:rPr>
          <w:rFonts w:ascii="Times New Roman" w:hAnsi="Times New Roman" w:cs="Times New Roman"/>
          <w:sz w:val="18"/>
          <w:szCs w:val="18"/>
        </w:rPr>
        <w:t xml:space="preserve"> AI </w:t>
      </w:r>
      <w:r w:rsidRPr="00672DC8">
        <w:rPr>
          <w:rFonts w:ascii="Times New Roman" w:hAnsi="Times New Roman" w:cs="Times New Roman"/>
          <w:sz w:val="18"/>
          <w:szCs w:val="18"/>
        </w:rPr>
        <w:t>政策计算器</w:t>
      </w:r>
      <w:r w:rsidRPr="00672DC8">
        <w:rPr>
          <w:rFonts w:ascii="Times New Roman" w:hAnsi="Times New Roman" w:cs="Times New Roman"/>
          <w:sz w:val="18"/>
          <w:szCs w:val="18"/>
        </w:rPr>
        <w:t>”</w:t>
      </w:r>
      <w:r w:rsidRPr="00672DC8">
        <w:rPr>
          <w:rFonts w:ascii="Times New Roman" w:hAnsi="Times New Roman" w:cs="Times New Roman"/>
          <w:sz w:val="18"/>
          <w:szCs w:val="18"/>
        </w:rPr>
        <w:t>已于</w:t>
      </w:r>
      <w:r w:rsidRPr="00672DC8">
        <w:rPr>
          <w:rFonts w:ascii="Times New Roman" w:hAnsi="Times New Roman" w:cs="Times New Roman"/>
          <w:sz w:val="18"/>
          <w:szCs w:val="18"/>
        </w:rPr>
        <w:t xml:space="preserve"> 2025 </w:t>
      </w:r>
      <w:r w:rsidRPr="00672DC8">
        <w:rPr>
          <w:rFonts w:ascii="Times New Roman" w:hAnsi="Times New Roman" w:cs="Times New Roman"/>
          <w:sz w:val="18"/>
          <w:szCs w:val="18"/>
        </w:rPr>
        <w:t>年</w:t>
      </w:r>
      <w:r w:rsidRPr="00672DC8">
        <w:rPr>
          <w:rFonts w:ascii="Times New Roman" w:hAnsi="Times New Roman" w:cs="Times New Roman"/>
          <w:sz w:val="18"/>
          <w:szCs w:val="18"/>
        </w:rPr>
        <w:t xml:space="preserve"> 7 </w:t>
      </w:r>
      <w:r w:rsidRPr="00672DC8">
        <w:rPr>
          <w:rFonts w:ascii="Times New Roman" w:hAnsi="Times New Roman" w:cs="Times New Roman"/>
          <w:sz w:val="18"/>
          <w:szCs w:val="18"/>
        </w:rPr>
        <w:t>月完成深圳数据交易所数据商品上市流程，取得数据产权登记证书，数据</w:t>
      </w:r>
      <w:r w:rsidRPr="00672DC8">
        <w:rPr>
          <w:rFonts w:ascii="Times New Roman" w:hAnsi="Times New Roman" w:cs="Times New Roman"/>
          <w:sz w:val="18"/>
          <w:szCs w:val="18"/>
        </w:rPr>
        <w:t>(</w:t>
      </w:r>
      <w:r w:rsidRPr="00672DC8">
        <w:rPr>
          <w:rFonts w:ascii="Times New Roman" w:hAnsi="Times New Roman" w:cs="Times New Roman"/>
          <w:sz w:val="18"/>
          <w:szCs w:val="18"/>
        </w:rPr>
        <w:t>商品</w:t>
      </w:r>
      <w:r w:rsidRPr="00672DC8">
        <w:rPr>
          <w:rFonts w:ascii="Times New Roman" w:hAnsi="Times New Roman" w:cs="Times New Roman"/>
          <w:sz w:val="18"/>
          <w:szCs w:val="18"/>
        </w:rPr>
        <w:t>)</w:t>
      </w:r>
      <w:r w:rsidRPr="00672DC8">
        <w:rPr>
          <w:rFonts w:ascii="Times New Roman" w:hAnsi="Times New Roman" w:cs="Times New Roman"/>
          <w:sz w:val="18"/>
          <w:szCs w:val="18"/>
        </w:rPr>
        <w:t>上市证书，数据产权正式确权，可正式公开流通交易。根据市场调研和初步估算，该数据资产预计将带来一定的经济效益，未来该资产也可复制到全国的其他城市，其服务计费方式可能与产品销售、使用许可等相关。至此</w:t>
      </w:r>
      <w:r w:rsidRPr="00672DC8">
        <w:rPr>
          <w:rFonts w:ascii="Times New Roman" w:hAnsi="Times New Roman" w:cs="Times New Roman"/>
          <w:sz w:val="18"/>
          <w:szCs w:val="18"/>
        </w:rPr>
        <w:t>“</w:t>
      </w:r>
      <w:r w:rsidRPr="00672DC8">
        <w:rPr>
          <w:rFonts w:ascii="Times New Roman" w:hAnsi="Times New Roman" w:cs="Times New Roman"/>
          <w:sz w:val="18"/>
          <w:szCs w:val="18"/>
        </w:rPr>
        <w:t>翼启</w:t>
      </w:r>
      <w:r w:rsidRPr="00672DC8">
        <w:rPr>
          <w:rFonts w:ascii="Times New Roman" w:hAnsi="Times New Roman" w:cs="Times New Roman"/>
          <w:sz w:val="18"/>
          <w:szCs w:val="18"/>
        </w:rPr>
        <w:t>AI</w:t>
      </w:r>
      <w:r w:rsidRPr="00672DC8">
        <w:rPr>
          <w:rFonts w:ascii="Times New Roman" w:hAnsi="Times New Roman" w:cs="Times New Roman"/>
          <w:sz w:val="18"/>
          <w:szCs w:val="18"/>
        </w:rPr>
        <w:t>政策计算器</w:t>
      </w:r>
      <w:r w:rsidRPr="00672DC8">
        <w:rPr>
          <w:rFonts w:ascii="Times New Roman" w:hAnsi="Times New Roman" w:cs="Times New Roman"/>
          <w:sz w:val="18"/>
          <w:szCs w:val="18"/>
        </w:rPr>
        <w:t>”</w:t>
      </w:r>
      <w:r w:rsidRPr="00672DC8">
        <w:rPr>
          <w:rFonts w:ascii="Times New Roman" w:hAnsi="Times New Roman" w:cs="Times New Roman"/>
          <w:sz w:val="18"/>
          <w:szCs w:val="18"/>
        </w:rPr>
        <w:t>开发完成达到了预定可使用状态，符合资本化条件，于</w:t>
      </w:r>
      <w:r w:rsidRPr="00672DC8">
        <w:rPr>
          <w:rFonts w:ascii="Times New Roman" w:hAnsi="Times New Roman" w:cs="Times New Roman"/>
          <w:sz w:val="18"/>
          <w:szCs w:val="18"/>
        </w:rPr>
        <w:t>2025</w:t>
      </w:r>
      <w:r w:rsidRPr="00672DC8">
        <w:rPr>
          <w:rFonts w:ascii="Times New Roman" w:hAnsi="Times New Roman" w:cs="Times New Roman"/>
          <w:sz w:val="18"/>
          <w:szCs w:val="18"/>
        </w:rPr>
        <w:t>年</w:t>
      </w:r>
      <w:r w:rsidRPr="00672DC8">
        <w:rPr>
          <w:rFonts w:ascii="Times New Roman" w:hAnsi="Times New Roman" w:cs="Times New Roman"/>
          <w:sz w:val="18"/>
          <w:szCs w:val="18"/>
        </w:rPr>
        <w:t>7</w:t>
      </w:r>
      <w:r w:rsidRPr="00672DC8">
        <w:rPr>
          <w:rFonts w:ascii="Times New Roman" w:hAnsi="Times New Roman" w:cs="Times New Roman"/>
          <w:sz w:val="18"/>
          <w:szCs w:val="18"/>
        </w:rPr>
        <w:t>月正式转为公司的无形资产。天亿马建立了覆盖数据归集、加工处理、产品化开发与迭代优化的全流程管理体系。在开发过程中，我们依据法律法规要求，对原始数据实施严格的去标识化或匿名化处理，确保个人信息与隐私安全。通过部署防火墙、采用数据加密技术等手段，保障数据在传输与存储环节的安全。同时，我们建立了数据分类分级规范和全生命周期安全管理机制，对数据实行精细化的分类管理与授权访问，并记录完整操作日志，确保数据处理全程合规、安全、可控。</w:t>
      </w:r>
    </w:p>
    <w:p w:rsidR="003D2BA8" w:rsidRPr="00672DC8" w:rsidRDefault="000C0769" w:rsidP="00120161">
      <w:pPr>
        <w:pStyle w:val="3"/>
        <w:spacing w:line="280" w:lineRule="exact"/>
        <w:jc w:val="left"/>
        <w:rPr>
          <w:rFonts w:ascii="Times New Roman" w:hAnsi="Times New Roman" w:cs="Times New Roman"/>
        </w:rPr>
      </w:pPr>
      <w:bookmarkStart w:id="367" w:name="_Toc989229"/>
      <w:r w:rsidRPr="00672DC8">
        <w:rPr>
          <w:rFonts w:ascii="Times New Roman" w:hAnsi="Times New Roman" w:cs="Times New Roman"/>
          <w:b/>
          <w:bCs/>
        </w:rPr>
        <w:t>61</w:t>
      </w:r>
      <w:r w:rsidRPr="00672DC8">
        <w:rPr>
          <w:rFonts w:ascii="Times New Roman" w:hAnsi="Times New Roman" w:cs="Times New Roman"/>
          <w:b/>
          <w:bCs/>
        </w:rPr>
        <w:t>、其他</w:t>
      </w:r>
      <w:bookmarkEnd w:id="367"/>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368" w:name="_Toc989230"/>
      <w:r w:rsidRPr="00672DC8">
        <w:rPr>
          <w:rFonts w:ascii="Times New Roman" w:eastAsia="宋体" w:hAnsi="Times New Roman" w:cs="Times New Roman"/>
          <w:b/>
          <w:bCs/>
          <w:sz w:val="24"/>
          <w:szCs w:val="24"/>
        </w:rPr>
        <w:t>八、研发支出</w:t>
      </w:r>
      <w:bookmarkEnd w:id="36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人员人工费用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4,963,158.26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5,679,898.75</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直接投入费用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43,704.17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61,715.73</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折旧摊销费用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894,806.53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1,062,387.28</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其他相关费用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407,312.64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559,920.84</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股权激励</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231,715.80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委托研发费用</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697,745.87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1,169,811.33</w:t>
            </w:r>
          </w:p>
        </w:tc>
      </w:tr>
      <w:tr w:rsidR="003D2BA8" w:rsidRPr="00672DC8" w:rsidTr="003F4F45">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7,238,443.27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8,533,733.93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其中：费用化研发支出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7,238,443.27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8,424,112.23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300" w:firstLine="540"/>
              <w:rPr>
                <w:rFonts w:ascii="Times New Roman" w:eastAsia="宋体" w:hAnsi="Times New Roman" w:cs="Times New Roman"/>
                <w:sz w:val="18"/>
                <w:szCs w:val="18"/>
              </w:rPr>
            </w:pPr>
            <w:r w:rsidRPr="00672DC8">
              <w:rPr>
                <w:rFonts w:ascii="Times New Roman" w:eastAsia="宋体" w:hAnsi="Times New Roman" w:cs="Times New Roman"/>
                <w:sz w:val="18"/>
                <w:szCs w:val="18"/>
              </w:rPr>
              <w:t>资本化研发支出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109,621.70</w:t>
            </w:r>
          </w:p>
        </w:tc>
      </w:tr>
    </w:tbl>
    <w:p w:rsidR="003D2BA8" w:rsidRPr="00672DC8" w:rsidRDefault="000C0769">
      <w:pPr>
        <w:pStyle w:val="3"/>
        <w:spacing w:line="280" w:lineRule="exact"/>
        <w:jc w:val="left"/>
        <w:rPr>
          <w:rFonts w:ascii="Times New Roman" w:hAnsi="Times New Roman" w:cs="Times New Roman"/>
          <w:b/>
          <w:bCs/>
        </w:rPr>
      </w:pPr>
      <w:bookmarkStart w:id="369" w:name="_Toc989231"/>
      <w:r w:rsidRPr="00672DC8">
        <w:rPr>
          <w:rFonts w:ascii="Times New Roman" w:hAnsi="Times New Roman" w:cs="Times New Roman"/>
          <w:b/>
          <w:bCs/>
        </w:rPr>
        <w:t>1</w:t>
      </w:r>
      <w:r w:rsidRPr="00672DC8">
        <w:rPr>
          <w:rFonts w:ascii="Times New Roman" w:hAnsi="Times New Roman" w:cs="Times New Roman"/>
          <w:b/>
          <w:bCs/>
        </w:rPr>
        <w:t>、符合资本化条件的研发项目</w:t>
      </w:r>
      <w:bookmarkEnd w:id="36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3D2BA8" w:rsidRPr="00672DC8">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3213"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本期增加金额</w:t>
            </w:r>
          </w:p>
        </w:tc>
        <w:tc>
          <w:tcPr>
            <w:tcW w:w="3213"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本期减少金额</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内部开发支出</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确认为无形资产</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转入当期损益</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rsidP="00A90B35">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重要的资本化研发项目</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研发进度</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预计完成时间</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预计经济利益产生方式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开始资本化的时点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开始资本化的具体依据</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开发支出减值准备</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减值测试情况</w:t>
            </w:r>
          </w:p>
        </w:tc>
      </w:tr>
    </w:tbl>
    <w:p w:rsidR="003D2BA8" w:rsidRPr="00672DC8" w:rsidRDefault="000C0769">
      <w:pPr>
        <w:pStyle w:val="3"/>
        <w:spacing w:line="280" w:lineRule="exact"/>
        <w:jc w:val="left"/>
        <w:rPr>
          <w:rFonts w:ascii="Times New Roman" w:hAnsi="Times New Roman" w:cs="Times New Roman"/>
          <w:b/>
          <w:bCs/>
        </w:rPr>
      </w:pPr>
      <w:bookmarkStart w:id="370" w:name="_Toc989232"/>
      <w:r w:rsidRPr="00672DC8">
        <w:rPr>
          <w:rFonts w:ascii="Times New Roman" w:hAnsi="Times New Roman" w:cs="Times New Roman"/>
          <w:b/>
          <w:bCs/>
        </w:rPr>
        <w:t>2</w:t>
      </w:r>
      <w:r w:rsidRPr="00672DC8">
        <w:rPr>
          <w:rFonts w:ascii="Times New Roman" w:hAnsi="Times New Roman" w:cs="Times New Roman"/>
          <w:b/>
          <w:bCs/>
        </w:rPr>
        <w:t>、重要外购在研项目</w:t>
      </w:r>
      <w:bookmarkEnd w:id="370"/>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预期产生经济利益的方式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资本化或费用化的判断标准和具体依据</w:t>
            </w:r>
          </w:p>
        </w:tc>
      </w:tr>
    </w:tbl>
    <w:p w:rsidR="000C0769" w:rsidRPr="00672DC8" w:rsidRDefault="000C0769" w:rsidP="00035E8B">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371" w:name="_Toc989233"/>
      <w:r w:rsidRPr="00672DC8">
        <w:rPr>
          <w:rFonts w:ascii="Times New Roman" w:eastAsia="宋体" w:hAnsi="Times New Roman" w:cs="Times New Roman"/>
          <w:b/>
          <w:bCs/>
          <w:sz w:val="24"/>
          <w:szCs w:val="24"/>
        </w:rPr>
        <w:t>九、合并范围的变更</w:t>
      </w:r>
      <w:bookmarkEnd w:id="371"/>
    </w:p>
    <w:p w:rsidR="003D2BA8" w:rsidRPr="00672DC8" w:rsidRDefault="000C0769">
      <w:pPr>
        <w:pStyle w:val="3"/>
        <w:spacing w:line="280" w:lineRule="exact"/>
        <w:jc w:val="left"/>
        <w:rPr>
          <w:rFonts w:ascii="Times New Roman" w:hAnsi="Times New Roman" w:cs="Times New Roman"/>
          <w:b/>
          <w:bCs/>
        </w:rPr>
      </w:pPr>
      <w:bookmarkStart w:id="372" w:name="_Toc989234"/>
      <w:r w:rsidRPr="00672DC8">
        <w:rPr>
          <w:rFonts w:ascii="Times New Roman" w:hAnsi="Times New Roman" w:cs="Times New Roman"/>
          <w:b/>
          <w:bCs/>
        </w:rPr>
        <w:t>1</w:t>
      </w:r>
      <w:r w:rsidRPr="00672DC8">
        <w:rPr>
          <w:rFonts w:ascii="Times New Roman" w:hAnsi="Times New Roman" w:cs="Times New Roman"/>
          <w:b/>
          <w:bCs/>
        </w:rPr>
        <w:t>、非同一控制下企业合并</w:t>
      </w:r>
      <w:bookmarkEnd w:id="372"/>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73" w:name="_Toc989235"/>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本期发生的非同一控制下企业合并</w:t>
      </w:r>
      <w:bookmarkEnd w:id="37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963"/>
        <w:gridCol w:w="964"/>
        <w:gridCol w:w="964"/>
        <w:gridCol w:w="964"/>
        <w:gridCol w:w="964"/>
        <w:gridCol w:w="964"/>
        <w:gridCol w:w="964"/>
        <w:gridCol w:w="964"/>
        <w:gridCol w:w="964"/>
        <w:gridCol w:w="964"/>
      </w:tblGrid>
      <w:tr w:rsidR="003D2BA8" w:rsidRPr="00672DC8">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被购买方名称</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股权取得时点</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股权取得成本</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股权取得比例</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股权取得方式</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购买日</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购买日的确定依据</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购买日至期末被购买方的收入</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购买日至期末被购买方的净利润</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购买日至期末被购买方的现金流</w:t>
            </w:r>
          </w:p>
        </w:tc>
      </w:tr>
    </w:tbl>
    <w:p w:rsidR="000C0769" w:rsidRPr="00672DC8" w:rsidRDefault="000C0769" w:rsidP="00A17931">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74" w:name="_Toc989236"/>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合并成本及商誉</w:t>
      </w:r>
      <w:bookmarkEnd w:id="37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合并成本</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现金</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非现金资产的公允价值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发行或承担的债务的公允价值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发行的权益性证券的公允价值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w:t>
            </w:r>
            <w:r w:rsidRPr="00672DC8">
              <w:rPr>
                <w:rFonts w:ascii="Times New Roman" w:eastAsia="宋体" w:hAnsi="Times New Roman" w:cs="Times New Roman"/>
                <w:sz w:val="18"/>
                <w:szCs w:val="18"/>
              </w:rPr>
              <w:t>或有对价的公允价值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购买日之前持有的股权于购买日的公允价值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其他</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合并成本合计</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减：取得的可辨认净资产公允价值份额</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商誉</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合并成本小于取得的可辨认净资产公允价值份额的金额</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合并成本公允价值的确定方法：</w:t>
      </w:r>
      <w:r w:rsidR="005F64A0"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或有对价及其变动的说明</w:t>
      </w:r>
      <w:r w:rsidR="005F64A0"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大额商誉形成的主要原因：</w:t>
      </w:r>
      <w:r w:rsidR="005F64A0" w:rsidRPr="00672DC8">
        <w:rPr>
          <w:rFonts w:ascii="Times New Roman" w:eastAsia="宋体" w:hAnsi="Times New Roman" w:cs="Times New Roman"/>
          <w:sz w:val="18"/>
          <w:szCs w:val="18"/>
        </w:rPr>
        <w:t>不适用。</w:t>
      </w:r>
    </w:p>
    <w:p w:rsidR="003D2BA8" w:rsidRPr="00672DC8" w:rsidRDefault="000C0769" w:rsidP="00164265">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AD5633" w:rsidRPr="00672DC8">
        <w:rPr>
          <w:rFonts w:ascii="Times New Roman" w:eastAsia="宋体" w:hAnsi="Times New Roman" w:cs="Times New Roman"/>
          <w:sz w:val="18"/>
          <w:szCs w:val="18"/>
        </w:rPr>
        <w:t>无</w:t>
      </w:r>
      <w:r w:rsidR="001B6020" w:rsidRPr="00672DC8">
        <w:rPr>
          <w:rFonts w:ascii="Times New Roman" w:eastAsia="宋体" w:hAnsi="Times New Roman" w:cs="Times New Roman"/>
          <w:sz w:val="18"/>
          <w:szCs w:val="18"/>
        </w:rPr>
        <w:t>。</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75" w:name="_Toc989237"/>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被购买方于购买日可辨认资产、负债</w:t>
      </w:r>
      <w:bookmarkEnd w:id="375"/>
    </w:p>
    <w:p w:rsidR="003D2BA8" w:rsidRPr="00672DC8" w:rsidRDefault="000C0769" w:rsidP="001645CA">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1645CA"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76" w:name="_Toc989238"/>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4</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购买日之前持有的股权按照公允价值重新计量产生的利得或损失</w:t>
      </w:r>
      <w:bookmarkEnd w:id="37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是否存在通过多次交易分步实现企业合并且在报告期内取得控制权的交易</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77" w:name="_Toc98923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5</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购买日或合并当期期末无法合理确定合并对价或被购买方可辨认资产、负债公允价值的相关说明</w:t>
      </w:r>
      <w:bookmarkEnd w:id="377"/>
    </w:p>
    <w:p w:rsidR="003D2BA8" w:rsidRPr="00672DC8" w:rsidRDefault="000C0769" w:rsidP="001645CA">
      <w:pPr>
        <w:keepNext/>
        <w:keepLines/>
        <w:spacing w:before="300" w:after="300" w:line="280" w:lineRule="exact"/>
        <w:outlineLvl w:val="3"/>
        <w:rPr>
          <w:rFonts w:ascii="Times New Roman" w:hAnsi="Times New Roman" w:cs="Times New Roman"/>
        </w:rPr>
      </w:pPr>
      <w:bookmarkStart w:id="378" w:name="_Toc98924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6</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其他说明</w:t>
      </w:r>
      <w:bookmarkEnd w:id="378"/>
    </w:p>
    <w:p w:rsidR="003D2BA8" w:rsidRPr="00672DC8" w:rsidRDefault="000C0769">
      <w:pPr>
        <w:pStyle w:val="3"/>
        <w:spacing w:line="280" w:lineRule="exact"/>
        <w:jc w:val="left"/>
        <w:rPr>
          <w:rFonts w:ascii="Times New Roman" w:hAnsi="Times New Roman" w:cs="Times New Roman"/>
          <w:b/>
          <w:bCs/>
        </w:rPr>
      </w:pPr>
      <w:bookmarkStart w:id="379" w:name="_Toc989241"/>
      <w:r w:rsidRPr="00672DC8">
        <w:rPr>
          <w:rFonts w:ascii="Times New Roman" w:hAnsi="Times New Roman" w:cs="Times New Roman"/>
          <w:b/>
          <w:bCs/>
        </w:rPr>
        <w:t>2</w:t>
      </w:r>
      <w:r w:rsidRPr="00672DC8">
        <w:rPr>
          <w:rFonts w:ascii="Times New Roman" w:hAnsi="Times New Roman" w:cs="Times New Roman"/>
          <w:b/>
          <w:bCs/>
        </w:rPr>
        <w:t>、同一控制下企业合并</w:t>
      </w:r>
      <w:bookmarkEnd w:id="379"/>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80" w:name="_Toc989242"/>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本期发生的同一控制下企业合并</w:t>
      </w:r>
      <w:bookmarkEnd w:id="38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被合并方名称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企业合并中取得的权益比例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构成同一控制下企业合并的依据</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合并日的确定依据</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合并当期期初至合并日被合并方的收入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合并当期期初至合并日被合并方的净利润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比较期间被合并方的收入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比较期间被合并方的净利润</w:t>
            </w:r>
          </w:p>
        </w:tc>
      </w:tr>
    </w:tbl>
    <w:p w:rsidR="003D2BA8" w:rsidRPr="00672DC8" w:rsidRDefault="000C0769" w:rsidP="001645CA">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1645CA"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81" w:name="_Toc989243"/>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合并成本</w:t>
      </w:r>
      <w:bookmarkEnd w:id="38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合并成本</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center"/>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现金</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非现金资产的账面价值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发行或承担的债务的账面价值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发行的权益性证券的面值</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或有对价</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rsidP="001645CA">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lastRenderedPageBreak/>
        <w:t>或有对价及其变动的说明：</w:t>
      </w:r>
      <w:r w:rsidR="001645CA" w:rsidRPr="00672DC8">
        <w:rPr>
          <w:rFonts w:ascii="Times New Roman" w:eastAsia="宋体" w:hAnsi="Times New Roman" w:cs="Times New Roman"/>
          <w:sz w:val="18"/>
          <w:szCs w:val="18"/>
        </w:rPr>
        <w:t>不适用。</w:t>
      </w:r>
    </w:p>
    <w:p w:rsidR="003D2BA8" w:rsidRPr="00672DC8" w:rsidRDefault="000C0769" w:rsidP="000A6A89">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1645CA" w:rsidRPr="00672DC8">
        <w:rPr>
          <w:rFonts w:ascii="Times New Roman" w:eastAsia="宋体" w:hAnsi="Times New Roman" w:cs="Times New Roman"/>
          <w:sz w:val="18"/>
          <w:szCs w:val="18"/>
        </w:rPr>
        <w:t>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82" w:name="_Toc989244"/>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合并日被合并方资产、负债的账面价值</w:t>
      </w:r>
      <w:bookmarkEnd w:id="382"/>
    </w:p>
    <w:p w:rsidR="003D2BA8" w:rsidRPr="00672DC8" w:rsidRDefault="000C0769" w:rsidP="007072E1">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企业合并中承担的被合并方的或有负债：</w:t>
      </w:r>
      <w:r w:rsidR="002D4FC8" w:rsidRPr="00672DC8">
        <w:rPr>
          <w:rFonts w:ascii="Times New Roman" w:eastAsia="宋体" w:hAnsi="Times New Roman" w:cs="Times New Roman"/>
          <w:sz w:val="18"/>
          <w:szCs w:val="18"/>
        </w:rPr>
        <w:t>不适用。</w:t>
      </w:r>
    </w:p>
    <w:p w:rsidR="003D2BA8" w:rsidRPr="00672DC8" w:rsidRDefault="000C0769" w:rsidP="00A409EF">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其他说明：</w:t>
      </w:r>
      <w:r w:rsidR="007072E1"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383" w:name="_Toc989245"/>
      <w:r w:rsidRPr="00672DC8">
        <w:rPr>
          <w:rFonts w:ascii="Times New Roman" w:hAnsi="Times New Roman" w:cs="Times New Roman"/>
          <w:b/>
          <w:bCs/>
        </w:rPr>
        <w:t>3</w:t>
      </w:r>
      <w:r w:rsidRPr="00672DC8">
        <w:rPr>
          <w:rFonts w:ascii="Times New Roman" w:hAnsi="Times New Roman" w:cs="Times New Roman"/>
          <w:b/>
          <w:bCs/>
        </w:rPr>
        <w:t>、反向购买</w:t>
      </w:r>
      <w:bookmarkEnd w:id="383"/>
    </w:p>
    <w:p w:rsidR="003D2BA8" w:rsidRPr="00672DC8" w:rsidRDefault="000C0769" w:rsidP="007E6A90">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交易基本信息、交易构成反向购买的依据、上市公司保留的资产、负债是否构成业务及其依据、合并成本的确定、按照权益性交易处理时调整权益的金额及其计算：</w:t>
      </w:r>
      <w:r w:rsidR="007E6A90"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84" w:name="_Toc989246"/>
      <w:r w:rsidRPr="00672DC8">
        <w:rPr>
          <w:rFonts w:ascii="Times New Roman" w:hAnsi="Times New Roman" w:cs="Times New Roman"/>
          <w:b/>
          <w:bCs/>
        </w:rPr>
        <w:t>4</w:t>
      </w:r>
      <w:r w:rsidRPr="00672DC8">
        <w:rPr>
          <w:rFonts w:ascii="Times New Roman" w:hAnsi="Times New Roman" w:cs="Times New Roman"/>
          <w:b/>
          <w:bCs/>
        </w:rPr>
        <w:t>、处置子公司</w:t>
      </w:r>
      <w:bookmarkEnd w:id="38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本期是否存在丧失子公司控制权的交易或事项</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否</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0" w:type="auto"/>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496"/>
        <w:gridCol w:w="1303"/>
        <w:gridCol w:w="846"/>
        <w:gridCol w:w="488"/>
        <w:gridCol w:w="628"/>
        <w:gridCol w:w="513"/>
        <w:gridCol w:w="1402"/>
        <w:gridCol w:w="777"/>
        <w:gridCol w:w="589"/>
        <w:gridCol w:w="589"/>
        <w:gridCol w:w="572"/>
        <w:gridCol w:w="664"/>
        <w:gridCol w:w="656"/>
      </w:tblGrid>
      <w:tr w:rsidR="003D2BA8" w:rsidRPr="00672DC8" w:rsidTr="00212E38">
        <w:trPr>
          <w:trHeight w:val="240"/>
          <w:tblHeader/>
        </w:trPr>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子公司名称</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丧失控制权时点的处置价款</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丧失控制权时点的处置比例</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丧失控制权时点的处置方式</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丧失控制权的时点</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丧失控制权时点的判断依据</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处置价款与处置投资对应的合并财务报表层面享有该子公司净资产份额的差额</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丧失控制权之日剩余股权的比例</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丧失控制权之日合并财务报表层面剩余股权的账面价值</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丧失控制权之日合并财务报表层面剩余股权的公允价值</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按照公允价值重新计量剩余股权产生的利得或损失</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丧失控制权之日合并财务报表层面剩余股权公允价值的确定方法及主要假设</w:t>
            </w:r>
          </w:p>
        </w:tc>
        <w:tc>
          <w:tcPr>
            <w:tcW w:w="0" w:type="auto"/>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与原子公司股权投资相关的其他综合收益转入投资损益或留存收益的金额</w:t>
            </w:r>
          </w:p>
        </w:tc>
      </w:tr>
      <w:tr w:rsidR="003D2BA8" w:rsidRPr="00672DC8" w:rsidTr="00212E38">
        <w:trPr>
          <w:trHeight w:val="240"/>
        </w:trPr>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邯郸庚源新能源科技有限公司</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25,206,017.50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股权转让</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02</w:t>
            </w:r>
            <w:r w:rsidRPr="00672DC8">
              <w:rPr>
                <w:rFonts w:ascii="Times New Roman" w:eastAsia="宋体" w:hAnsi="Times New Roman" w:cs="Times New Roman"/>
                <w:sz w:val="18"/>
                <w:szCs w:val="18"/>
              </w:rPr>
              <w:t>日</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完成工商变更手续且控制权已</w:t>
            </w:r>
            <w:r w:rsidRPr="00672DC8">
              <w:rPr>
                <w:rFonts w:ascii="Times New Roman" w:eastAsia="宋体" w:hAnsi="Times New Roman" w:cs="Times New Roman"/>
                <w:sz w:val="18"/>
                <w:szCs w:val="18"/>
              </w:rPr>
              <w:lastRenderedPageBreak/>
              <w:t>转移</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3,599,061.78</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0.00%</w:t>
            </w: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0" w:type="auto"/>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rsidP="00212E38">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lastRenderedPageBreak/>
        <w:t>其他说明：</w:t>
      </w:r>
      <w:r w:rsidR="00212E38" w:rsidRPr="00672DC8">
        <w:rPr>
          <w:rFonts w:ascii="Times New Roman" w:eastAsia="宋体" w:hAnsi="Times New Roman" w:cs="Times New Roman"/>
          <w:sz w:val="18"/>
          <w:szCs w:val="18"/>
        </w:rPr>
        <w:t>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是否存在通过多次交易分步处置对子公司投资且在本期丧失控制权的情形</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是</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否</w:t>
      </w:r>
    </w:p>
    <w:p w:rsidR="003D2BA8" w:rsidRPr="00672DC8" w:rsidRDefault="000C0769">
      <w:pPr>
        <w:pStyle w:val="3"/>
        <w:spacing w:line="280" w:lineRule="exact"/>
        <w:jc w:val="left"/>
        <w:rPr>
          <w:rFonts w:ascii="Times New Roman" w:hAnsi="Times New Roman" w:cs="Times New Roman"/>
          <w:b/>
          <w:bCs/>
        </w:rPr>
      </w:pPr>
      <w:bookmarkStart w:id="385" w:name="_Toc989247"/>
      <w:r w:rsidRPr="00672DC8">
        <w:rPr>
          <w:rFonts w:ascii="Times New Roman" w:hAnsi="Times New Roman" w:cs="Times New Roman"/>
          <w:b/>
          <w:bCs/>
        </w:rPr>
        <w:t>5</w:t>
      </w:r>
      <w:r w:rsidRPr="00672DC8">
        <w:rPr>
          <w:rFonts w:ascii="Times New Roman" w:hAnsi="Times New Roman" w:cs="Times New Roman"/>
          <w:b/>
          <w:bCs/>
        </w:rPr>
        <w:t>、其他原因的合并范围变动</w:t>
      </w:r>
      <w:bookmarkEnd w:id="385"/>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说明其他原因导致的合并范围变动（如，新设子公司、清算子公司等）及其相关情况：</w:t>
      </w:r>
    </w:p>
    <w:tbl>
      <w:tblPr>
        <w:tblStyle w:val="aa"/>
        <w:tblW w:w="5000" w:type="pct"/>
        <w:tblLook w:val="04A0" w:firstRow="1" w:lastRow="0" w:firstColumn="1" w:lastColumn="0" w:noHBand="0" w:noVBand="1"/>
      </w:tblPr>
      <w:tblGrid>
        <w:gridCol w:w="5475"/>
        <w:gridCol w:w="2257"/>
        <w:gridCol w:w="1895"/>
      </w:tblGrid>
      <w:tr w:rsidR="000C0769" w:rsidRPr="00672DC8" w:rsidTr="00212E38">
        <w:trPr>
          <w:divId w:val="333916247"/>
          <w:trHeight w:val="279"/>
        </w:trPr>
        <w:tc>
          <w:tcPr>
            <w:tcW w:w="2844" w:type="pct"/>
            <w:shd w:val="clear" w:color="auto" w:fill="D9D9D9" w:themeFill="background1" w:themeFillShade="D9"/>
            <w:noWrap/>
            <w:hideMark/>
          </w:tcPr>
          <w:p w:rsidR="000C0769" w:rsidRPr="00672DC8" w:rsidRDefault="000C0769">
            <w:pPr>
              <w:widowControl/>
              <w:jc w:val="center"/>
              <w:rPr>
                <w:rFonts w:ascii="Times New Roman" w:eastAsia="宋体" w:hAnsi="Times New Roman" w:cs="Times New Roman"/>
                <w:b/>
                <w:bCs/>
                <w:color w:val="000000"/>
                <w:kern w:val="0"/>
                <w:sz w:val="18"/>
                <w:szCs w:val="18"/>
              </w:rPr>
            </w:pPr>
            <w:r w:rsidRPr="00672DC8">
              <w:rPr>
                <w:rFonts w:ascii="Times New Roman" w:eastAsia="宋体" w:hAnsi="Times New Roman" w:cs="Times New Roman"/>
                <w:b/>
                <w:bCs/>
                <w:color w:val="000000"/>
                <w:sz w:val="18"/>
                <w:szCs w:val="18"/>
              </w:rPr>
              <w:t>变动主体</w:t>
            </w:r>
          </w:p>
        </w:tc>
        <w:tc>
          <w:tcPr>
            <w:tcW w:w="1172" w:type="pct"/>
            <w:shd w:val="clear" w:color="auto" w:fill="D9D9D9" w:themeFill="background1" w:themeFillShade="D9"/>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合并范围变动</w:t>
            </w:r>
          </w:p>
        </w:tc>
        <w:tc>
          <w:tcPr>
            <w:tcW w:w="984" w:type="pct"/>
            <w:shd w:val="clear" w:color="auto" w:fill="D9D9D9" w:themeFill="background1" w:themeFillShade="D9"/>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变动原因</w:t>
            </w:r>
          </w:p>
        </w:tc>
      </w:tr>
      <w:tr w:rsidR="000C0769" w:rsidRPr="00672DC8" w:rsidTr="00212E38">
        <w:trPr>
          <w:divId w:val="333916247"/>
          <w:trHeight w:val="279"/>
        </w:trPr>
        <w:tc>
          <w:tcPr>
            <w:tcW w:w="2844" w:type="pct"/>
            <w:noWrap/>
            <w:hideMark/>
          </w:tcPr>
          <w:p w:rsidR="000C0769" w:rsidRPr="00672DC8" w:rsidRDefault="000C0769">
            <w:pP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上海天亿马人工智能科技有限公司</w:t>
            </w:r>
          </w:p>
        </w:tc>
        <w:tc>
          <w:tcPr>
            <w:tcW w:w="1172"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增加</w:t>
            </w:r>
          </w:p>
        </w:tc>
        <w:tc>
          <w:tcPr>
            <w:tcW w:w="984"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新设子公司</w:t>
            </w:r>
          </w:p>
        </w:tc>
      </w:tr>
      <w:tr w:rsidR="000C0769" w:rsidRPr="00672DC8" w:rsidTr="00212E38">
        <w:trPr>
          <w:divId w:val="333916247"/>
          <w:trHeight w:val="279"/>
        </w:trPr>
        <w:tc>
          <w:tcPr>
            <w:tcW w:w="2844" w:type="pct"/>
            <w:noWrap/>
            <w:hideMark/>
          </w:tcPr>
          <w:p w:rsidR="000C0769" w:rsidRPr="00672DC8" w:rsidRDefault="000C0769">
            <w:pP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北京天亿马人工智能科技有限公司</w:t>
            </w:r>
          </w:p>
        </w:tc>
        <w:tc>
          <w:tcPr>
            <w:tcW w:w="1172"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增加</w:t>
            </w:r>
          </w:p>
        </w:tc>
        <w:tc>
          <w:tcPr>
            <w:tcW w:w="984"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新设子公司</w:t>
            </w:r>
          </w:p>
        </w:tc>
      </w:tr>
      <w:tr w:rsidR="000C0769" w:rsidRPr="00672DC8" w:rsidTr="00212E38">
        <w:trPr>
          <w:divId w:val="333916247"/>
          <w:trHeight w:val="279"/>
        </w:trPr>
        <w:tc>
          <w:tcPr>
            <w:tcW w:w="2844" w:type="pct"/>
            <w:noWrap/>
            <w:hideMark/>
          </w:tcPr>
          <w:p w:rsidR="000C0769" w:rsidRPr="00672DC8" w:rsidRDefault="000C0769">
            <w:pP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广东天亿马人工智能科技有限公司</w:t>
            </w:r>
          </w:p>
        </w:tc>
        <w:tc>
          <w:tcPr>
            <w:tcW w:w="1172"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增加</w:t>
            </w:r>
          </w:p>
        </w:tc>
        <w:tc>
          <w:tcPr>
            <w:tcW w:w="984"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新设子公司</w:t>
            </w:r>
          </w:p>
        </w:tc>
      </w:tr>
      <w:tr w:rsidR="000C0769" w:rsidRPr="00672DC8" w:rsidTr="00212E38">
        <w:trPr>
          <w:divId w:val="333916247"/>
          <w:trHeight w:val="279"/>
        </w:trPr>
        <w:tc>
          <w:tcPr>
            <w:tcW w:w="2844" w:type="pct"/>
            <w:noWrap/>
            <w:hideMark/>
          </w:tcPr>
          <w:p w:rsidR="000C0769" w:rsidRPr="00672DC8" w:rsidRDefault="000C0769">
            <w:pP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广东天亿马数据产业有限公司</w:t>
            </w:r>
          </w:p>
        </w:tc>
        <w:tc>
          <w:tcPr>
            <w:tcW w:w="1172"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增加</w:t>
            </w:r>
          </w:p>
        </w:tc>
        <w:tc>
          <w:tcPr>
            <w:tcW w:w="984" w:type="pct"/>
            <w:noWrap/>
            <w:hideMark/>
          </w:tcPr>
          <w:p w:rsidR="000C0769" w:rsidRPr="00672DC8" w:rsidRDefault="000C0769">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新设子公司</w:t>
            </w:r>
          </w:p>
        </w:tc>
      </w:tr>
    </w:tbl>
    <w:p w:rsidR="003D2BA8" w:rsidRPr="00672DC8" w:rsidRDefault="000C0769" w:rsidP="002C112B">
      <w:pPr>
        <w:pStyle w:val="3"/>
        <w:spacing w:line="280" w:lineRule="exact"/>
        <w:jc w:val="left"/>
        <w:rPr>
          <w:rFonts w:ascii="Times New Roman" w:hAnsi="Times New Roman" w:cs="Times New Roman"/>
          <w:b/>
          <w:bCs/>
        </w:rPr>
      </w:pPr>
      <w:r w:rsidRPr="00672DC8">
        <w:rPr>
          <w:rFonts w:ascii="Times New Roman" w:hAnsi="Times New Roman" w:cs="Times New Roman"/>
          <w:b/>
          <w:bCs/>
        </w:rPr>
        <w:t> </w:t>
      </w:r>
      <w:bookmarkStart w:id="386" w:name="_Toc989248"/>
      <w:r w:rsidRPr="00672DC8">
        <w:rPr>
          <w:rFonts w:ascii="Times New Roman" w:hAnsi="Times New Roman" w:cs="Times New Roman"/>
          <w:b/>
          <w:bCs/>
        </w:rPr>
        <w:t>6</w:t>
      </w:r>
      <w:r w:rsidRPr="00672DC8">
        <w:rPr>
          <w:rFonts w:ascii="Times New Roman" w:hAnsi="Times New Roman" w:cs="Times New Roman"/>
          <w:b/>
          <w:bCs/>
        </w:rPr>
        <w:t>、其他</w:t>
      </w:r>
      <w:bookmarkEnd w:id="386"/>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387" w:name="_Toc989249"/>
      <w:r w:rsidRPr="00672DC8">
        <w:rPr>
          <w:rFonts w:ascii="Times New Roman" w:eastAsia="宋体" w:hAnsi="Times New Roman" w:cs="Times New Roman"/>
          <w:b/>
          <w:bCs/>
          <w:sz w:val="24"/>
          <w:szCs w:val="24"/>
        </w:rPr>
        <w:t>十、在其他主体中的权益</w:t>
      </w:r>
      <w:bookmarkEnd w:id="387"/>
    </w:p>
    <w:p w:rsidR="003D2BA8" w:rsidRPr="00672DC8" w:rsidRDefault="000C0769">
      <w:pPr>
        <w:pStyle w:val="3"/>
        <w:spacing w:line="280" w:lineRule="exact"/>
        <w:jc w:val="left"/>
        <w:rPr>
          <w:rFonts w:ascii="Times New Roman" w:hAnsi="Times New Roman" w:cs="Times New Roman"/>
          <w:b/>
          <w:bCs/>
        </w:rPr>
      </w:pPr>
      <w:bookmarkStart w:id="388" w:name="_Toc989250"/>
      <w:r w:rsidRPr="00672DC8">
        <w:rPr>
          <w:rFonts w:ascii="Times New Roman" w:hAnsi="Times New Roman" w:cs="Times New Roman"/>
          <w:b/>
          <w:bCs/>
        </w:rPr>
        <w:t>1</w:t>
      </w:r>
      <w:r w:rsidRPr="00672DC8">
        <w:rPr>
          <w:rFonts w:ascii="Times New Roman" w:hAnsi="Times New Roman" w:cs="Times New Roman"/>
          <w:b/>
          <w:bCs/>
        </w:rPr>
        <w:t>、在子公司中的权益</w:t>
      </w:r>
      <w:bookmarkEnd w:id="388"/>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89" w:name="_Toc989251"/>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企业集团的构成</w:t>
      </w:r>
      <w:bookmarkEnd w:id="38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184"/>
        <w:gridCol w:w="1341"/>
        <w:gridCol w:w="1184"/>
        <w:gridCol w:w="1184"/>
        <w:gridCol w:w="1184"/>
        <w:gridCol w:w="1184"/>
        <w:gridCol w:w="1185"/>
        <w:gridCol w:w="1185"/>
      </w:tblGrid>
      <w:tr w:rsidR="003D2BA8" w:rsidRPr="00672DC8" w:rsidTr="002C112B">
        <w:trPr>
          <w:trHeight w:val="240"/>
          <w:tblHeader/>
        </w:trPr>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子公司名称</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注册资本</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主要经营地</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注册地</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业务性质</w:t>
            </w:r>
          </w:p>
        </w:tc>
        <w:tc>
          <w:tcPr>
            <w:tcW w:w="1250"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持股比例</w:t>
            </w:r>
          </w:p>
        </w:tc>
        <w:tc>
          <w:tcPr>
            <w:tcW w:w="625"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取得方式</w:t>
            </w:r>
          </w:p>
        </w:tc>
      </w:tr>
      <w:tr w:rsidR="003D2BA8" w:rsidRPr="00672DC8" w:rsidTr="002C112B">
        <w:trPr>
          <w:trHeight w:val="240"/>
          <w:tblHeader/>
        </w:trPr>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直接</w:t>
            </w:r>
          </w:p>
        </w:tc>
        <w:tc>
          <w:tcPr>
            <w:tcW w:w="62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间接</w:t>
            </w:r>
          </w:p>
        </w:tc>
        <w:tc>
          <w:tcPr>
            <w:tcW w:w="625"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53,900,000.00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广东翼启数据产业有限公司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研究和试验发展</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粤科睿肯（上海）科技有限公司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桓台爱康新能源有限公司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8,208,000.00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淄博市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淄博市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桓台爱道光伏发电有限公司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9,120,000.00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淄博市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淄博市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湖南天晨新能源有限公司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冷水江市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冷水江市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广东天亿马新能源产业发展有限公司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天亿马新能源（衡阳）有限公司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5,760,000.00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深圳市亿泰新能源有限公司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67.00%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广西亿泰新能源有限公司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4,120,000.00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柳州市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柳州市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衡阳凯晶新能源有限公司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6,300,000.00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衡阳市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电力、热力生产和供应业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广东天亿马数字产业有限公司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52.94%</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广州市天亿马信息技术有限公司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深圳市天亿马信息技术有限公司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广州路创轨道科技有限公司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研究和试验发展</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天亿马（香港）信息产业有限公司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0.80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香港</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香港</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收购</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科学研究和技术服务业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北京天亿马人工智能科技有限公司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科学研究和技术服务业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广东天亿马人工智能科技有限公司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科学研究和技术服务业</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r w:rsidR="003D2BA8" w:rsidRPr="00672DC8" w:rsidTr="002C112B">
        <w:trPr>
          <w:trHeight w:val="240"/>
        </w:trPr>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汕头市</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软件和信息技术服务</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w:t>
            </w: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62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设立</w:t>
            </w:r>
          </w:p>
        </w:tc>
      </w:tr>
    </w:tbl>
    <w:p w:rsidR="000C0769" w:rsidRPr="00672DC8" w:rsidRDefault="000C0769" w:rsidP="002C112B">
      <w:pPr>
        <w:spacing w:before="100" w:after="100" w:line="240" w:lineRule="exact"/>
        <w:divId w:val="670834011"/>
        <w:rPr>
          <w:rFonts w:ascii="Times New Roman" w:eastAsia="宋体" w:hAnsi="Times New Roman" w:cs="Times New Roman"/>
          <w:sz w:val="18"/>
          <w:szCs w:val="18"/>
        </w:rPr>
      </w:pPr>
      <w:r w:rsidRPr="00672DC8">
        <w:rPr>
          <w:rFonts w:ascii="Times New Roman" w:eastAsia="宋体" w:hAnsi="Times New Roman" w:cs="Times New Roman"/>
          <w:sz w:val="18"/>
          <w:szCs w:val="18"/>
        </w:rPr>
        <w:t>在子公司的持股比例不同于表决权比例的说明：不适用。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持有半数或以下表决权但仍控制被投资单位、以及持有半数以上表决权但不控制被投资单位的依据：</w:t>
      </w:r>
    </w:p>
    <w:p w:rsidR="000C0769" w:rsidRPr="00672DC8" w:rsidRDefault="000C0769" w:rsidP="002C112B">
      <w:pPr>
        <w:pStyle w:val="a3"/>
        <w:spacing w:beforeLines="50" w:before="156" w:beforeAutospacing="0" w:afterLines="50" w:after="156" w:afterAutospacing="0"/>
        <w:ind w:firstLineChars="200" w:firstLine="360"/>
        <w:divId w:val="1282616790"/>
        <w:rPr>
          <w:rFonts w:ascii="Times New Roman" w:hAnsi="Times New Roman" w:cs="Times New Roman"/>
          <w:sz w:val="18"/>
          <w:szCs w:val="18"/>
        </w:rPr>
      </w:pPr>
      <w:r w:rsidRPr="00672DC8">
        <w:rPr>
          <w:rFonts w:hint="eastAsia"/>
          <w:sz w:val="18"/>
          <w:szCs w:val="18"/>
        </w:rPr>
        <w:t>①</w:t>
      </w:r>
      <w:r w:rsidRPr="00672DC8">
        <w:rPr>
          <w:rFonts w:ascii="Times New Roman" w:hAnsi="Times New Roman" w:cs="Times New Roman"/>
          <w:sz w:val="18"/>
          <w:szCs w:val="18"/>
        </w:rPr>
        <w:t>湖南天晨新能源有限公司：公司持有天亿马数字能源</w:t>
      </w:r>
      <w:r w:rsidRPr="00672DC8">
        <w:rPr>
          <w:rFonts w:ascii="Times New Roman" w:hAnsi="Times New Roman" w:cs="Times New Roman"/>
          <w:sz w:val="18"/>
          <w:szCs w:val="18"/>
        </w:rPr>
        <w:t>51%</w:t>
      </w:r>
      <w:r w:rsidRPr="00672DC8">
        <w:rPr>
          <w:rFonts w:ascii="Times New Roman" w:hAnsi="Times New Roman" w:cs="Times New Roman"/>
          <w:sz w:val="18"/>
          <w:szCs w:val="18"/>
        </w:rPr>
        <w:t>股权；天亿马数字能源为湖南天晨第一大股东，持股</w:t>
      </w:r>
      <w:r w:rsidRPr="00672DC8">
        <w:rPr>
          <w:rFonts w:ascii="Times New Roman" w:hAnsi="Times New Roman" w:cs="Times New Roman"/>
          <w:sz w:val="18"/>
          <w:szCs w:val="18"/>
        </w:rPr>
        <w:t>48%</w:t>
      </w:r>
      <w:r w:rsidRPr="00672DC8">
        <w:rPr>
          <w:rFonts w:ascii="Times New Roman" w:hAnsi="Times New Roman" w:cs="Times New Roman"/>
          <w:sz w:val="18"/>
          <w:szCs w:val="18"/>
        </w:rPr>
        <w:t>；天亿马数字能源副总经理李华青先生担任湖南天晨执行董事、经理、法定代表人，对其经营管理、财务方面等具有控制权。</w:t>
      </w:r>
    </w:p>
    <w:p w:rsidR="000C0769" w:rsidRPr="00672DC8" w:rsidRDefault="000C0769" w:rsidP="002C112B">
      <w:pPr>
        <w:pStyle w:val="a3"/>
        <w:spacing w:beforeLines="50" w:before="156" w:beforeAutospacing="0" w:afterLines="50" w:after="156" w:afterAutospacing="0"/>
        <w:ind w:firstLineChars="200" w:firstLine="360"/>
        <w:divId w:val="1282616790"/>
        <w:rPr>
          <w:rFonts w:ascii="Times New Roman" w:hAnsi="Times New Roman" w:cs="Times New Roman"/>
          <w:sz w:val="18"/>
          <w:szCs w:val="18"/>
        </w:rPr>
      </w:pPr>
      <w:r w:rsidRPr="00672DC8">
        <w:rPr>
          <w:rFonts w:hint="eastAsia"/>
          <w:sz w:val="18"/>
          <w:szCs w:val="18"/>
        </w:rPr>
        <w:t>②</w:t>
      </w:r>
      <w:r w:rsidRPr="00672DC8">
        <w:rPr>
          <w:rFonts w:ascii="Times New Roman" w:hAnsi="Times New Roman" w:cs="Times New Roman"/>
          <w:sz w:val="18"/>
          <w:szCs w:val="18"/>
        </w:rPr>
        <w:t>广州路创轨道科技有限公司：公司持有路创科技</w:t>
      </w:r>
      <w:r w:rsidRPr="00672DC8">
        <w:rPr>
          <w:rFonts w:ascii="Times New Roman" w:hAnsi="Times New Roman" w:cs="Times New Roman"/>
          <w:sz w:val="18"/>
          <w:szCs w:val="18"/>
        </w:rPr>
        <w:t>49%</w:t>
      </w:r>
      <w:r w:rsidRPr="00672DC8">
        <w:rPr>
          <w:rFonts w:ascii="Times New Roman" w:hAnsi="Times New Roman" w:cs="Times New Roman"/>
          <w:sz w:val="18"/>
          <w:szCs w:val="18"/>
        </w:rPr>
        <w:t>股权，为第一大股东。路创科技不设董事会，公司董事长林明玲女士任其董事，对其经营管理、财务方面等具有控制权。</w:t>
      </w:r>
    </w:p>
    <w:p w:rsidR="000C0769" w:rsidRPr="00672DC8" w:rsidRDefault="000C0769" w:rsidP="002C112B">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对于纳入合并范围的重要的结构化主体，控制的依据：不适用。</w:t>
      </w:r>
    </w:p>
    <w:p w:rsidR="000C0769" w:rsidRPr="00672DC8" w:rsidRDefault="000C0769" w:rsidP="002C112B">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确定公司是代理人还是委托人的依据：不适用。</w:t>
      </w:r>
    </w:p>
    <w:p w:rsidR="000C0769" w:rsidRPr="00672DC8" w:rsidRDefault="000C0769" w:rsidP="002C112B">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0" w:name="_Toc989252"/>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重要的非全资子公司</w:t>
      </w:r>
      <w:bookmarkEnd w:id="39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少数股东持股比例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本期归属于少数股东的损益</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本期向少数股东宣告分派的股利</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期末少数股东权益余额</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389,426.87</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10,505,316.07</w:t>
            </w:r>
          </w:p>
        </w:tc>
      </w:tr>
    </w:tbl>
    <w:p w:rsidR="000C0769" w:rsidRPr="00672DC8" w:rsidRDefault="000C0769" w:rsidP="002C112B">
      <w:pPr>
        <w:spacing w:before="100" w:after="100" w:line="240" w:lineRule="exact"/>
        <w:divId w:val="681008594"/>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子公司少数股东的持股比例不同于表决权比例的说明：不适用。</w:t>
      </w:r>
    </w:p>
    <w:p w:rsidR="000C0769" w:rsidRPr="00672DC8" w:rsidRDefault="000C0769" w:rsidP="002C112B">
      <w:pPr>
        <w:spacing w:before="100" w:after="100" w:line="240" w:lineRule="exact"/>
        <w:divId w:val="1586962578"/>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1" w:name="_Toc989253"/>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重要非全资子公司的主要财务信息</w:t>
      </w:r>
      <w:bookmarkEnd w:id="39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4"/>
        <w:gridCol w:w="741"/>
        <w:gridCol w:w="741"/>
        <w:gridCol w:w="741"/>
        <w:gridCol w:w="741"/>
        <w:gridCol w:w="741"/>
        <w:gridCol w:w="744"/>
      </w:tblGrid>
      <w:tr w:rsidR="003D2BA8" w:rsidRPr="00672DC8">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子公司名称</w:t>
            </w:r>
          </w:p>
        </w:tc>
        <w:tc>
          <w:tcPr>
            <w:tcW w:w="444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44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资产合计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负债合计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资产合计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非流动负债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负债合计</w:t>
            </w:r>
          </w:p>
        </w:tc>
      </w:tr>
      <w:tr w:rsidR="003D2BA8" w:rsidRPr="00672DC8">
        <w:trPr>
          <w:trHeight w:val="240"/>
        </w:trPr>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w:t>
            </w:r>
            <w:r w:rsidRPr="00672DC8">
              <w:rPr>
                <w:rFonts w:ascii="Times New Roman" w:eastAsia="宋体" w:hAnsi="Times New Roman" w:cs="Times New Roman"/>
                <w:sz w:val="18"/>
                <w:szCs w:val="18"/>
              </w:rPr>
              <w:lastRenderedPageBreak/>
              <w:t>字能源有限公司</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37,435,595.89</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107,183,858.66</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144,619,454.55</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48,855,640.67</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73,131,009.80</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121,986,650.47</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36,442,570.09</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182,571,440.56</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219,014,010.65</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115,494,038.02</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81,887,662.97</w:t>
            </w:r>
          </w:p>
        </w:tc>
        <w:tc>
          <w:tcPr>
            <w:tcW w:w="74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197,381,700.99</w:t>
            </w:r>
          </w:p>
        </w:tc>
      </w:tr>
    </w:tbl>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3D2BA8" w:rsidRPr="00672DC8">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子公司名称</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综合收益总额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综合收益总额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经营活动现金流量</w:t>
            </w:r>
          </w:p>
        </w:tc>
      </w:tr>
      <w:tr w:rsidR="003D2BA8" w:rsidRPr="00672DC8">
        <w:trPr>
          <w:trHeight w:val="240"/>
        </w:trPr>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81,464,949.33</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2,580,434.92</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2,580,434.92</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12,388,222.68</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8,742,873.02</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2,094,616.77</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2,094,616.77</w:t>
            </w:r>
          </w:p>
        </w:tc>
        <w:tc>
          <w:tcPr>
            <w:tcW w:w="1071"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57,795,879.99</w:t>
            </w:r>
          </w:p>
        </w:tc>
      </w:tr>
    </w:tbl>
    <w:p w:rsidR="000C0769" w:rsidRPr="00672DC8" w:rsidRDefault="000C0769" w:rsidP="002E033D">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2" w:name="_Toc989254"/>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4</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使用企业集团资产和清偿企业集团债务的重大限制</w:t>
      </w:r>
      <w:bookmarkEnd w:id="392"/>
    </w:p>
    <w:p w:rsidR="000C0769" w:rsidRPr="00672DC8" w:rsidRDefault="000C0769">
      <w:pPr>
        <w:pStyle w:val="a3"/>
        <w:divId w:val="1761947789"/>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3" w:name="_Toc989255"/>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5</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向纳入合并财务报表范围的结构化主体提供的财务支持或其他支持</w:t>
      </w:r>
      <w:bookmarkEnd w:id="393"/>
    </w:p>
    <w:p w:rsidR="000C0769" w:rsidRPr="00672DC8" w:rsidRDefault="000C0769">
      <w:pPr>
        <w:pStyle w:val="a3"/>
        <w:divId w:val="416369824"/>
        <w:rPr>
          <w:rFonts w:ascii="Times New Roman" w:hAnsi="Times New Roman" w:cs="Times New Roman"/>
          <w:sz w:val="18"/>
          <w:szCs w:val="18"/>
        </w:rPr>
      </w:pPr>
      <w:r w:rsidRPr="00672DC8">
        <w:rPr>
          <w:rFonts w:ascii="Times New Roman" w:hAnsi="Times New Roman" w:cs="Times New Roman"/>
          <w:sz w:val="18"/>
          <w:szCs w:val="18"/>
        </w:rPr>
        <w:t>不适用。</w:t>
      </w:r>
    </w:p>
    <w:p w:rsidR="000C0769" w:rsidRPr="00672DC8" w:rsidRDefault="000C0769" w:rsidP="002E033D">
      <w:pPr>
        <w:spacing w:before="100" w:after="100" w:line="240" w:lineRule="exact"/>
        <w:divId w:val="671682890"/>
        <w:rPr>
          <w:rFonts w:ascii="Times New Roman"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394" w:name="_Toc989256"/>
      <w:r w:rsidRPr="00672DC8">
        <w:rPr>
          <w:rFonts w:ascii="Times New Roman" w:hAnsi="Times New Roman" w:cs="Times New Roman"/>
          <w:b/>
          <w:bCs/>
        </w:rPr>
        <w:t>2</w:t>
      </w:r>
      <w:r w:rsidRPr="00672DC8">
        <w:rPr>
          <w:rFonts w:ascii="Times New Roman" w:hAnsi="Times New Roman" w:cs="Times New Roman"/>
          <w:b/>
          <w:bCs/>
        </w:rPr>
        <w:t>、在子公司的所有者权益份额发生变化且仍控制子公司的交易</w:t>
      </w:r>
      <w:bookmarkEnd w:id="394"/>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5" w:name="_Toc989257"/>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在子公司所有者权益份额发生变化的情况说明</w:t>
      </w:r>
      <w:bookmarkEnd w:id="395"/>
    </w:p>
    <w:p w:rsidR="000C0769" w:rsidRPr="00672DC8" w:rsidRDefault="000C0769">
      <w:pPr>
        <w:pStyle w:val="a3"/>
        <w:divId w:val="1591699801"/>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396" w:name="_Toc989258"/>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交易对于少数股东权益及归属于母公司所有者权益的影响</w:t>
      </w:r>
      <w:bookmarkEnd w:id="396"/>
    </w:p>
    <w:p w:rsidR="000C0769" w:rsidRPr="00672DC8" w:rsidRDefault="000C0769" w:rsidP="002E033D">
      <w:pPr>
        <w:pStyle w:val="a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397" w:name="_Toc989259"/>
      <w:r w:rsidRPr="00672DC8">
        <w:rPr>
          <w:rFonts w:ascii="Times New Roman" w:hAnsi="Times New Roman" w:cs="Times New Roman"/>
          <w:b/>
          <w:bCs/>
        </w:rPr>
        <w:t>3</w:t>
      </w:r>
      <w:r w:rsidRPr="00672DC8">
        <w:rPr>
          <w:rFonts w:ascii="Times New Roman" w:hAnsi="Times New Roman" w:cs="Times New Roman"/>
          <w:b/>
          <w:bCs/>
        </w:rPr>
        <w:t>、在合营企业或联营企业中的权益</w:t>
      </w:r>
      <w:bookmarkEnd w:id="397"/>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98" w:name="_Toc98926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重要的合营企业或联营企业</w:t>
      </w:r>
      <w:bookmarkEnd w:id="398"/>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合营企业或联营企业名称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主要经营地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业务性质</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持股比例</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对合营企业或联营企业投资的会计处理方法</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直接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间接</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8D297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在合营企业或联营企业的持股比例不同于表决权比例的说明：不适用。</w:t>
      </w:r>
    </w:p>
    <w:p w:rsidR="000C0769" w:rsidRPr="00672DC8" w:rsidRDefault="000C0769" w:rsidP="008D297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持有</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以下表决权但具有重大影响，或者持有</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或以上表决权但不具有重大影响的依据：不适用。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399" w:name="_Toc98926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重要合营企业的主要财务信息</w:t>
      </w:r>
      <w:bookmarkEnd w:id="399"/>
    </w:p>
    <w:p w:rsidR="000C0769" w:rsidRPr="00672DC8" w:rsidRDefault="000C0769" w:rsidP="004A7B02">
      <w:pPr>
        <w:pStyle w:val="a3"/>
        <w:divId w:val="1999845495"/>
        <w:rPr>
          <w:rFonts w:ascii="Times New Roman" w:hAnsi="Times New Roman" w:cs="Times New Roman"/>
          <w:sz w:val="18"/>
          <w:szCs w:val="18"/>
        </w:rPr>
      </w:pPr>
      <w:r w:rsidRPr="00672DC8">
        <w:rPr>
          <w:rFonts w:ascii="Times New Roman" w:hAnsi="Times New Roman" w:cs="Times New Roman"/>
          <w:sz w:val="18"/>
          <w:szCs w:val="18"/>
        </w:rPr>
        <w:t>本公司无重要合营企业。</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0" w:name="_Toc989262"/>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重要联营企业的主要财务信息</w:t>
      </w:r>
      <w:bookmarkEnd w:id="400"/>
    </w:p>
    <w:p w:rsidR="000C0769" w:rsidRPr="00672DC8" w:rsidRDefault="000C0769">
      <w:pPr>
        <w:pStyle w:val="a3"/>
        <w:divId w:val="1321737862"/>
        <w:rPr>
          <w:rFonts w:ascii="Times New Roman" w:hAnsi="Times New Roman" w:cs="Times New Roman"/>
          <w:sz w:val="18"/>
          <w:szCs w:val="18"/>
        </w:rPr>
      </w:pPr>
      <w:r w:rsidRPr="00672DC8">
        <w:rPr>
          <w:rFonts w:ascii="Times New Roman" w:hAnsi="Times New Roman" w:cs="Times New Roman"/>
          <w:sz w:val="18"/>
          <w:szCs w:val="18"/>
        </w:rPr>
        <w:t>本公司无重要联营企业。</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1" w:name="_Toc98926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不重要的合营企业和联营企业的汇总财务信息</w:t>
      </w:r>
      <w:bookmarkEnd w:id="401"/>
    </w:p>
    <w:p w:rsidR="000C0769" w:rsidRPr="00672DC8" w:rsidRDefault="000C0769">
      <w:pPr>
        <w:pStyle w:val="a3"/>
        <w:divId w:val="158926362"/>
        <w:rPr>
          <w:rFonts w:ascii="Times New Roman" w:hAnsi="Times New Roman" w:cs="Times New Roman"/>
          <w:sz w:val="18"/>
          <w:szCs w:val="18"/>
        </w:rPr>
      </w:pPr>
      <w:r w:rsidRPr="00672DC8">
        <w:rPr>
          <w:rFonts w:ascii="Times New Roman" w:hAnsi="Times New Roman" w:cs="Times New Roman"/>
          <w:sz w:val="18"/>
          <w:szCs w:val="18"/>
        </w:rPr>
        <w:t>本公司无此类主体。</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2" w:name="_Toc98926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合营企业或联营企业向本公司转移资金的能力存在重大限制的说明</w:t>
      </w:r>
      <w:bookmarkEnd w:id="402"/>
    </w:p>
    <w:p w:rsidR="000C0769" w:rsidRPr="00672DC8" w:rsidRDefault="000C0769">
      <w:pPr>
        <w:pStyle w:val="a3"/>
        <w:divId w:val="68479168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3" w:name="_Toc98926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合营企业或联营企业发生的超额亏损</w:t>
      </w:r>
      <w:bookmarkEnd w:id="403"/>
    </w:p>
    <w:p w:rsidR="000C0769" w:rsidRPr="00672DC8" w:rsidRDefault="000C0769">
      <w:pPr>
        <w:pStyle w:val="a3"/>
        <w:divId w:val="175460687"/>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4" w:name="_Toc98926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7</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与合营企业投资相关的未确认承诺</w:t>
      </w:r>
      <w:bookmarkEnd w:id="404"/>
    </w:p>
    <w:p w:rsidR="000C0769" w:rsidRPr="00672DC8" w:rsidRDefault="000C0769">
      <w:pPr>
        <w:pStyle w:val="a3"/>
        <w:divId w:val="1633516450"/>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05" w:name="_Toc989267"/>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8</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与合营企业或联营企业投资相关的或有负债</w:t>
      </w:r>
      <w:bookmarkEnd w:id="405"/>
    </w:p>
    <w:p w:rsidR="000C0769" w:rsidRPr="00672DC8" w:rsidRDefault="000C0769">
      <w:pPr>
        <w:pStyle w:val="a3"/>
        <w:divId w:val="342516579"/>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06" w:name="_Toc989268"/>
      <w:r w:rsidRPr="00672DC8">
        <w:rPr>
          <w:rFonts w:ascii="Times New Roman" w:hAnsi="Times New Roman" w:cs="Times New Roman"/>
          <w:b/>
          <w:bCs/>
        </w:rPr>
        <w:t>4</w:t>
      </w:r>
      <w:r w:rsidRPr="00672DC8">
        <w:rPr>
          <w:rFonts w:ascii="Times New Roman" w:hAnsi="Times New Roman" w:cs="Times New Roman"/>
          <w:b/>
          <w:bCs/>
        </w:rPr>
        <w:t>、重要的共同经营</w:t>
      </w:r>
      <w:bookmarkEnd w:id="406"/>
    </w:p>
    <w:p w:rsidR="000C0769" w:rsidRPr="00672DC8" w:rsidRDefault="000C0769">
      <w:pPr>
        <w:pStyle w:val="a3"/>
        <w:divId w:val="29688031"/>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07" w:name="_Toc989269"/>
      <w:r w:rsidRPr="00672DC8">
        <w:rPr>
          <w:rFonts w:ascii="Times New Roman" w:hAnsi="Times New Roman" w:cs="Times New Roman"/>
          <w:b/>
          <w:bCs/>
        </w:rPr>
        <w:t>5</w:t>
      </w:r>
      <w:r w:rsidRPr="00672DC8">
        <w:rPr>
          <w:rFonts w:ascii="Times New Roman" w:hAnsi="Times New Roman" w:cs="Times New Roman"/>
          <w:b/>
          <w:bCs/>
        </w:rPr>
        <w:t>、在未纳入合并财务报表范围的结构化主体中的权益</w:t>
      </w:r>
      <w:bookmarkEnd w:id="407"/>
    </w:p>
    <w:p w:rsidR="000C0769" w:rsidRPr="00672DC8" w:rsidRDefault="000C0769">
      <w:pPr>
        <w:pStyle w:val="a3"/>
        <w:divId w:val="1506018207"/>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08" w:name="_Toc989270"/>
      <w:r w:rsidRPr="00672DC8">
        <w:rPr>
          <w:rFonts w:ascii="Times New Roman" w:hAnsi="Times New Roman" w:cs="Times New Roman"/>
          <w:b/>
          <w:bCs/>
        </w:rPr>
        <w:t>6</w:t>
      </w:r>
      <w:r w:rsidRPr="00672DC8">
        <w:rPr>
          <w:rFonts w:ascii="Times New Roman" w:hAnsi="Times New Roman" w:cs="Times New Roman"/>
          <w:b/>
          <w:bCs/>
        </w:rPr>
        <w:t>、其他</w:t>
      </w:r>
      <w:bookmarkEnd w:id="408"/>
    </w:p>
    <w:p w:rsidR="000C0769" w:rsidRPr="00672DC8" w:rsidRDefault="000C0769">
      <w:pPr>
        <w:pStyle w:val="a3"/>
        <w:divId w:val="1864123474"/>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09" w:name="_Toc989271"/>
      <w:r w:rsidRPr="00672DC8">
        <w:rPr>
          <w:rFonts w:ascii="Times New Roman" w:eastAsia="宋体" w:hAnsi="Times New Roman" w:cs="Times New Roman"/>
          <w:b/>
          <w:bCs/>
          <w:sz w:val="24"/>
          <w:szCs w:val="24"/>
        </w:rPr>
        <w:t>十一、政府补助</w:t>
      </w:r>
      <w:bookmarkEnd w:id="409"/>
    </w:p>
    <w:p w:rsidR="003D2BA8" w:rsidRPr="00672DC8" w:rsidRDefault="000C0769">
      <w:pPr>
        <w:pStyle w:val="3"/>
        <w:spacing w:line="280" w:lineRule="exact"/>
        <w:jc w:val="left"/>
        <w:rPr>
          <w:rFonts w:ascii="Times New Roman" w:hAnsi="Times New Roman" w:cs="Times New Roman"/>
          <w:b/>
          <w:bCs/>
        </w:rPr>
      </w:pPr>
      <w:bookmarkStart w:id="410" w:name="_Toc989272"/>
      <w:r w:rsidRPr="00672DC8">
        <w:rPr>
          <w:rFonts w:ascii="Times New Roman" w:hAnsi="Times New Roman" w:cs="Times New Roman"/>
          <w:b/>
          <w:bCs/>
        </w:rPr>
        <w:t>1</w:t>
      </w:r>
      <w:r w:rsidRPr="00672DC8">
        <w:rPr>
          <w:rFonts w:ascii="Times New Roman" w:hAnsi="Times New Roman" w:cs="Times New Roman"/>
          <w:b/>
          <w:bCs/>
        </w:rPr>
        <w:t>、报告期末按应收金额确认的政府补助</w:t>
      </w:r>
      <w:bookmarkEnd w:id="41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未能在预计时点收到预计金额的政府补助的原因</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11" w:name="_Toc989273"/>
      <w:r w:rsidRPr="00672DC8">
        <w:rPr>
          <w:rFonts w:ascii="Times New Roman" w:hAnsi="Times New Roman" w:cs="Times New Roman"/>
          <w:b/>
          <w:bCs/>
        </w:rPr>
        <w:lastRenderedPageBreak/>
        <w:t>2</w:t>
      </w:r>
      <w:r w:rsidRPr="00672DC8">
        <w:rPr>
          <w:rFonts w:ascii="Times New Roman" w:hAnsi="Times New Roman" w:cs="Times New Roman"/>
          <w:b/>
          <w:bCs/>
        </w:rPr>
        <w:t>、涉及政府补助的负债项目</w:t>
      </w:r>
      <w:bookmarkEnd w:id="41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12" w:name="_Toc989274"/>
      <w:r w:rsidRPr="00672DC8">
        <w:rPr>
          <w:rFonts w:ascii="Times New Roman" w:hAnsi="Times New Roman" w:cs="Times New Roman"/>
          <w:b/>
          <w:bCs/>
        </w:rPr>
        <w:t>3</w:t>
      </w:r>
      <w:r w:rsidRPr="00672DC8">
        <w:rPr>
          <w:rFonts w:ascii="Times New Roman" w:hAnsi="Times New Roman" w:cs="Times New Roman"/>
          <w:b/>
          <w:bCs/>
        </w:rPr>
        <w:t>、计入当期损益的政府补助</w:t>
      </w:r>
      <w:bookmarkEnd w:id="412"/>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会计科目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52,150.15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7,093.45</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营业外收入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2,152.00</w:t>
            </w:r>
          </w:p>
        </w:tc>
      </w:tr>
    </w:tbl>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13" w:name="_Toc989275"/>
      <w:r w:rsidRPr="00672DC8">
        <w:rPr>
          <w:rFonts w:ascii="Times New Roman" w:eastAsia="宋体" w:hAnsi="Times New Roman" w:cs="Times New Roman"/>
          <w:b/>
          <w:bCs/>
          <w:sz w:val="24"/>
          <w:szCs w:val="24"/>
        </w:rPr>
        <w:t>十二、与金融工具相关的风险</w:t>
      </w:r>
      <w:bookmarkEnd w:id="413"/>
    </w:p>
    <w:p w:rsidR="003D2BA8" w:rsidRPr="00672DC8" w:rsidRDefault="000C0769">
      <w:pPr>
        <w:pStyle w:val="3"/>
        <w:spacing w:line="280" w:lineRule="exact"/>
        <w:jc w:val="left"/>
        <w:rPr>
          <w:rFonts w:ascii="Times New Roman" w:hAnsi="Times New Roman" w:cs="Times New Roman"/>
          <w:b/>
          <w:bCs/>
        </w:rPr>
      </w:pPr>
      <w:bookmarkStart w:id="414" w:name="_Toc989276"/>
      <w:r w:rsidRPr="00672DC8">
        <w:rPr>
          <w:rFonts w:ascii="Times New Roman" w:hAnsi="Times New Roman" w:cs="Times New Roman"/>
          <w:b/>
          <w:bCs/>
        </w:rPr>
        <w:t>1</w:t>
      </w:r>
      <w:r w:rsidRPr="00672DC8">
        <w:rPr>
          <w:rFonts w:ascii="Times New Roman" w:hAnsi="Times New Roman" w:cs="Times New Roman"/>
          <w:b/>
          <w:bCs/>
        </w:rPr>
        <w:t>、金融工具产生的各类风险</w:t>
      </w:r>
      <w:bookmarkEnd w:id="414"/>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1</w:t>
      </w:r>
      <w:r w:rsidRPr="00672DC8">
        <w:rPr>
          <w:rStyle w:val="a4"/>
          <w:rFonts w:ascii="Times New Roman" w:hAnsi="Times New Roman" w:cs="Times New Roman"/>
          <w:sz w:val="21"/>
          <w:szCs w:val="21"/>
        </w:rPr>
        <w:t>）风险管理目标和政策</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集团的主要金融工具包括股权投资、债权投资、借款、应收款项、应付账款等，各项金融工具的详细情况说明见本附注五相关项目。本集团从事风险管理的目标是在风险和收益之间取得适当的平衡，将风险对本集团经营业绩的负面影响降低到最低水平，使股东及其他权益投资者的利益最大化。基于该风险管理目标，本集团风险管理的基本策略是确定和分析本集团所面临的各种风险，建立适当的风险承受底线和进行风险管理，并及时可靠地对各种风险进行监督，将风险控制在限定的范围之内。</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2</w:t>
      </w:r>
      <w:r w:rsidRPr="00672DC8">
        <w:rPr>
          <w:rStyle w:val="a4"/>
          <w:rFonts w:ascii="Times New Roman" w:hAnsi="Times New Roman" w:cs="Times New Roman"/>
          <w:sz w:val="21"/>
          <w:szCs w:val="21"/>
        </w:rPr>
        <w:t>）信用风险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信用风险，是指金融工具的一方不能履行义务，造成另一方发生财务损失的风险。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于</w:t>
      </w:r>
      <w:r w:rsidRPr="00672DC8">
        <w:rPr>
          <w:rFonts w:ascii="Times New Roman" w:hAnsi="Times New Roman" w:cs="Times New Roman"/>
          <w:sz w:val="21"/>
          <w:szCs w:val="21"/>
        </w:rPr>
        <w:t>2026</w:t>
      </w:r>
      <w:r w:rsidRPr="00672DC8">
        <w:rPr>
          <w:rFonts w:ascii="Times New Roman" w:hAnsi="Times New Roman" w:cs="Times New Roman"/>
          <w:sz w:val="21"/>
          <w:szCs w:val="21"/>
        </w:rPr>
        <w:t>年</w:t>
      </w:r>
      <w:r w:rsidRPr="00672DC8">
        <w:rPr>
          <w:rFonts w:ascii="Times New Roman" w:hAnsi="Times New Roman" w:cs="Times New Roman"/>
          <w:sz w:val="21"/>
          <w:szCs w:val="21"/>
        </w:rPr>
        <w:t>6</w:t>
      </w:r>
      <w:r w:rsidRPr="00672DC8">
        <w:rPr>
          <w:rFonts w:ascii="Times New Roman" w:hAnsi="Times New Roman" w:cs="Times New Roman"/>
          <w:sz w:val="21"/>
          <w:szCs w:val="21"/>
        </w:rPr>
        <w:t>月</w:t>
      </w:r>
      <w:r w:rsidRPr="00672DC8">
        <w:rPr>
          <w:rFonts w:ascii="Times New Roman" w:hAnsi="Times New Roman" w:cs="Times New Roman"/>
          <w:sz w:val="21"/>
          <w:szCs w:val="21"/>
        </w:rPr>
        <w:t>30</w:t>
      </w:r>
      <w:r w:rsidRPr="00672DC8">
        <w:rPr>
          <w:rFonts w:ascii="Times New Roman" w:hAnsi="Times New Roman" w:cs="Times New Roman"/>
          <w:sz w:val="21"/>
          <w:szCs w:val="21"/>
        </w:rPr>
        <w:t>日，本集团的信用风险主要来自于本集团确认的金融资产，具体包括：</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合并资产负债表中已确认的金融资产的账面金额，最大风险敞口等于这些金融资产的账面价值。</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本节七、</w:t>
      </w:r>
      <w:r w:rsidRPr="00672DC8">
        <w:rPr>
          <w:rFonts w:ascii="Times New Roman" w:hAnsi="Times New Roman" w:cs="Times New Roman"/>
          <w:sz w:val="21"/>
          <w:szCs w:val="21"/>
        </w:rPr>
        <w:t>4“</w:t>
      </w:r>
      <w:r w:rsidRPr="00672DC8">
        <w:rPr>
          <w:rFonts w:ascii="Times New Roman" w:hAnsi="Times New Roman" w:cs="Times New Roman"/>
          <w:sz w:val="21"/>
          <w:szCs w:val="21"/>
        </w:rPr>
        <w:t>合同资产</w:t>
      </w:r>
      <w:r w:rsidRPr="00672DC8">
        <w:rPr>
          <w:rFonts w:ascii="Times New Roman" w:hAnsi="Times New Roman" w:cs="Times New Roman"/>
          <w:sz w:val="21"/>
          <w:szCs w:val="21"/>
        </w:rPr>
        <w:t>”</w:t>
      </w:r>
      <w:r w:rsidRPr="00672DC8">
        <w:rPr>
          <w:rFonts w:ascii="Times New Roman" w:hAnsi="Times New Roman" w:cs="Times New Roman"/>
          <w:sz w:val="21"/>
          <w:szCs w:val="21"/>
        </w:rPr>
        <w:t>中披露的合同资产金额。</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本集团的流动资金存放在信用评级较高的银行，故流动资金的信用风险较低。本集团与客户间的贸易条款以信用交易为主，且一般要求新客户预付款或采取货到付款方式进行。信用期通常为</w:t>
      </w:r>
      <w:r w:rsidRPr="00672DC8">
        <w:rPr>
          <w:rFonts w:ascii="Times New Roman" w:hAnsi="Times New Roman" w:cs="Times New Roman"/>
          <w:sz w:val="21"/>
          <w:szCs w:val="21"/>
        </w:rPr>
        <w:t>1</w:t>
      </w:r>
      <w:r w:rsidRPr="00672DC8">
        <w:rPr>
          <w:rFonts w:ascii="Times New Roman" w:hAnsi="Times New Roman" w:cs="Times New Roman"/>
          <w:sz w:val="21"/>
          <w:szCs w:val="21"/>
        </w:rPr>
        <w:t>个月，主要客户可以延长至</w:t>
      </w:r>
      <w:r w:rsidRPr="00672DC8">
        <w:rPr>
          <w:rFonts w:ascii="Times New Roman" w:hAnsi="Times New Roman" w:cs="Times New Roman"/>
          <w:sz w:val="21"/>
          <w:szCs w:val="21"/>
        </w:rPr>
        <w:t>6</w:t>
      </w:r>
      <w:r w:rsidRPr="00672DC8">
        <w:rPr>
          <w:rFonts w:ascii="Times New Roman" w:hAnsi="Times New Roman" w:cs="Times New Roman"/>
          <w:sz w:val="21"/>
          <w:szCs w:val="21"/>
        </w:rPr>
        <w:t>个月，交易记录良好的客户可获得比较长的信贷期。由于本集团仅与经认可的且信誉良好的第三方进行交易，所以无需担保物。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本集团评估信用风险自初始确认后是否已增加的方法、确定金融资产已发生信用减值的依据、划分组合为基础评估预期信用风险的金融工具的组合方法、直接减记金融工具的政策等，参见本节五、</w:t>
      </w:r>
      <w:r w:rsidRPr="00672DC8">
        <w:rPr>
          <w:rFonts w:ascii="Times New Roman" w:hAnsi="Times New Roman" w:cs="Times New Roman"/>
          <w:sz w:val="21"/>
          <w:szCs w:val="21"/>
        </w:rPr>
        <w:t>11</w:t>
      </w:r>
      <w:r w:rsidRPr="00672DC8">
        <w:rPr>
          <w:rFonts w:ascii="Times New Roman" w:hAnsi="Times New Roman" w:cs="Times New Roman"/>
          <w:sz w:val="21"/>
          <w:szCs w:val="21"/>
        </w:rPr>
        <w:t>。</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本集团对不同的资产分别以</w:t>
      </w:r>
      <w:r w:rsidRPr="00672DC8">
        <w:rPr>
          <w:rFonts w:ascii="Times New Roman" w:hAnsi="Times New Roman" w:cs="Times New Roman"/>
          <w:sz w:val="21"/>
          <w:szCs w:val="21"/>
        </w:rPr>
        <w:t>12</w:t>
      </w:r>
      <w:r w:rsidRPr="00672DC8">
        <w:rPr>
          <w:rFonts w:ascii="Times New Roman" w:hAnsi="Times New Roman" w:cs="Times New Roman"/>
          <w:sz w:val="21"/>
          <w:szCs w:val="21"/>
        </w:rPr>
        <w:t>个月或整个存续期的预期信用损失计量减值准备。预期信用损失计量的关键参数包括违约概率、违约损失率和违约风险敞口。本集团考虑历史统计数据</w:t>
      </w:r>
      <w:r w:rsidRPr="00672DC8">
        <w:rPr>
          <w:rFonts w:ascii="Times New Roman" w:hAnsi="Times New Roman" w:cs="Times New Roman"/>
          <w:sz w:val="21"/>
          <w:szCs w:val="21"/>
        </w:rPr>
        <w:t>(</w:t>
      </w:r>
      <w:r w:rsidRPr="00672DC8">
        <w:rPr>
          <w:rFonts w:ascii="Times New Roman" w:hAnsi="Times New Roman" w:cs="Times New Roman"/>
          <w:sz w:val="21"/>
          <w:szCs w:val="21"/>
        </w:rPr>
        <w:t>如交易对手评级、担</w:t>
      </w:r>
      <w:r w:rsidRPr="00672DC8">
        <w:rPr>
          <w:rFonts w:ascii="Times New Roman" w:hAnsi="Times New Roman" w:cs="Times New Roman"/>
          <w:sz w:val="21"/>
          <w:szCs w:val="21"/>
        </w:rPr>
        <w:lastRenderedPageBreak/>
        <w:t>保方式及抵质押物类别、还款方式等</w:t>
      </w:r>
      <w:r w:rsidRPr="00672DC8">
        <w:rPr>
          <w:rFonts w:ascii="Times New Roman" w:hAnsi="Times New Roman" w:cs="Times New Roman"/>
          <w:sz w:val="21"/>
          <w:szCs w:val="21"/>
        </w:rPr>
        <w:t>)</w:t>
      </w:r>
      <w:r w:rsidRPr="00672DC8">
        <w:rPr>
          <w:rFonts w:ascii="Times New Roman" w:hAnsi="Times New Roman" w:cs="Times New Roman"/>
          <w:sz w:val="21"/>
          <w:szCs w:val="21"/>
        </w:rPr>
        <w:t>的定量分析及前瞻性信息，建立违约概率、违约损失率及违约风险敞口模型。</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信用风险显著增加的评估及预期信用损失的计算均涉及前瞻性信息。本集团通过进行历史数据分析，识别出影响各业务类型信用风险及预期信用损失的关键经济指标。</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本集团因应收账款、其他应收款和合同资产产生的信用风险敞口、损失准备的量化数据，参见七、</w:t>
      </w:r>
      <w:r w:rsidRPr="00672DC8">
        <w:rPr>
          <w:rFonts w:ascii="Times New Roman" w:hAnsi="Times New Roman" w:cs="Times New Roman"/>
          <w:sz w:val="21"/>
          <w:szCs w:val="21"/>
        </w:rPr>
        <w:t>3</w:t>
      </w:r>
      <w:r w:rsidRPr="00672DC8">
        <w:rPr>
          <w:rFonts w:ascii="Times New Roman" w:hAnsi="Times New Roman" w:cs="Times New Roman"/>
          <w:sz w:val="21"/>
          <w:szCs w:val="21"/>
        </w:rPr>
        <w:t>、</w:t>
      </w:r>
      <w:r w:rsidRPr="00672DC8">
        <w:rPr>
          <w:rFonts w:ascii="Times New Roman" w:hAnsi="Times New Roman" w:cs="Times New Roman"/>
          <w:sz w:val="21"/>
          <w:szCs w:val="21"/>
        </w:rPr>
        <w:t>5</w:t>
      </w:r>
      <w:r w:rsidRPr="00672DC8">
        <w:rPr>
          <w:rFonts w:ascii="Times New Roman" w:hAnsi="Times New Roman" w:cs="Times New Roman"/>
          <w:sz w:val="21"/>
          <w:szCs w:val="21"/>
        </w:rPr>
        <w:t>、</w:t>
      </w:r>
      <w:r w:rsidRPr="00672DC8">
        <w:rPr>
          <w:rFonts w:ascii="Times New Roman" w:hAnsi="Times New Roman" w:cs="Times New Roman"/>
          <w:sz w:val="21"/>
          <w:szCs w:val="21"/>
        </w:rPr>
        <w:t>4</w:t>
      </w:r>
      <w:r w:rsidRPr="00672DC8">
        <w:rPr>
          <w:rFonts w:ascii="Times New Roman" w:hAnsi="Times New Roman" w:cs="Times New Roman"/>
          <w:sz w:val="21"/>
          <w:szCs w:val="21"/>
        </w:rPr>
        <w:t>的披露。</w:t>
      </w:r>
    </w:p>
    <w:p w:rsidR="000C0769" w:rsidRPr="00672DC8" w:rsidRDefault="000C0769">
      <w:pPr>
        <w:pStyle w:val="a3"/>
        <w:spacing w:before="120" w:beforeAutospacing="0" w:after="0" w:afterAutospacing="0" w:line="360" w:lineRule="auto"/>
        <w:ind w:firstLine="420"/>
        <w:jc w:val="both"/>
        <w:divId w:val="151680730"/>
        <w:rPr>
          <w:rFonts w:ascii="Times New Roman" w:hAnsi="Times New Roman" w:cs="Times New Roman"/>
          <w:sz w:val="21"/>
          <w:szCs w:val="21"/>
        </w:rPr>
      </w:pP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3</w:t>
      </w:r>
      <w:r w:rsidRPr="00672DC8">
        <w:rPr>
          <w:rStyle w:val="a4"/>
          <w:rFonts w:ascii="Times New Roman" w:hAnsi="Times New Roman" w:cs="Times New Roman"/>
          <w:sz w:val="21"/>
          <w:szCs w:val="21"/>
        </w:rPr>
        <w:t>）流动风险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流动性风险，是指企业在履行以交付现金或其他金融资产的方式结算的义务时发生资金短缺的风险。本公司通过利用银行贷款及债务维持资金延续性与灵活性之间的平衡，以管理其流动性风险。本公司的目标是运用银行借款、债券和其他计息借款等多种融资手段以保持融资的持续性与灵活性的平衡。</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截至报告期末，本公司无对外承担其他保证责任的事项。</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Style w:val="a4"/>
          <w:rFonts w:ascii="Times New Roman" w:hAnsi="Times New Roman" w:cs="Times New Roman"/>
          <w:sz w:val="21"/>
          <w:szCs w:val="21"/>
        </w:rPr>
        <w:t>（</w:t>
      </w:r>
      <w:r w:rsidRPr="00672DC8">
        <w:rPr>
          <w:rStyle w:val="a4"/>
          <w:rFonts w:ascii="Times New Roman" w:hAnsi="Times New Roman" w:cs="Times New Roman"/>
          <w:sz w:val="21"/>
          <w:szCs w:val="21"/>
        </w:rPr>
        <w:t>4</w:t>
      </w:r>
      <w:r w:rsidRPr="00672DC8">
        <w:rPr>
          <w:rStyle w:val="a4"/>
          <w:rFonts w:ascii="Times New Roman" w:hAnsi="Times New Roman" w:cs="Times New Roman"/>
          <w:sz w:val="21"/>
          <w:szCs w:val="21"/>
        </w:rPr>
        <w:t>）市场风险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市场风险，是指金融工具的公允价值或未来现金流量因市场价格变动而发生波动的风险，包括汇率风险、利率风险和其他价格风险。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A</w:t>
      </w:r>
      <w:r w:rsidRPr="00672DC8">
        <w:rPr>
          <w:rFonts w:ascii="Times New Roman" w:hAnsi="Times New Roman" w:cs="Times New Roman"/>
          <w:sz w:val="21"/>
          <w:szCs w:val="21"/>
        </w:rPr>
        <w:t>、汇率风险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汇率风险，是指金融工具的公允价值或未来现金流量因外汇汇率变动而发生波动的风险。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B</w:t>
      </w:r>
      <w:r w:rsidRPr="00672DC8">
        <w:rPr>
          <w:rFonts w:ascii="Times New Roman" w:hAnsi="Times New Roman" w:cs="Times New Roman"/>
          <w:sz w:val="21"/>
          <w:szCs w:val="21"/>
        </w:rPr>
        <w:t>、利率风险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利率风险，是指金融工具的公允价值或未来现金流量因市场利率变动而发生波动的风险。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本公司的利率风险产生于银行借款及应付债券等带息债务。浮动利率的金融负债使本公司面临现金流量利率风险，固定利率的金融负债使本公司面临公允价值利率风险。本公司根据当时的市场环境来决定固定利率及浮动利率合同的相对比例。</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C</w:t>
      </w:r>
      <w:r w:rsidRPr="00672DC8">
        <w:rPr>
          <w:rFonts w:ascii="Times New Roman" w:hAnsi="Times New Roman" w:cs="Times New Roman"/>
          <w:sz w:val="21"/>
          <w:szCs w:val="21"/>
        </w:rPr>
        <w:t>、其他价格风险</w:t>
      </w:r>
    </w:p>
    <w:p w:rsidR="000C0769" w:rsidRPr="00672DC8" w:rsidRDefault="000C0769">
      <w:pPr>
        <w:pStyle w:val="a3"/>
        <w:spacing w:before="0" w:beforeAutospacing="0" w:after="0" w:afterAutospacing="0" w:line="360" w:lineRule="auto"/>
        <w:ind w:firstLine="420"/>
        <w:jc w:val="both"/>
        <w:divId w:val="151680730"/>
        <w:rPr>
          <w:rFonts w:ascii="Times New Roman" w:hAnsi="Times New Roman" w:cs="Times New Roman"/>
          <w:sz w:val="21"/>
          <w:szCs w:val="21"/>
        </w:rPr>
      </w:pPr>
      <w:r w:rsidRPr="00672DC8">
        <w:rPr>
          <w:rFonts w:ascii="Times New Roman" w:hAnsi="Times New Roman" w:cs="Times New Roman"/>
          <w:sz w:val="21"/>
          <w:szCs w:val="21"/>
        </w:rPr>
        <w:t>其他价格风险，是指汇率风险和利率风险以外的市场价格变动而发生波动的风险，无论这些变动是由于与单项金融工具或其发行方有关的因素而引起的，还是由于与市场内交易的所有类似金融工具有关的因素而引起的。</w:t>
      </w:r>
    </w:p>
    <w:p w:rsidR="003D2BA8" w:rsidRPr="00672DC8" w:rsidRDefault="000C0769">
      <w:pPr>
        <w:pStyle w:val="3"/>
        <w:spacing w:line="280" w:lineRule="exact"/>
        <w:jc w:val="left"/>
        <w:rPr>
          <w:rFonts w:ascii="Times New Roman" w:hAnsi="Times New Roman" w:cs="Times New Roman"/>
          <w:b/>
          <w:bCs/>
        </w:rPr>
      </w:pPr>
      <w:bookmarkStart w:id="415" w:name="_Toc989277"/>
      <w:r w:rsidRPr="00672DC8">
        <w:rPr>
          <w:rFonts w:ascii="Times New Roman" w:hAnsi="Times New Roman" w:cs="Times New Roman"/>
          <w:b/>
          <w:bCs/>
        </w:rPr>
        <w:t>2</w:t>
      </w:r>
      <w:r w:rsidRPr="00672DC8">
        <w:rPr>
          <w:rFonts w:ascii="Times New Roman" w:hAnsi="Times New Roman" w:cs="Times New Roman"/>
          <w:b/>
          <w:bCs/>
        </w:rPr>
        <w:t>、套期</w:t>
      </w:r>
      <w:bookmarkEnd w:id="415"/>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16" w:name="_Toc989278"/>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公司开展套期业务进行风险管理</w:t>
      </w:r>
      <w:bookmarkEnd w:id="41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17" w:name="_Toc989279"/>
      <w:r w:rsidRPr="00672DC8">
        <w:rPr>
          <w:rFonts w:ascii="Times New Roman" w:eastAsia="宋体" w:hAnsi="Times New Roman" w:cs="Times New Roman"/>
          <w:b/>
          <w:bCs/>
          <w:sz w:val="18"/>
          <w:szCs w:val="18"/>
        </w:rPr>
        <w:lastRenderedPageBreak/>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公司开展符合条件套期业务并应用套期会计</w:t>
      </w:r>
      <w:bookmarkEnd w:id="417"/>
    </w:p>
    <w:p w:rsidR="000C0769" w:rsidRPr="00672DC8" w:rsidRDefault="000C0769">
      <w:pPr>
        <w:pStyle w:val="a3"/>
        <w:divId w:val="936055864"/>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18" w:name="_Toc989280"/>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公司开展套期业务进行风险管理、预期能实现风险管理目标但未应用套期会计</w:t>
      </w:r>
      <w:bookmarkEnd w:id="418"/>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19" w:name="_Toc989281"/>
      <w:r w:rsidRPr="00672DC8">
        <w:rPr>
          <w:rFonts w:ascii="Times New Roman" w:hAnsi="Times New Roman" w:cs="Times New Roman"/>
          <w:b/>
          <w:bCs/>
        </w:rPr>
        <w:t>3</w:t>
      </w:r>
      <w:r w:rsidRPr="00672DC8">
        <w:rPr>
          <w:rFonts w:ascii="Times New Roman" w:hAnsi="Times New Roman" w:cs="Times New Roman"/>
          <w:b/>
          <w:bCs/>
        </w:rPr>
        <w:t>、金融资产</w:t>
      </w:r>
      <w:bookmarkEnd w:id="419"/>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20" w:name="_Toc98928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转移方式分类</w:t>
      </w:r>
      <w:bookmarkEnd w:id="420"/>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21" w:name="_Toc98928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因转移而终止确认的金融资产</w:t>
      </w:r>
      <w:bookmarkEnd w:id="42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22" w:name="_Toc98928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继续涉入的资产转移金融资产</w:t>
      </w:r>
      <w:bookmarkEnd w:id="422"/>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23" w:name="_Toc989285"/>
      <w:r w:rsidRPr="00672DC8">
        <w:rPr>
          <w:rFonts w:ascii="Times New Roman" w:eastAsia="宋体" w:hAnsi="Times New Roman" w:cs="Times New Roman"/>
          <w:b/>
          <w:bCs/>
          <w:sz w:val="24"/>
          <w:szCs w:val="24"/>
        </w:rPr>
        <w:t>十三、公允价值的披露</w:t>
      </w:r>
      <w:bookmarkEnd w:id="423"/>
    </w:p>
    <w:p w:rsidR="003D2BA8" w:rsidRPr="00672DC8" w:rsidRDefault="000C0769">
      <w:pPr>
        <w:pStyle w:val="3"/>
        <w:spacing w:line="280" w:lineRule="exact"/>
        <w:jc w:val="left"/>
        <w:rPr>
          <w:rFonts w:ascii="Times New Roman" w:hAnsi="Times New Roman" w:cs="Times New Roman"/>
          <w:b/>
          <w:bCs/>
        </w:rPr>
      </w:pPr>
      <w:bookmarkStart w:id="424" w:name="_Toc989286"/>
      <w:r w:rsidRPr="00672DC8">
        <w:rPr>
          <w:rFonts w:ascii="Times New Roman" w:hAnsi="Times New Roman" w:cs="Times New Roman"/>
          <w:b/>
          <w:bCs/>
        </w:rPr>
        <w:t>1</w:t>
      </w:r>
      <w:r w:rsidRPr="00672DC8">
        <w:rPr>
          <w:rFonts w:ascii="Times New Roman" w:hAnsi="Times New Roman" w:cs="Times New Roman"/>
          <w:b/>
          <w:bCs/>
        </w:rPr>
        <w:t>、以公允价值计量的资产和负债的期末公允价值</w:t>
      </w:r>
      <w:bookmarkEnd w:id="424"/>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rsidTr="00CE6D05">
        <w:trPr>
          <w:trHeight w:val="240"/>
          <w:tblHeader/>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7711"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期末公允价值</w:t>
            </w:r>
          </w:p>
        </w:tc>
      </w:tr>
      <w:tr w:rsidR="003D2BA8" w:rsidRPr="00672DC8" w:rsidTr="00CE6D05">
        <w:trPr>
          <w:trHeight w:val="240"/>
          <w:tblHeader/>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第一层次公允价值计量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第二层次公允价值计量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第三层次公允价值计量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一、持续的公允价值计量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二、非持续的公允价值计量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非持续以公允价值计量的资产总额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（一）其他权益工具投资</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4,083,400.00</w:t>
            </w:r>
          </w:p>
        </w:tc>
      </w:tr>
    </w:tbl>
    <w:p w:rsidR="003D2BA8" w:rsidRPr="00672DC8" w:rsidRDefault="000C0769">
      <w:pPr>
        <w:pStyle w:val="3"/>
        <w:spacing w:line="280" w:lineRule="exact"/>
        <w:jc w:val="left"/>
        <w:rPr>
          <w:rFonts w:ascii="Times New Roman" w:hAnsi="Times New Roman" w:cs="Times New Roman"/>
          <w:b/>
          <w:bCs/>
        </w:rPr>
      </w:pPr>
      <w:bookmarkStart w:id="425" w:name="_Toc989287"/>
      <w:r w:rsidRPr="00672DC8">
        <w:rPr>
          <w:rFonts w:ascii="Times New Roman" w:hAnsi="Times New Roman" w:cs="Times New Roman"/>
          <w:b/>
          <w:bCs/>
        </w:rPr>
        <w:t>2</w:t>
      </w:r>
      <w:r w:rsidRPr="00672DC8">
        <w:rPr>
          <w:rFonts w:ascii="Times New Roman" w:hAnsi="Times New Roman" w:cs="Times New Roman"/>
          <w:b/>
          <w:bCs/>
        </w:rPr>
        <w:t>、持续和非持续第一层次公允价值计量项目市价的确定依据</w:t>
      </w:r>
      <w:bookmarkEnd w:id="425"/>
    </w:p>
    <w:p w:rsidR="000C0769" w:rsidRPr="00672DC8" w:rsidRDefault="000C0769">
      <w:pPr>
        <w:pStyle w:val="a3"/>
        <w:divId w:val="126553077"/>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26" w:name="_Toc989288"/>
      <w:r w:rsidRPr="00672DC8">
        <w:rPr>
          <w:rFonts w:ascii="Times New Roman" w:hAnsi="Times New Roman" w:cs="Times New Roman"/>
          <w:b/>
          <w:bCs/>
        </w:rPr>
        <w:t>3</w:t>
      </w:r>
      <w:r w:rsidRPr="00672DC8">
        <w:rPr>
          <w:rFonts w:ascii="Times New Roman" w:hAnsi="Times New Roman" w:cs="Times New Roman"/>
          <w:b/>
          <w:bCs/>
        </w:rPr>
        <w:t>、持续和非持续第二层次公允价值计量项目，采用的估值技术和重要参数的定性及定量信息</w:t>
      </w:r>
      <w:bookmarkEnd w:id="426"/>
    </w:p>
    <w:p w:rsidR="000C0769" w:rsidRPr="00672DC8" w:rsidRDefault="000C0769">
      <w:pPr>
        <w:pStyle w:val="a3"/>
        <w:divId w:val="110226551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27" w:name="_Toc989289"/>
      <w:r w:rsidRPr="00672DC8">
        <w:rPr>
          <w:rFonts w:ascii="Times New Roman" w:hAnsi="Times New Roman" w:cs="Times New Roman"/>
          <w:b/>
          <w:bCs/>
        </w:rPr>
        <w:lastRenderedPageBreak/>
        <w:t>4</w:t>
      </w:r>
      <w:r w:rsidRPr="00672DC8">
        <w:rPr>
          <w:rFonts w:ascii="Times New Roman" w:hAnsi="Times New Roman" w:cs="Times New Roman"/>
          <w:b/>
          <w:bCs/>
        </w:rPr>
        <w:t>、持续和非持续第三层次公允价值计量项目，采用的估值技术和重要参数的定性及定量信息</w:t>
      </w:r>
      <w:bookmarkEnd w:id="427"/>
    </w:p>
    <w:p w:rsidR="000C0769" w:rsidRPr="00672DC8" w:rsidRDefault="000C0769">
      <w:pPr>
        <w:pStyle w:val="a3"/>
        <w:divId w:val="422843678"/>
        <w:rPr>
          <w:rFonts w:ascii="Times New Roman" w:hAnsi="Times New Roman" w:cs="Times New Roman"/>
          <w:sz w:val="18"/>
          <w:szCs w:val="18"/>
        </w:rPr>
      </w:pPr>
      <w:r w:rsidRPr="00672DC8">
        <w:rPr>
          <w:rStyle w:val="a4"/>
          <w:rFonts w:ascii="Times New Roman" w:hAnsi="Times New Roman" w:cs="Times New Roman"/>
          <w:sz w:val="18"/>
          <w:szCs w:val="18"/>
        </w:rPr>
        <w:t xml:space="preserve">4.1 </w:t>
      </w:r>
      <w:r w:rsidRPr="00672DC8">
        <w:rPr>
          <w:rStyle w:val="a4"/>
          <w:rFonts w:ascii="Times New Roman" w:hAnsi="Times New Roman" w:cs="Times New Roman"/>
          <w:sz w:val="18"/>
          <w:szCs w:val="18"/>
        </w:rPr>
        <w:t>估值技术和输入值</w:t>
      </w:r>
      <w:r w:rsidRPr="00672DC8">
        <w:rPr>
          <w:rStyle w:val="a4"/>
          <w:rFonts w:ascii="Times New Roman" w:hAnsi="Times New Roman" w:cs="Times New Roman"/>
          <w:sz w:val="18"/>
          <w:szCs w:val="18"/>
        </w:rPr>
        <w:t xml:space="preserve"> </w:t>
      </w:r>
    </w:p>
    <w:tbl>
      <w:tblPr>
        <w:tblStyle w:val="aa"/>
        <w:tblW w:w="4857" w:type="pct"/>
        <w:tblLayout w:type="fixed"/>
        <w:tblLook w:val="04A0" w:firstRow="1" w:lastRow="0" w:firstColumn="1" w:lastColumn="0" w:noHBand="0" w:noVBand="1"/>
      </w:tblPr>
      <w:tblGrid>
        <w:gridCol w:w="2690"/>
        <w:gridCol w:w="1678"/>
        <w:gridCol w:w="939"/>
        <w:gridCol w:w="1842"/>
        <w:gridCol w:w="2203"/>
      </w:tblGrid>
      <w:tr w:rsidR="000C0769" w:rsidRPr="00672DC8" w:rsidTr="002D0D53">
        <w:trPr>
          <w:divId w:val="422843678"/>
          <w:trHeight w:val="300"/>
        </w:trPr>
        <w:tc>
          <w:tcPr>
            <w:tcW w:w="1438" w:type="pct"/>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项目</w:t>
            </w:r>
          </w:p>
        </w:tc>
        <w:tc>
          <w:tcPr>
            <w:tcW w:w="897" w:type="pct"/>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期末公允价值（元）</w:t>
            </w:r>
          </w:p>
        </w:tc>
        <w:tc>
          <w:tcPr>
            <w:tcW w:w="502" w:type="pct"/>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估值技术</w:t>
            </w:r>
          </w:p>
        </w:tc>
        <w:tc>
          <w:tcPr>
            <w:tcW w:w="985" w:type="pct"/>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重要不可观察输入值</w:t>
            </w:r>
          </w:p>
        </w:tc>
        <w:tc>
          <w:tcPr>
            <w:tcW w:w="1178" w:type="pct"/>
            <w:noWrap/>
            <w:hideMark/>
          </w:tcPr>
          <w:p w:rsidR="000C0769" w:rsidRPr="00672DC8" w:rsidRDefault="000C0769">
            <w:pPr>
              <w:jc w:val="center"/>
              <w:rPr>
                <w:rFonts w:ascii="Times New Roman" w:eastAsia="宋体" w:hAnsi="Times New Roman" w:cs="Times New Roman"/>
                <w:b/>
                <w:bCs/>
                <w:color w:val="000000"/>
                <w:sz w:val="18"/>
                <w:szCs w:val="18"/>
              </w:rPr>
            </w:pPr>
            <w:r w:rsidRPr="00672DC8">
              <w:rPr>
                <w:rFonts w:ascii="Times New Roman" w:eastAsia="宋体" w:hAnsi="Times New Roman" w:cs="Times New Roman"/>
                <w:b/>
                <w:bCs/>
                <w:color w:val="000000"/>
                <w:sz w:val="18"/>
                <w:szCs w:val="18"/>
              </w:rPr>
              <w:t>范围区间（加权平均值）</w:t>
            </w:r>
          </w:p>
        </w:tc>
      </w:tr>
      <w:tr w:rsidR="000C0769" w:rsidRPr="00672DC8" w:rsidTr="00CC22C2">
        <w:trPr>
          <w:divId w:val="422843678"/>
          <w:trHeight w:val="684"/>
        </w:trPr>
        <w:tc>
          <w:tcPr>
            <w:tcW w:w="1438" w:type="pct"/>
            <w:vAlign w:val="center"/>
            <w:hideMark/>
          </w:tcPr>
          <w:p w:rsidR="000C0769" w:rsidRPr="00672DC8" w:rsidRDefault="000C0769" w:rsidP="00CC22C2">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指定为以公允价值计量且其变动计入其他综合收益的金融资产</w:t>
            </w:r>
            <w:r w:rsidRPr="00672DC8">
              <w:rPr>
                <w:rFonts w:ascii="Times New Roman" w:eastAsia="宋体" w:hAnsi="Times New Roman" w:cs="Times New Roman"/>
                <w:color w:val="000000"/>
                <w:sz w:val="18"/>
                <w:szCs w:val="18"/>
              </w:rPr>
              <w:t>——</w:t>
            </w:r>
            <w:r w:rsidRPr="00672DC8">
              <w:rPr>
                <w:rFonts w:ascii="Times New Roman" w:eastAsia="宋体" w:hAnsi="Times New Roman" w:cs="Times New Roman"/>
                <w:color w:val="000000"/>
                <w:sz w:val="18"/>
                <w:szCs w:val="18"/>
              </w:rPr>
              <w:t>其他权益工具投资</w:t>
            </w:r>
          </w:p>
        </w:tc>
        <w:tc>
          <w:tcPr>
            <w:tcW w:w="897" w:type="pct"/>
            <w:noWrap/>
            <w:vAlign w:val="center"/>
            <w:hideMark/>
          </w:tcPr>
          <w:p w:rsidR="000C0769" w:rsidRPr="00672DC8" w:rsidRDefault="000C0769" w:rsidP="00CC22C2">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4,083,400.00</w:t>
            </w:r>
          </w:p>
        </w:tc>
        <w:tc>
          <w:tcPr>
            <w:tcW w:w="502" w:type="pct"/>
            <w:noWrap/>
            <w:vAlign w:val="center"/>
            <w:hideMark/>
          </w:tcPr>
          <w:p w:rsidR="000C0769" w:rsidRPr="00672DC8" w:rsidRDefault="000C0769" w:rsidP="00CC22C2">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收益法</w:t>
            </w:r>
          </w:p>
        </w:tc>
        <w:tc>
          <w:tcPr>
            <w:tcW w:w="985" w:type="pct"/>
            <w:noWrap/>
            <w:vAlign w:val="center"/>
            <w:hideMark/>
          </w:tcPr>
          <w:p w:rsidR="000C0769" w:rsidRPr="00672DC8" w:rsidRDefault="000C0769" w:rsidP="00CC22C2">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预计未来年度现金流</w:t>
            </w:r>
          </w:p>
        </w:tc>
        <w:tc>
          <w:tcPr>
            <w:tcW w:w="1178" w:type="pct"/>
            <w:noWrap/>
            <w:vAlign w:val="center"/>
            <w:hideMark/>
          </w:tcPr>
          <w:p w:rsidR="000C0769" w:rsidRPr="00672DC8" w:rsidRDefault="000C0769" w:rsidP="00CC22C2">
            <w:pPr>
              <w:jc w:val="center"/>
              <w:rPr>
                <w:rFonts w:ascii="Times New Roman" w:eastAsia="宋体" w:hAnsi="Times New Roman" w:cs="Times New Roman"/>
                <w:color w:val="000000"/>
                <w:sz w:val="18"/>
                <w:szCs w:val="18"/>
              </w:rPr>
            </w:pPr>
            <w:r w:rsidRPr="00672DC8">
              <w:rPr>
                <w:rFonts w:ascii="Times New Roman" w:eastAsia="宋体" w:hAnsi="Times New Roman" w:cs="Times New Roman"/>
                <w:color w:val="000000"/>
                <w:sz w:val="18"/>
                <w:szCs w:val="18"/>
              </w:rPr>
              <w:t>税前折现率</w:t>
            </w:r>
            <w:r w:rsidRPr="00672DC8">
              <w:rPr>
                <w:rFonts w:ascii="Times New Roman" w:eastAsia="宋体" w:hAnsi="Times New Roman" w:cs="Times New Roman"/>
                <w:color w:val="000000"/>
                <w:sz w:val="18"/>
                <w:szCs w:val="18"/>
              </w:rPr>
              <w:t>13.37%</w:t>
            </w:r>
          </w:p>
        </w:tc>
      </w:tr>
    </w:tbl>
    <w:p w:rsidR="003D2BA8" w:rsidRPr="00672DC8" w:rsidRDefault="000C0769" w:rsidP="002D0D53">
      <w:pPr>
        <w:pStyle w:val="a3"/>
        <w:rPr>
          <w:rFonts w:ascii="Times New Roman" w:hAnsi="Times New Roman" w:cs="Times New Roman"/>
          <w:b/>
          <w:bCs/>
        </w:rPr>
      </w:pPr>
      <w:r w:rsidRPr="00672DC8">
        <w:rPr>
          <w:rFonts w:ascii="Times New Roman" w:hAnsi="Times New Roman" w:cs="Times New Roman"/>
          <w:sz w:val="18"/>
          <w:szCs w:val="18"/>
        </w:rPr>
        <w:t> </w:t>
      </w:r>
      <w:bookmarkStart w:id="428" w:name="_Toc989290"/>
      <w:r w:rsidRPr="00672DC8">
        <w:rPr>
          <w:rFonts w:ascii="Times New Roman" w:hAnsi="Times New Roman" w:cs="Times New Roman"/>
          <w:b/>
          <w:bCs/>
        </w:rPr>
        <w:t>5</w:t>
      </w:r>
      <w:r w:rsidRPr="00672DC8">
        <w:rPr>
          <w:rFonts w:ascii="Times New Roman" w:hAnsi="Times New Roman" w:cs="Times New Roman"/>
          <w:b/>
          <w:bCs/>
        </w:rPr>
        <w:t>、持续的第三层次公允价值计量项目，期初与期末账面价值间的调节信息及不可观察参数敏感性分析</w:t>
      </w:r>
      <w:bookmarkEnd w:id="428"/>
    </w:p>
    <w:p w:rsidR="000C0769" w:rsidRPr="00672DC8" w:rsidRDefault="000C0769">
      <w:pPr>
        <w:pStyle w:val="a3"/>
        <w:divId w:val="75158175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29" w:name="_Toc989291"/>
      <w:r w:rsidRPr="00672DC8">
        <w:rPr>
          <w:rFonts w:ascii="Times New Roman" w:hAnsi="Times New Roman" w:cs="Times New Roman"/>
          <w:b/>
          <w:bCs/>
        </w:rPr>
        <w:t>6</w:t>
      </w:r>
      <w:r w:rsidRPr="00672DC8">
        <w:rPr>
          <w:rFonts w:ascii="Times New Roman" w:hAnsi="Times New Roman" w:cs="Times New Roman"/>
          <w:b/>
          <w:bCs/>
        </w:rPr>
        <w:t>、持续的公允价值计量项目，本期内发生各层级之间转换的，转换的原因及确定转换时点的政策</w:t>
      </w:r>
      <w:bookmarkEnd w:id="429"/>
    </w:p>
    <w:p w:rsidR="000C0769" w:rsidRPr="00672DC8" w:rsidRDefault="000C0769">
      <w:pPr>
        <w:pStyle w:val="a3"/>
        <w:divId w:val="1177572607"/>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30" w:name="_Toc989292"/>
      <w:r w:rsidRPr="00672DC8">
        <w:rPr>
          <w:rFonts w:ascii="Times New Roman" w:hAnsi="Times New Roman" w:cs="Times New Roman"/>
          <w:b/>
          <w:bCs/>
        </w:rPr>
        <w:t>7</w:t>
      </w:r>
      <w:r w:rsidRPr="00672DC8">
        <w:rPr>
          <w:rFonts w:ascii="Times New Roman" w:hAnsi="Times New Roman" w:cs="Times New Roman"/>
          <w:b/>
          <w:bCs/>
        </w:rPr>
        <w:t>、本期内发生的估值技术变更及变更原因</w:t>
      </w:r>
      <w:bookmarkEnd w:id="430"/>
    </w:p>
    <w:p w:rsidR="000C0769" w:rsidRPr="00672DC8" w:rsidRDefault="000C0769">
      <w:pPr>
        <w:pStyle w:val="a3"/>
        <w:divId w:val="181949659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31" w:name="_Toc989293"/>
      <w:r w:rsidRPr="00672DC8">
        <w:rPr>
          <w:rFonts w:ascii="Times New Roman" w:hAnsi="Times New Roman" w:cs="Times New Roman"/>
          <w:b/>
          <w:bCs/>
        </w:rPr>
        <w:t>8</w:t>
      </w:r>
      <w:r w:rsidRPr="00672DC8">
        <w:rPr>
          <w:rFonts w:ascii="Times New Roman" w:hAnsi="Times New Roman" w:cs="Times New Roman"/>
          <w:b/>
          <w:bCs/>
        </w:rPr>
        <w:t>、不以公允价值计量的金融资产和金融负债的公允价值情况</w:t>
      </w:r>
      <w:bookmarkEnd w:id="431"/>
    </w:p>
    <w:p w:rsidR="000C0769" w:rsidRPr="00672DC8" w:rsidRDefault="000C0769">
      <w:pPr>
        <w:pStyle w:val="a3"/>
        <w:divId w:val="1842116308"/>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32" w:name="_Toc989294"/>
      <w:r w:rsidRPr="00672DC8">
        <w:rPr>
          <w:rFonts w:ascii="Times New Roman" w:hAnsi="Times New Roman" w:cs="Times New Roman"/>
          <w:b/>
          <w:bCs/>
        </w:rPr>
        <w:t>9</w:t>
      </w:r>
      <w:r w:rsidRPr="00672DC8">
        <w:rPr>
          <w:rFonts w:ascii="Times New Roman" w:hAnsi="Times New Roman" w:cs="Times New Roman"/>
          <w:b/>
          <w:bCs/>
        </w:rPr>
        <w:t>、其他</w:t>
      </w:r>
      <w:bookmarkEnd w:id="432"/>
    </w:p>
    <w:p w:rsidR="000C0769" w:rsidRPr="00672DC8" w:rsidRDefault="000C0769">
      <w:pPr>
        <w:pStyle w:val="a3"/>
        <w:divId w:val="1052189184"/>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33" w:name="_Toc989295"/>
      <w:r w:rsidRPr="00672DC8">
        <w:rPr>
          <w:rFonts w:ascii="Times New Roman" w:eastAsia="宋体" w:hAnsi="Times New Roman" w:cs="Times New Roman"/>
          <w:b/>
          <w:bCs/>
          <w:sz w:val="24"/>
          <w:szCs w:val="24"/>
        </w:rPr>
        <w:t>十四、关联方及关联交易</w:t>
      </w:r>
      <w:bookmarkEnd w:id="433"/>
    </w:p>
    <w:p w:rsidR="003D2BA8" w:rsidRPr="00672DC8" w:rsidRDefault="000C0769">
      <w:pPr>
        <w:pStyle w:val="3"/>
        <w:spacing w:line="280" w:lineRule="exact"/>
        <w:jc w:val="left"/>
        <w:rPr>
          <w:rFonts w:ascii="Times New Roman" w:hAnsi="Times New Roman" w:cs="Times New Roman"/>
          <w:b/>
          <w:bCs/>
        </w:rPr>
      </w:pPr>
      <w:bookmarkStart w:id="434" w:name="_Toc989296"/>
      <w:r w:rsidRPr="00672DC8">
        <w:rPr>
          <w:rFonts w:ascii="Times New Roman" w:hAnsi="Times New Roman" w:cs="Times New Roman"/>
          <w:b/>
          <w:bCs/>
        </w:rPr>
        <w:t>1</w:t>
      </w:r>
      <w:r w:rsidRPr="00672DC8">
        <w:rPr>
          <w:rFonts w:ascii="Times New Roman" w:hAnsi="Times New Roman" w:cs="Times New Roman"/>
          <w:b/>
          <w:bCs/>
        </w:rPr>
        <w:t>、本企业的母公司情况</w:t>
      </w:r>
      <w:bookmarkEnd w:id="434"/>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母公司名称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业务性质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注册资本</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母公司对本企业的持股比例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母公司对本企业的表决权比例</w:t>
            </w:r>
          </w:p>
        </w:tc>
      </w:tr>
    </w:tbl>
    <w:p w:rsidR="000C0769" w:rsidRPr="00672DC8" w:rsidRDefault="000C0769" w:rsidP="00CC22C2">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本企业的母公司情况的说明</w:t>
      </w:r>
      <w:r w:rsidR="00CC22C2"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本企业最终控制方是林明玲、马学沛。</w:t>
      </w:r>
    </w:p>
    <w:p w:rsidR="000C0769" w:rsidRPr="00672DC8" w:rsidRDefault="000C0769" w:rsidP="00CC22C2">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其他说明：无。</w:t>
      </w:r>
    </w:p>
    <w:p w:rsidR="003D2BA8" w:rsidRPr="00672DC8" w:rsidRDefault="000C0769">
      <w:pPr>
        <w:pStyle w:val="3"/>
        <w:spacing w:line="280" w:lineRule="exact"/>
        <w:jc w:val="left"/>
        <w:rPr>
          <w:rFonts w:ascii="Times New Roman" w:hAnsi="Times New Roman" w:cs="Times New Roman"/>
          <w:b/>
          <w:bCs/>
        </w:rPr>
      </w:pPr>
      <w:bookmarkStart w:id="435" w:name="_Toc989297"/>
      <w:r w:rsidRPr="00672DC8">
        <w:rPr>
          <w:rFonts w:ascii="Times New Roman" w:hAnsi="Times New Roman" w:cs="Times New Roman"/>
          <w:b/>
          <w:bCs/>
        </w:rPr>
        <w:t>2</w:t>
      </w:r>
      <w:r w:rsidRPr="00672DC8">
        <w:rPr>
          <w:rFonts w:ascii="Times New Roman" w:hAnsi="Times New Roman" w:cs="Times New Roman"/>
          <w:b/>
          <w:bCs/>
        </w:rPr>
        <w:t>、本企业的子公司情况</w:t>
      </w:r>
      <w:bookmarkEnd w:id="43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本企业子公司的情况详见附注十、</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、在子公司中的权益。</w:t>
      </w:r>
    </w:p>
    <w:p w:rsidR="003D2BA8" w:rsidRPr="00672DC8" w:rsidRDefault="000C0769">
      <w:pPr>
        <w:pStyle w:val="3"/>
        <w:spacing w:line="280" w:lineRule="exact"/>
        <w:jc w:val="left"/>
        <w:rPr>
          <w:rFonts w:ascii="Times New Roman" w:hAnsi="Times New Roman" w:cs="Times New Roman"/>
          <w:b/>
          <w:bCs/>
        </w:rPr>
      </w:pPr>
      <w:bookmarkStart w:id="436" w:name="_Toc989298"/>
      <w:r w:rsidRPr="00672DC8">
        <w:rPr>
          <w:rFonts w:ascii="Times New Roman" w:hAnsi="Times New Roman" w:cs="Times New Roman"/>
          <w:b/>
          <w:bCs/>
        </w:rPr>
        <w:lastRenderedPageBreak/>
        <w:t>3</w:t>
      </w:r>
      <w:r w:rsidRPr="00672DC8">
        <w:rPr>
          <w:rFonts w:ascii="Times New Roman" w:hAnsi="Times New Roman" w:cs="Times New Roman"/>
          <w:b/>
          <w:bCs/>
        </w:rPr>
        <w:t>、本企业合营和联营企业情况</w:t>
      </w:r>
      <w:bookmarkEnd w:id="436"/>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本企业重要的合营或联营企业详见附注。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本期与本公司发生关联方交易，或前期与本公司发生关联方交易形成余额的其他合营或联营企业情况如下：</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合营或联营企业名称</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与本企业关系</w:t>
            </w:r>
          </w:p>
        </w:tc>
      </w:tr>
    </w:tbl>
    <w:p w:rsidR="000C0769" w:rsidRPr="00672DC8" w:rsidRDefault="000C0769" w:rsidP="00CC22C2">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r w:rsidR="00CC22C2"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本公司无合营和联营企业。</w:t>
      </w:r>
    </w:p>
    <w:p w:rsidR="003D2BA8" w:rsidRPr="00672DC8" w:rsidRDefault="000C0769">
      <w:pPr>
        <w:pStyle w:val="3"/>
        <w:spacing w:line="280" w:lineRule="exact"/>
        <w:jc w:val="left"/>
        <w:rPr>
          <w:rFonts w:ascii="Times New Roman" w:hAnsi="Times New Roman" w:cs="Times New Roman"/>
          <w:b/>
          <w:bCs/>
        </w:rPr>
      </w:pPr>
      <w:bookmarkStart w:id="437" w:name="_Toc989299"/>
      <w:r w:rsidRPr="00672DC8">
        <w:rPr>
          <w:rFonts w:ascii="Times New Roman" w:hAnsi="Times New Roman" w:cs="Times New Roman"/>
          <w:b/>
          <w:bCs/>
        </w:rPr>
        <w:t>4</w:t>
      </w:r>
      <w:r w:rsidRPr="00672DC8">
        <w:rPr>
          <w:rFonts w:ascii="Times New Roman" w:hAnsi="Times New Roman" w:cs="Times New Roman"/>
          <w:b/>
          <w:bCs/>
        </w:rPr>
        <w:t>、其他关联方情况</w:t>
      </w:r>
      <w:bookmarkEnd w:id="437"/>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其他关联方名称</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其他关联方与本企业关系</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汕头潮阳融和村镇银行股份有限公司</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林明玲持有</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股权的企业</w:t>
            </w:r>
          </w:p>
        </w:tc>
      </w:tr>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广东润煌纺织新材料有限公司</w:t>
            </w:r>
          </w:p>
        </w:tc>
        <w:tc>
          <w:tcPr>
            <w:tcW w:w="482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林明玲持有</w:t>
            </w:r>
            <w:r w:rsidRPr="00672DC8">
              <w:rPr>
                <w:rFonts w:ascii="Times New Roman" w:eastAsia="宋体" w:hAnsi="Times New Roman" w:cs="Times New Roman"/>
                <w:sz w:val="18"/>
                <w:szCs w:val="18"/>
              </w:rPr>
              <w:t>45%</w:t>
            </w:r>
            <w:r w:rsidRPr="00672DC8">
              <w:rPr>
                <w:rFonts w:ascii="Times New Roman" w:eastAsia="宋体" w:hAnsi="Times New Roman" w:cs="Times New Roman"/>
                <w:sz w:val="18"/>
                <w:szCs w:val="18"/>
              </w:rPr>
              <w:t>股权的企业</w:t>
            </w:r>
          </w:p>
        </w:tc>
      </w:tr>
    </w:tbl>
    <w:p w:rsidR="000C0769" w:rsidRPr="00672DC8" w:rsidRDefault="000C0769" w:rsidP="00CC22C2">
      <w:pPr>
        <w:spacing w:before="100" w:after="100" w:line="240" w:lineRule="exact"/>
        <w:divId w:val="92476732"/>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CC22C2"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438" w:name="_Toc989300"/>
      <w:r w:rsidRPr="00672DC8">
        <w:rPr>
          <w:rFonts w:ascii="Times New Roman" w:hAnsi="Times New Roman" w:cs="Times New Roman"/>
          <w:b/>
          <w:bCs/>
        </w:rPr>
        <w:t>5</w:t>
      </w:r>
      <w:r w:rsidRPr="00672DC8">
        <w:rPr>
          <w:rFonts w:ascii="Times New Roman" w:hAnsi="Times New Roman" w:cs="Times New Roman"/>
          <w:b/>
          <w:bCs/>
        </w:rPr>
        <w:t>、关联交易情况</w:t>
      </w:r>
      <w:bookmarkEnd w:id="43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39" w:name="_Toc98930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购销商品、提供和接受劳务的关联交易</w:t>
      </w:r>
      <w:bookmarkEnd w:id="439"/>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采购商品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接受劳务情况表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rsidTr="00CC22C2">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关联交易内容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160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获批的交易额度</w:t>
            </w:r>
          </w:p>
        </w:tc>
        <w:tc>
          <w:tcPr>
            <w:tcW w:w="160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是否超过交易额度</w:t>
            </w:r>
          </w:p>
        </w:tc>
        <w:tc>
          <w:tcPr>
            <w:tcW w:w="160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CC22C2" w:rsidRPr="00672DC8" w:rsidTr="00CC22C2">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CC22C2" w:rsidRPr="00672DC8" w:rsidRDefault="00CC22C2" w:rsidP="00CC22C2">
            <w:pPr>
              <w:spacing w:line="240" w:lineRule="exact"/>
              <w:rPr>
                <w:rFonts w:ascii="Times New Roman" w:eastAsia="宋体" w:hAnsi="Times New Roman" w:cs="Times New Roman"/>
                <w:sz w:val="18"/>
                <w:szCs w:val="18"/>
              </w:rPr>
            </w:pPr>
            <w:bookmarkStart w:id="440" w:name="_Hlk238752804"/>
            <w:r w:rsidRPr="00672DC8">
              <w:rPr>
                <w:rFonts w:ascii="Times New Roman" w:eastAsia="宋体" w:hAnsi="Times New Roman" w:cs="Times New Roman"/>
                <w:sz w:val="18"/>
                <w:szCs w:val="18"/>
              </w:rPr>
              <w:t>无</w:t>
            </w:r>
          </w:p>
        </w:tc>
        <w:tc>
          <w:tcPr>
            <w:tcW w:w="1606" w:type="dxa"/>
            <w:tcBorders>
              <w:top w:val="single" w:sz="2" w:space="0" w:color="auto"/>
              <w:left w:val="single" w:sz="2" w:space="0" w:color="auto"/>
              <w:bottom w:val="single" w:sz="2" w:space="0" w:color="auto"/>
              <w:right w:val="single" w:sz="2" w:space="0" w:color="auto"/>
            </w:tcBorders>
            <w:vAlign w:val="center"/>
          </w:tcPr>
          <w:p w:rsidR="00CC22C2" w:rsidRPr="00672DC8" w:rsidRDefault="00CC22C2" w:rsidP="00CC22C2">
            <w:pPr>
              <w:spacing w:line="240" w:lineRule="exact"/>
              <w:rPr>
                <w:rFonts w:ascii="Times New Roman" w:eastAsia="宋体" w:hAnsi="Times New Roman" w:cs="Times New Roman"/>
                <w:sz w:val="18"/>
                <w:szCs w:val="18"/>
              </w:rPr>
            </w:pPr>
            <w:bookmarkStart w:id="441" w:name="OLE_LINK2"/>
            <w:bookmarkStart w:id="442" w:name="OLE_LINK3"/>
            <w:r w:rsidRPr="00672DC8">
              <w:rPr>
                <w:rFonts w:ascii="Times New Roman" w:eastAsia="宋体" w:hAnsi="Times New Roman" w:cs="Times New Roman"/>
                <w:sz w:val="18"/>
                <w:szCs w:val="18"/>
              </w:rPr>
              <w:t>不适用</w:t>
            </w:r>
            <w:bookmarkEnd w:id="441"/>
            <w:bookmarkEnd w:id="442"/>
          </w:p>
        </w:tc>
        <w:tc>
          <w:tcPr>
            <w:tcW w:w="1606" w:type="dxa"/>
            <w:tcBorders>
              <w:top w:val="single" w:sz="2" w:space="0" w:color="auto"/>
              <w:left w:val="single" w:sz="2" w:space="0" w:color="auto"/>
              <w:bottom w:val="single" w:sz="2" w:space="0" w:color="auto"/>
              <w:right w:val="single" w:sz="2" w:space="0" w:color="auto"/>
            </w:tcBorders>
          </w:tcPr>
          <w:p w:rsidR="00CC22C2" w:rsidRPr="00672DC8" w:rsidRDefault="00CC22C2" w:rsidP="00CC22C2">
            <w:pPr>
              <w:rPr>
                <w:rFonts w:ascii="Times New Roman" w:hAnsi="Times New Roman" w:cs="Times New Roman"/>
              </w:rPr>
            </w:pPr>
            <w:r w:rsidRPr="00672DC8">
              <w:rPr>
                <w:rFonts w:ascii="Times New Roman" w:eastAsia="宋体" w:hAnsi="Times New Roman" w:cs="Times New Roman"/>
                <w:sz w:val="18"/>
                <w:szCs w:val="18"/>
              </w:rPr>
              <w:t>不适用</w:t>
            </w:r>
          </w:p>
        </w:tc>
        <w:tc>
          <w:tcPr>
            <w:tcW w:w="1607" w:type="dxa"/>
            <w:tcBorders>
              <w:top w:val="single" w:sz="2" w:space="0" w:color="auto"/>
              <w:left w:val="single" w:sz="2" w:space="0" w:color="auto"/>
              <w:bottom w:val="single" w:sz="2" w:space="0" w:color="auto"/>
              <w:right w:val="single" w:sz="2" w:space="0" w:color="auto"/>
            </w:tcBorders>
          </w:tcPr>
          <w:p w:rsidR="00CC22C2" w:rsidRPr="00672DC8" w:rsidRDefault="00CC22C2" w:rsidP="00CC22C2">
            <w:pPr>
              <w:rPr>
                <w:rFonts w:ascii="Times New Roman" w:hAnsi="Times New Roman" w:cs="Times New Roman"/>
              </w:rPr>
            </w:pPr>
            <w:r w:rsidRPr="00672DC8">
              <w:rPr>
                <w:rFonts w:ascii="Times New Roman" w:eastAsia="宋体" w:hAnsi="Times New Roman" w:cs="Times New Roman"/>
                <w:sz w:val="18"/>
                <w:szCs w:val="18"/>
              </w:rPr>
              <w:t>不适用</w:t>
            </w:r>
          </w:p>
        </w:tc>
        <w:tc>
          <w:tcPr>
            <w:tcW w:w="1607" w:type="dxa"/>
            <w:tcBorders>
              <w:top w:val="single" w:sz="2" w:space="0" w:color="auto"/>
              <w:left w:val="single" w:sz="2" w:space="0" w:color="auto"/>
              <w:bottom w:val="single" w:sz="2" w:space="0" w:color="auto"/>
              <w:right w:val="single" w:sz="2" w:space="0" w:color="auto"/>
            </w:tcBorders>
          </w:tcPr>
          <w:p w:rsidR="00CC22C2" w:rsidRPr="00672DC8" w:rsidRDefault="00CC22C2" w:rsidP="00CC22C2">
            <w:pPr>
              <w:rPr>
                <w:rFonts w:ascii="Times New Roman" w:hAnsi="Times New Roman" w:cs="Times New Roman"/>
              </w:rPr>
            </w:pPr>
            <w:r w:rsidRPr="00672DC8">
              <w:rPr>
                <w:rFonts w:ascii="Times New Roman" w:eastAsia="宋体" w:hAnsi="Times New Roman" w:cs="Times New Roman"/>
                <w:sz w:val="18"/>
                <w:szCs w:val="18"/>
              </w:rPr>
              <w:t>不适用</w:t>
            </w:r>
          </w:p>
        </w:tc>
        <w:tc>
          <w:tcPr>
            <w:tcW w:w="1607" w:type="dxa"/>
            <w:tcBorders>
              <w:top w:val="single" w:sz="2" w:space="0" w:color="auto"/>
              <w:left w:val="single" w:sz="2" w:space="0" w:color="auto"/>
              <w:bottom w:val="single" w:sz="2" w:space="0" w:color="auto"/>
              <w:right w:val="single" w:sz="2" w:space="0" w:color="auto"/>
            </w:tcBorders>
          </w:tcPr>
          <w:p w:rsidR="00CC22C2" w:rsidRPr="00672DC8" w:rsidRDefault="00CC22C2" w:rsidP="00CC22C2">
            <w:pPr>
              <w:rPr>
                <w:rFonts w:ascii="Times New Roman" w:hAnsi="Times New Roman" w:cs="Times New Roman"/>
              </w:rPr>
            </w:pPr>
            <w:r w:rsidRPr="00672DC8">
              <w:rPr>
                <w:rFonts w:ascii="Times New Roman" w:eastAsia="宋体" w:hAnsi="Times New Roman" w:cs="Times New Roman"/>
                <w:sz w:val="18"/>
                <w:szCs w:val="18"/>
              </w:rPr>
              <w:t>不适用</w:t>
            </w:r>
          </w:p>
        </w:tc>
      </w:tr>
    </w:tbl>
    <w:bookmarkEnd w:id="440"/>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出售商品</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提供劳务情况表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rsidTr="007D6FC6">
        <w:trPr>
          <w:trHeight w:val="24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关联交易内容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7D6FC6" w:rsidRPr="00672DC8" w:rsidTr="007D6FC6">
        <w:trPr>
          <w:trHeight w:val="240"/>
        </w:trPr>
        <w:tc>
          <w:tcPr>
            <w:tcW w:w="2409" w:type="dxa"/>
            <w:tcBorders>
              <w:top w:val="single" w:sz="2" w:space="0" w:color="auto"/>
              <w:left w:val="single" w:sz="2" w:space="0" w:color="auto"/>
              <w:bottom w:val="single" w:sz="2" w:space="0" w:color="auto"/>
              <w:right w:val="single" w:sz="2" w:space="0" w:color="auto"/>
            </w:tcBorders>
            <w:vAlign w:val="center"/>
          </w:tcPr>
          <w:p w:rsidR="007D6FC6" w:rsidRPr="00672DC8" w:rsidRDefault="007D6FC6" w:rsidP="007D6FC6">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2410" w:type="dxa"/>
            <w:tcBorders>
              <w:top w:val="single" w:sz="2" w:space="0" w:color="auto"/>
              <w:left w:val="single" w:sz="2" w:space="0" w:color="auto"/>
              <w:bottom w:val="single" w:sz="2" w:space="0" w:color="auto"/>
              <w:right w:val="single" w:sz="2" w:space="0" w:color="auto"/>
            </w:tcBorders>
            <w:vAlign w:val="center"/>
          </w:tcPr>
          <w:p w:rsidR="007D6FC6" w:rsidRPr="00672DC8" w:rsidRDefault="007D6FC6" w:rsidP="007D6FC6">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0" w:type="dxa"/>
            <w:tcBorders>
              <w:top w:val="single" w:sz="2" w:space="0" w:color="auto"/>
              <w:left w:val="single" w:sz="2" w:space="0" w:color="auto"/>
              <w:bottom w:val="single" w:sz="2" w:space="0" w:color="auto"/>
              <w:right w:val="single" w:sz="2" w:space="0" w:color="auto"/>
            </w:tcBorders>
            <w:vAlign w:val="center"/>
          </w:tcPr>
          <w:p w:rsidR="007D6FC6" w:rsidRPr="00672DC8" w:rsidRDefault="007D6FC6" w:rsidP="007D6FC6">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c>
          <w:tcPr>
            <w:tcW w:w="2410" w:type="dxa"/>
            <w:tcBorders>
              <w:top w:val="single" w:sz="2" w:space="0" w:color="auto"/>
              <w:left w:val="single" w:sz="2" w:space="0" w:color="auto"/>
              <w:bottom w:val="single" w:sz="2" w:space="0" w:color="auto"/>
              <w:right w:val="single" w:sz="2" w:space="0" w:color="auto"/>
            </w:tcBorders>
            <w:vAlign w:val="center"/>
          </w:tcPr>
          <w:p w:rsidR="007D6FC6" w:rsidRPr="00672DC8" w:rsidRDefault="007D6FC6" w:rsidP="007D6FC6">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不适用</w:t>
            </w:r>
          </w:p>
        </w:tc>
      </w:tr>
    </w:tbl>
    <w:p w:rsidR="003D2BA8" w:rsidRPr="00672DC8" w:rsidRDefault="000C0769" w:rsidP="00CC22C2">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购销商品、提供和接受劳务的关联交易说明</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3" w:name="_Toc98930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关联受托管理</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承包及委托管理</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出包情况</w:t>
      </w:r>
      <w:bookmarkEnd w:id="443"/>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本公司受托管理</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承包情况表：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委托方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受托方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承包资产类型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承包起始日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承包终止日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托管收益</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承包收益定价依据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本期确认的托管收益</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承包收益</w:t>
            </w:r>
          </w:p>
        </w:tc>
      </w:tr>
    </w:tbl>
    <w:p w:rsidR="000C0769" w:rsidRPr="00672DC8" w:rsidRDefault="000C0769" w:rsidP="008169BA">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关联托管</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承包情况说明</w:t>
      </w:r>
      <w:r w:rsidR="008169BA"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本公司委托管理</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出包情况表：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委托方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受托方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承包方名称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委托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出包资产类型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委托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出包起始日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委托</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出包终止日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托管费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出包费定价依据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本期确认的托管费</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出包费</w:t>
            </w:r>
          </w:p>
        </w:tc>
      </w:tr>
    </w:tbl>
    <w:p w:rsidR="000C0769" w:rsidRPr="00672DC8" w:rsidRDefault="000C0769" w:rsidP="008169BA">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关联管理</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出包情况说明</w:t>
      </w:r>
      <w:r w:rsidR="008169BA"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4" w:name="_Toc989303"/>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关联租赁情况</w:t>
      </w:r>
      <w:bookmarkEnd w:id="444"/>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本公司作为出租方：</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承租方名称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租赁资产种类</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本期确认的租赁收入</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上期确认的租赁收入</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本公司作为承租方：</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04"/>
        <w:gridCol w:w="804"/>
        <w:gridCol w:w="804"/>
        <w:gridCol w:w="803"/>
        <w:gridCol w:w="803"/>
        <w:gridCol w:w="803"/>
        <w:gridCol w:w="803"/>
        <w:gridCol w:w="803"/>
        <w:gridCol w:w="803"/>
        <w:gridCol w:w="803"/>
        <w:gridCol w:w="803"/>
        <w:gridCol w:w="803"/>
      </w:tblGrid>
      <w:tr w:rsidR="003D2BA8" w:rsidRPr="00672DC8">
        <w:trPr>
          <w:trHeight w:val="240"/>
        </w:trPr>
        <w:tc>
          <w:tcPr>
            <w:tcW w:w="8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出租方名称</w:t>
            </w:r>
          </w:p>
        </w:tc>
        <w:tc>
          <w:tcPr>
            <w:tcW w:w="8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租赁资产种类</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简化处理的短期租赁和低价值资产租赁的租金费用（如适用）</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未纳入租赁负债计量的可变租赁付款额（如适用）</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支付的租金</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承担的租赁负债利息支出</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增加的使用权资产</w:t>
            </w:r>
          </w:p>
        </w:tc>
      </w:tr>
      <w:tr w:rsidR="003D2BA8" w:rsidRPr="00672DC8">
        <w:trPr>
          <w:trHeight w:val="240"/>
        </w:trPr>
        <w:tc>
          <w:tcPr>
            <w:tcW w:w="803"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803" w:type="dxa"/>
            <w:vMerge/>
            <w:tcBorders>
              <w:top w:val="single" w:sz="2" w:space="0" w:color="auto"/>
              <w:left w:val="single" w:sz="2" w:space="0" w:color="auto"/>
              <w:bottom w:val="single" w:sz="2" w:space="0" w:color="auto"/>
              <w:right w:val="single" w:sz="2" w:space="0" w:color="auto"/>
            </w:tcBorders>
            <w:vAlign w:val="center"/>
          </w:tcPr>
          <w:p w:rsidR="003D2BA8" w:rsidRPr="00672DC8" w:rsidRDefault="003D2BA8">
            <w:pPr>
              <w:rPr>
                <w:rFonts w:ascii="Times New Roman" w:hAnsi="Times New Roman" w:cs="Times New Roman"/>
              </w:rPr>
            </w:pP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关联租赁情况说明</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5" w:name="_Toc98930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关联担保情况</w:t>
      </w:r>
      <w:bookmarkEnd w:id="445"/>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本公司作为担保方</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被担保方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担保是否已经履行完毕</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本公司作为被担保方</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rsidTr="008169BA">
        <w:trPr>
          <w:trHeight w:val="240"/>
          <w:tblHeader/>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担保是否已经履行完毕</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25</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24</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25</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03</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24</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是</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马学沛、林明玲</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08</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09</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马学沛、林明玲</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01</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2031</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27</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2030</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2023</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27</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2030</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10</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31</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马学沛、林明玲</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12,000,000.00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2025</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2030</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07</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20</w:t>
            </w:r>
            <w:r w:rsidRPr="00672DC8">
              <w:rPr>
                <w:rFonts w:ascii="Times New Roman" w:eastAsia="宋体" w:hAnsi="Times New Roman" w:cs="Times New Roman"/>
                <w:sz w:val="18"/>
                <w:szCs w:val="18"/>
              </w:rPr>
              <w:t>日</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否</w:t>
            </w:r>
          </w:p>
        </w:tc>
      </w:tr>
    </w:tbl>
    <w:p w:rsidR="003D2BA8" w:rsidRPr="00672DC8" w:rsidRDefault="000C0769" w:rsidP="008169BA">
      <w:pPr>
        <w:spacing w:before="100" w:after="100" w:line="240" w:lineRule="exact"/>
        <w:rPr>
          <w:rFonts w:ascii="Times New Roman" w:hAnsi="Times New Roman" w:cs="Times New Roman"/>
        </w:rPr>
      </w:pPr>
      <w:r w:rsidRPr="00672DC8">
        <w:rPr>
          <w:rFonts w:ascii="Times New Roman" w:eastAsia="宋体" w:hAnsi="Times New Roman" w:cs="Times New Roman"/>
          <w:sz w:val="18"/>
          <w:szCs w:val="18"/>
        </w:rPr>
        <w:t>关联担保情况说明</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6" w:name="_Toc98930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关联方资金拆借</w:t>
      </w:r>
      <w:bookmarkEnd w:id="44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拆借金额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说明</w:t>
            </w:r>
          </w:p>
        </w:tc>
      </w:tr>
      <w:tr w:rsidR="003D2BA8" w:rsidRPr="00672DC8">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拆入</w:t>
            </w:r>
          </w:p>
        </w:tc>
      </w:tr>
      <w:tr w:rsidR="003D2BA8" w:rsidRPr="00672DC8">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拆出</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7" w:name="_Toc98930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6</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关联方资产转让、债务重组情况</w:t>
      </w:r>
      <w:bookmarkEnd w:id="44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关联交易内容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8" w:name="_Toc989307"/>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7</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关键管理人员报酬</w:t>
      </w:r>
      <w:bookmarkEnd w:id="44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关键管理人员报酬</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3,276,130.63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2,678,155.74</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49" w:name="_Toc98930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8</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其他关联交易</w:t>
      </w:r>
      <w:bookmarkEnd w:id="449"/>
    </w:p>
    <w:p w:rsidR="000C0769" w:rsidRPr="00672DC8" w:rsidRDefault="000C0769">
      <w:pPr>
        <w:pStyle w:val="a3"/>
        <w:spacing w:before="0" w:beforeAutospacing="0" w:after="0" w:afterAutospacing="0" w:line="460" w:lineRule="atLeast"/>
        <w:ind w:firstLine="420"/>
        <w:jc w:val="both"/>
        <w:divId w:val="1088965131"/>
        <w:rPr>
          <w:rFonts w:ascii="Times New Roman" w:hAnsi="Times New Roman" w:cs="Times New Roman"/>
          <w:sz w:val="21"/>
          <w:szCs w:val="21"/>
        </w:rPr>
      </w:pPr>
      <w:r w:rsidRPr="00672DC8">
        <w:rPr>
          <w:rFonts w:ascii="Times New Roman" w:hAnsi="Times New Roman" w:cs="Times New Roman"/>
          <w:sz w:val="21"/>
          <w:szCs w:val="21"/>
        </w:rPr>
        <w:t>汕头潮阳融和村镇银行股份有限公司（以下简称</w:t>
      </w:r>
      <w:r w:rsidRPr="00672DC8">
        <w:rPr>
          <w:rFonts w:ascii="Times New Roman" w:hAnsi="Times New Roman" w:cs="Times New Roman"/>
          <w:sz w:val="21"/>
          <w:szCs w:val="21"/>
        </w:rPr>
        <w:t>“</w:t>
      </w:r>
      <w:r w:rsidRPr="00672DC8">
        <w:rPr>
          <w:rFonts w:ascii="Times New Roman" w:hAnsi="Times New Roman" w:cs="Times New Roman"/>
          <w:sz w:val="21"/>
          <w:szCs w:val="21"/>
        </w:rPr>
        <w:t>融和银行</w:t>
      </w:r>
      <w:r w:rsidRPr="00672DC8">
        <w:rPr>
          <w:rFonts w:ascii="Times New Roman" w:hAnsi="Times New Roman" w:cs="Times New Roman"/>
          <w:sz w:val="21"/>
          <w:szCs w:val="21"/>
        </w:rPr>
        <w:t>”</w:t>
      </w:r>
      <w:r w:rsidRPr="00672DC8">
        <w:rPr>
          <w:rFonts w:ascii="Times New Roman" w:hAnsi="Times New Roman" w:cs="Times New Roman"/>
          <w:sz w:val="21"/>
          <w:szCs w:val="21"/>
        </w:rPr>
        <w:t>）系经中国银行业监督管理委员会批准成立的金融机构。报告期内，融和银行为本公司提供存款服务，按市场费率标准计算存款利息，属于正常的商业行为。</w:t>
      </w:r>
    </w:p>
    <w:p w:rsidR="000C0769" w:rsidRPr="00672DC8" w:rsidRDefault="000C0769">
      <w:pPr>
        <w:pStyle w:val="a3"/>
        <w:spacing w:before="0" w:beforeAutospacing="0" w:after="0" w:afterAutospacing="0" w:line="460" w:lineRule="atLeast"/>
        <w:ind w:firstLine="420"/>
        <w:jc w:val="both"/>
        <w:divId w:val="1088965131"/>
        <w:rPr>
          <w:rFonts w:ascii="Times New Roman" w:hAnsi="Times New Roman" w:cs="Times New Roman"/>
          <w:sz w:val="21"/>
          <w:szCs w:val="21"/>
        </w:rPr>
      </w:pPr>
      <w:r w:rsidRPr="00672DC8">
        <w:rPr>
          <w:rFonts w:ascii="Times New Roman" w:hAnsi="Times New Roman" w:cs="Times New Roman"/>
          <w:sz w:val="21"/>
          <w:szCs w:val="21"/>
        </w:rPr>
        <w:t>公司在融和银行的利息收入情况如下：</w:t>
      </w:r>
    </w:p>
    <w:tbl>
      <w:tblPr>
        <w:tblStyle w:val="aa"/>
        <w:tblW w:w="5000" w:type="pct"/>
        <w:tblLook w:val="04A0" w:firstRow="1" w:lastRow="0" w:firstColumn="1" w:lastColumn="0" w:noHBand="0" w:noVBand="1"/>
      </w:tblPr>
      <w:tblGrid>
        <w:gridCol w:w="3002"/>
        <w:gridCol w:w="3219"/>
        <w:gridCol w:w="3406"/>
      </w:tblGrid>
      <w:tr w:rsidR="000C0769" w:rsidRPr="00672DC8" w:rsidTr="008169BA">
        <w:trPr>
          <w:divId w:val="1088965131"/>
          <w:trHeight w:val="283"/>
        </w:trPr>
        <w:tc>
          <w:tcPr>
            <w:tcW w:w="1559" w:type="pct"/>
            <w:shd w:val="clear" w:color="auto" w:fill="D9D9D9" w:themeFill="background1" w:themeFillShade="D9"/>
            <w:hideMark/>
          </w:tcPr>
          <w:p w:rsidR="000C0769" w:rsidRPr="00672DC8" w:rsidRDefault="000C0769" w:rsidP="00B70F9B">
            <w:pPr>
              <w:pStyle w:val="a3"/>
              <w:spacing w:before="0" w:beforeAutospacing="0" w:after="0" w:afterAutospacing="0"/>
              <w:ind w:firstLineChars="200" w:firstLine="360"/>
              <w:jc w:val="center"/>
              <w:rPr>
                <w:rFonts w:ascii="Times New Roman" w:hAnsi="Times New Roman" w:cs="Times New Roman"/>
                <w:b/>
                <w:sz w:val="18"/>
                <w:szCs w:val="21"/>
              </w:rPr>
            </w:pPr>
            <w:r w:rsidRPr="00672DC8">
              <w:rPr>
                <w:rStyle w:val="a4"/>
                <w:rFonts w:ascii="Times New Roman" w:hAnsi="Times New Roman" w:cs="Times New Roman"/>
                <w:b w:val="0"/>
                <w:sz w:val="18"/>
                <w:szCs w:val="21"/>
              </w:rPr>
              <w:t>项目</w:t>
            </w:r>
          </w:p>
        </w:tc>
        <w:tc>
          <w:tcPr>
            <w:tcW w:w="1672" w:type="pct"/>
            <w:shd w:val="clear" w:color="auto" w:fill="D9D9D9" w:themeFill="background1" w:themeFillShade="D9"/>
            <w:hideMark/>
          </w:tcPr>
          <w:p w:rsidR="000C0769" w:rsidRPr="00672DC8" w:rsidRDefault="000C0769" w:rsidP="00B70F9B">
            <w:pPr>
              <w:pStyle w:val="a3"/>
              <w:spacing w:before="0" w:beforeAutospacing="0" w:after="0" w:afterAutospacing="0"/>
              <w:ind w:firstLineChars="200" w:firstLine="360"/>
              <w:jc w:val="center"/>
              <w:rPr>
                <w:rFonts w:ascii="Times New Roman" w:hAnsi="Times New Roman" w:cs="Times New Roman"/>
                <w:b/>
                <w:sz w:val="18"/>
                <w:szCs w:val="21"/>
              </w:rPr>
            </w:pPr>
            <w:r w:rsidRPr="00672DC8">
              <w:rPr>
                <w:rStyle w:val="a4"/>
                <w:rFonts w:ascii="Times New Roman" w:hAnsi="Times New Roman" w:cs="Times New Roman"/>
                <w:b w:val="0"/>
                <w:sz w:val="18"/>
                <w:szCs w:val="21"/>
              </w:rPr>
              <w:t>本期发生额（元）</w:t>
            </w:r>
          </w:p>
        </w:tc>
        <w:tc>
          <w:tcPr>
            <w:tcW w:w="1769" w:type="pct"/>
            <w:shd w:val="clear" w:color="auto" w:fill="D9D9D9" w:themeFill="background1" w:themeFillShade="D9"/>
            <w:hideMark/>
          </w:tcPr>
          <w:p w:rsidR="000C0769" w:rsidRPr="00672DC8" w:rsidRDefault="000C0769" w:rsidP="00B70F9B">
            <w:pPr>
              <w:pStyle w:val="a3"/>
              <w:spacing w:before="0" w:beforeAutospacing="0" w:after="0" w:afterAutospacing="0"/>
              <w:ind w:firstLineChars="200" w:firstLine="360"/>
              <w:jc w:val="center"/>
              <w:rPr>
                <w:rFonts w:ascii="Times New Roman" w:hAnsi="Times New Roman" w:cs="Times New Roman"/>
                <w:b/>
                <w:sz w:val="18"/>
                <w:szCs w:val="21"/>
              </w:rPr>
            </w:pPr>
            <w:r w:rsidRPr="00672DC8">
              <w:rPr>
                <w:rStyle w:val="a4"/>
                <w:rFonts w:ascii="Times New Roman" w:hAnsi="Times New Roman" w:cs="Times New Roman"/>
                <w:b w:val="0"/>
                <w:sz w:val="18"/>
                <w:szCs w:val="21"/>
              </w:rPr>
              <w:t>上期发生额（元）</w:t>
            </w:r>
          </w:p>
        </w:tc>
      </w:tr>
      <w:tr w:rsidR="000C0769" w:rsidRPr="00672DC8" w:rsidTr="00E50783">
        <w:trPr>
          <w:divId w:val="1088965131"/>
          <w:trHeight w:val="283"/>
        </w:trPr>
        <w:tc>
          <w:tcPr>
            <w:tcW w:w="1559" w:type="pct"/>
            <w:vAlign w:val="center"/>
            <w:hideMark/>
          </w:tcPr>
          <w:p w:rsidR="000C0769" w:rsidRPr="00672DC8" w:rsidRDefault="000C0769" w:rsidP="00E50783">
            <w:pPr>
              <w:pStyle w:val="a3"/>
              <w:spacing w:before="0" w:beforeAutospacing="0" w:after="0" w:afterAutospacing="0"/>
              <w:jc w:val="center"/>
              <w:textAlignment w:val="center"/>
              <w:rPr>
                <w:rFonts w:ascii="Times New Roman" w:hAnsi="Times New Roman" w:cs="Times New Roman"/>
                <w:sz w:val="18"/>
                <w:szCs w:val="21"/>
              </w:rPr>
            </w:pPr>
            <w:r w:rsidRPr="00672DC8">
              <w:rPr>
                <w:rFonts w:ascii="Times New Roman" w:hAnsi="Times New Roman" w:cs="Times New Roman"/>
                <w:sz w:val="18"/>
                <w:szCs w:val="21"/>
              </w:rPr>
              <w:t>利息收入</w:t>
            </w:r>
          </w:p>
        </w:tc>
        <w:tc>
          <w:tcPr>
            <w:tcW w:w="1672" w:type="pct"/>
            <w:vAlign w:val="center"/>
            <w:hideMark/>
          </w:tcPr>
          <w:p w:rsidR="000C0769" w:rsidRPr="00672DC8" w:rsidRDefault="000C0769" w:rsidP="00E50783">
            <w:pPr>
              <w:pStyle w:val="a3"/>
              <w:spacing w:before="0" w:beforeAutospacing="0" w:after="0" w:afterAutospacing="0"/>
              <w:ind w:firstLineChars="200" w:firstLine="360"/>
              <w:jc w:val="right"/>
              <w:textAlignment w:val="center"/>
              <w:rPr>
                <w:rFonts w:ascii="Times New Roman" w:hAnsi="Times New Roman" w:cs="Times New Roman"/>
                <w:sz w:val="18"/>
                <w:szCs w:val="21"/>
              </w:rPr>
            </w:pPr>
            <w:r w:rsidRPr="00672DC8">
              <w:rPr>
                <w:rFonts w:ascii="Times New Roman" w:hAnsi="Times New Roman" w:cs="Times New Roman"/>
                <w:sz w:val="18"/>
                <w:szCs w:val="21"/>
              </w:rPr>
              <w:t>520.00</w:t>
            </w:r>
          </w:p>
        </w:tc>
        <w:tc>
          <w:tcPr>
            <w:tcW w:w="1769" w:type="pct"/>
            <w:vAlign w:val="center"/>
            <w:hideMark/>
          </w:tcPr>
          <w:p w:rsidR="000C0769" w:rsidRPr="00672DC8" w:rsidRDefault="000C0769" w:rsidP="00E50783">
            <w:pPr>
              <w:pStyle w:val="a3"/>
              <w:spacing w:before="0" w:beforeAutospacing="0" w:after="0" w:afterAutospacing="0"/>
              <w:ind w:firstLineChars="200" w:firstLine="360"/>
              <w:jc w:val="right"/>
              <w:textAlignment w:val="center"/>
              <w:rPr>
                <w:rFonts w:ascii="Times New Roman" w:hAnsi="Times New Roman" w:cs="Times New Roman"/>
                <w:sz w:val="18"/>
                <w:szCs w:val="21"/>
              </w:rPr>
            </w:pPr>
            <w:r w:rsidRPr="00672DC8">
              <w:rPr>
                <w:rFonts w:ascii="Times New Roman" w:hAnsi="Times New Roman" w:cs="Times New Roman"/>
                <w:sz w:val="18"/>
                <w:szCs w:val="21"/>
              </w:rPr>
              <w:t>98,474.84</w:t>
            </w:r>
          </w:p>
        </w:tc>
      </w:tr>
    </w:tbl>
    <w:p w:rsidR="000C0769" w:rsidRPr="00672DC8" w:rsidRDefault="000C0769">
      <w:pPr>
        <w:pStyle w:val="a3"/>
        <w:spacing w:before="0" w:beforeAutospacing="0" w:after="0" w:afterAutospacing="0" w:line="460" w:lineRule="atLeast"/>
        <w:ind w:firstLine="420"/>
        <w:jc w:val="both"/>
        <w:divId w:val="1088965131"/>
        <w:rPr>
          <w:rFonts w:ascii="Times New Roman" w:hAnsi="Times New Roman" w:cs="Times New Roman"/>
          <w:sz w:val="21"/>
          <w:szCs w:val="21"/>
        </w:rPr>
      </w:pPr>
      <w:r w:rsidRPr="00672DC8">
        <w:rPr>
          <w:rFonts w:ascii="Times New Roman" w:hAnsi="Times New Roman" w:cs="Times New Roman"/>
          <w:sz w:val="21"/>
          <w:szCs w:val="21"/>
        </w:rPr>
        <w:t>公司在融和银行的存款余额情况如下：</w:t>
      </w:r>
    </w:p>
    <w:tbl>
      <w:tblPr>
        <w:tblStyle w:val="aa"/>
        <w:tblW w:w="5000" w:type="pct"/>
        <w:tblLook w:val="04A0" w:firstRow="1" w:lastRow="0" w:firstColumn="1" w:lastColumn="0" w:noHBand="0" w:noVBand="1"/>
      </w:tblPr>
      <w:tblGrid>
        <w:gridCol w:w="2972"/>
        <w:gridCol w:w="3262"/>
        <w:gridCol w:w="3393"/>
      </w:tblGrid>
      <w:tr w:rsidR="000C0769" w:rsidRPr="00672DC8" w:rsidTr="00B70F9B">
        <w:trPr>
          <w:divId w:val="1088965131"/>
          <w:trHeight w:val="283"/>
        </w:trPr>
        <w:tc>
          <w:tcPr>
            <w:tcW w:w="1544" w:type="pct"/>
            <w:shd w:val="clear" w:color="auto" w:fill="D9D9D9" w:themeFill="background1" w:themeFillShade="D9"/>
            <w:hideMark/>
          </w:tcPr>
          <w:p w:rsidR="000C0769" w:rsidRPr="00672DC8" w:rsidRDefault="000C0769">
            <w:pPr>
              <w:pStyle w:val="a3"/>
              <w:spacing w:before="0" w:beforeAutospacing="0" w:after="0" w:afterAutospacing="0"/>
              <w:ind w:firstLine="361"/>
              <w:jc w:val="center"/>
              <w:rPr>
                <w:rFonts w:ascii="Times New Roman" w:hAnsi="Times New Roman" w:cs="Times New Roman"/>
                <w:sz w:val="18"/>
                <w:szCs w:val="21"/>
              </w:rPr>
            </w:pPr>
            <w:r w:rsidRPr="00672DC8">
              <w:rPr>
                <w:rStyle w:val="a4"/>
                <w:rFonts w:ascii="Times New Roman" w:hAnsi="Times New Roman" w:cs="Times New Roman"/>
                <w:b w:val="0"/>
                <w:sz w:val="18"/>
                <w:szCs w:val="21"/>
              </w:rPr>
              <w:t>项目</w:t>
            </w:r>
          </w:p>
        </w:tc>
        <w:tc>
          <w:tcPr>
            <w:tcW w:w="1694" w:type="pct"/>
            <w:shd w:val="clear" w:color="auto" w:fill="D9D9D9" w:themeFill="background1" w:themeFillShade="D9"/>
            <w:hideMark/>
          </w:tcPr>
          <w:p w:rsidR="000C0769" w:rsidRPr="00672DC8" w:rsidRDefault="000C0769">
            <w:pPr>
              <w:pStyle w:val="a3"/>
              <w:spacing w:before="0" w:beforeAutospacing="0" w:after="0" w:afterAutospacing="0"/>
              <w:ind w:firstLine="361"/>
              <w:jc w:val="center"/>
              <w:rPr>
                <w:rFonts w:ascii="Times New Roman" w:hAnsi="Times New Roman" w:cs="Times New Roman"/>
                <w:sz w:val="18"/>
                <w:szCs w:val="21"/>
              </w:rPr>
            </w:pPr>
            <w:r w:rsidRPr="00672DC8">
              <w:rPr>
                <w:rStyle w:val="a4"/>
                <w:rFonts w:ascii="Times New Roman" w:hAnsi="Times New Roman" w:cs="Times New Roman"/>
                <w:b w:val="0"/>
                <w:sz w:val="18"/>
                <w:szCs w:val="21"/>
              </w:rPr>
              <w:t>期末余额（元）</w:t>
            </w:r>
          </w:p>
        </w:tc>
        <w:tc>
          <w:tcPr>
            <w:tcW w:w="1763" w:type="pct"/>
            <w:shd w:val="clear" w:color="auto" w:fill="D9D9D9" w:themeFill="background1" w:themeFillShade="D9"/>
            <w:hideMark/>
          </w:tcPr>
          <w:p w:rsidR="000C0769" w:rsidRPr="00672DC8" w:rsidRDefault="000C0769">
            <w:pPr>
              <w:pStyle w:val="a3"/>
              <w:spacing w:before="0" w:beforeAutospacing="0" w:after="0" w:afterAutospacing="0"/>
              <w:ind w:firstLine="361"/>
              <w:jc w:val="center"/>
              <w:rPr>
                <w:rFonts w:ascii="Times New Roman" w:hAnsi="Times New Roman" w:cs="Times New Roman"/>
                <w:sz w:val="18"/>
                <w:szCs w:val="21"/>
              </w:rPr>
            </w:pPr>
            <w:r w:rsidRPr="00672DC8">
              <w:rPr>
                <w:rStyle w:val="a4"/>
                <w:rFonts w:ascii="Times New Roman" w:hAnsi="Times New Roman" w:cs="Times New Roman"/>
                <w:b w:val="0"/>
                <w:sz w:val="18"/>
                <w:szCs w:val="21"/>
              </w:rPr>
              <w:t>期初余额（元）</w:t>
            </w:r>
          </w:p>
        </w:tc>
      </w:tr>
      <w:tr w:rsidR="000C0769" w:rsidRPr="00672DC8" w:rsidTr="00E50783">
        <w:trPr>
          <w:divId w:val="1088965131"/>
          <w:trHeight w:val="283"/>
        </w:trPr>
        <w:tc>
          <w:tcPr>
            <w:tcW w:w="1544" w:type="pct"/>
            <w:vAlign w:val="center"/>
            <w:hideMark/>
          </w:tcPr>
          <w:p w:rsidR="000C0769" w:rsidRPr="00672DC8" w:rsidRDefault="000C0769" w:rsidP="00E50783">
            <w:pPr>
              <w:pStyle w:val="a3"/>
              <w:spacing w:before="0" w:beforeAutospacing="0" w:after="0" w:afterAutospacing="0"/>
              <w:jc w:val="center"/>
              <w:textAlignment w:val="center"/>
              <w:rPr>
                <w:rFonts w:ascii="Times New Roman" w:hAnsi="Times New Roman" w:cs="Times New Roman"/>
                <w:sz w:val="18"/>
                <w:szCs w:val="21"/>
              </w:rPr>
            </w:pPr>
            <w:r w:rsidRPr="00672DC8">
              <w:rPr>
                <w:rFonts w:ascii="Times New Roman" w:hAnsi="Times New Roman" w:cs="Times New Roman"/>
                <w:sz w:val="18"/>
                <w:szCs w:val="21"/>
              </w:rPr>
              <w:t>银行存款</w:t>
            </w:r>
          </w:p>
        </w:tc>
        <w:tc>
          <w:tcPr>
            <w:tcW w:w="1694" w:type="pct"/>
            <w:vAlign w:val="center"/>
            <w:hideMark/>
          </w:tcPr>
          <w:p w:rsidR="000C0769" w:rsidRPr="00672DC8" w:rsidRDefault="000C0769" w:rsidP="00E50783">
            <w:pPr>
              <w:pStyle w:val="a3"/>
              <w:spacing w:before="0" w:beforeAutospacing="0" w:after="0" w:afterAutospacing="0"/>
              <w:ind w:firstLine="360"/>
              <w:jc w:val="right"/>
              <w:textAlignment w:val="center"/>
              <w:rPr>
                <w:rFonts w:ascii="Times New Roman" w:hAnsi="Times New Roman" w:cs="Times New Roman"/>
                <w:sz w:val="18"/>
                <w:szCs w:val="21"/>
              </w:rPr>
            </w:pPr>
            <w:r w:rsidRPr="00672DC8">
              <w:rPr>
                <w:rFonts w:ascii="Times New Roman" w:hAnsi="Times New Roman" w:cs="Times New Roman"/>
                <w:sz w:val="18"/>
                <w:szCs w:val="21"/>
              </w:rPr>
              <w:t>5,905,868.66</w:t>
            </w:r>
          </w:p>
        </w:tc>
        <w:tc>
          <w:tcPr>
            <w:tcW w:w="1763" w:type="pct"/>
            <w:vAlign w:val="center"/>
            <w:hideMark/>
          </w:tcPr>
          <w:p w:rsidR="000C0769" w:rsidRPr="00672DC8" w:rsidRDefault="000C0769" w:rsidP="00E50783">
            <w:pPr>
              <w:pStyle w:val="a3"/>
              <w:spacing w:before="0" w:beforeAutospacing="0" w:after="0" w:afterAutospacing="0"/>
              <w:ind w:firstLine="360"/>
              <w:jc w:val="right"/>
              <w:textAlignment w:val="center"/>
              <w:rPr>
                <w:rFonts w:ascii="Times New Roman" w:hAnsi="Times New Roman" w:cs="Times New Roman"/>
                <w:sz w:val="18"/>
                <w:szCs w:val="21"/>
              </w:rPr>
            </w:pPr>
            <w:r w:rsidRPr="00672DC8">
              <w:rPr>
                <w:rFonts w:ascii="Times New Roman" w:hAnsi="Times New Roman" w:cs="Times New Roman"/>
                <w:sz w:val="18"/>
                <w:szCs w:val="21"/>
              </w:rPr>
              <w:t>8,705,348.66</w:t>
            </w:r>
          </w:p>
        </w:tc>
      </w:tr>
    </w:tbl>
    <w:p w:rsidR="003D2BA8" w:rsidRPr="00672DC8" w:rsidRDefault="000C0769">
      <w:pPr>
        <w:pStyle w:val="3"/>
        <w:spacing w:line="280" w:lineRule="exact"/>
        <w:jc w:val="left"/>
        <w:rPr>
          <w:rFonts w:ascii="Times New Roman" w:hAnsi="Times New Roman" w:cs="Times New Roman"/>
          <w:b/>
          <w:bCs/>
        </w:rPr>
      </w:pPr>
      <w:bookmarkStart w:id="450" w:name="_Toc989309"/>
      <w:r w:rsidRPr="00672DC8">
        <w:rPr>
          <w:rFonts w:ascii="Times New Roman" w:hAnsi="Times New Roman" w:cs="Times New Roman"/>
          <w:b/>
          <w:bCs/>
        </w:rPr>
        <w:t>6</w:t>
      </w:r>
      <w:r w:rsidRPr="00672DC8">
        <w:rPr>
          <w:rFonts w:ascii="Times New Roman" w:hAnsi="Times New Roman" w:cs="Times New Roman"/>
          <w:b/>
          <w:bCs/>
        </w:rPr>
        <w:t>、关联方应收应付款项</w:t>
      </w:r>
      <w:bookmarkEnd w:id="450"/>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51" w:name="_Toc98931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应收项目</w:t>
      </w:r>
      <w:bookmarkEnd w:id="45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7"/>
        <w:gridCol w:w="1606"/>
        <w:gridCol w:w="1606"/>
        <w:gridCol w:w="1607"/>
        <w:gridCol w:w="1606"/>
        <w:gridCol w:w="1607"/>
      </w:tblGrid>
      <w:tr w:rsidR="003D2BA8" w:rsidRPr="00672DC8">
        <w:trPr>
          <w:trHeight w:val="240"/>
        </w:trPr>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8,535.24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426.76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14,343.86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717.19</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52" w:name="_Toc98931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应付项目</w:t>
      </w:r>
      <w:bookmarkEnd w:id="45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林明玲</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7,067,119.00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7,082,880.00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其他应付款</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马学沛</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7,060,480.00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7,082,880.00</w:t>
            </w:r>
          </w:p>
        </w:tc>
      </w:tr>
    </w:tbl>
    <w:p w:rsidR="003D2BA8" w:rsidRPr="00672DC8" w:rsidRDefault="000C0769">
      <w:pPr>
        <w:pStyle w:val="3"/>
        <w:spacing w:line="280" w:lineRule="exact"/>
        <w:jc w:val="left"/>
        <w:rPr>
          <w:rFonts w:ascii="Times New Roman" w:hAnsi="Times New Roman" w:cs="Times New Roman"/>
          <w:b/>
          <w:bCs/>
        </w:rPr>
      </w:pPr>
      <w:bookmarkStart w:id="453" w:name="_Toc989312"/>
      <w:r w:rsidRPr="00672DC8">
        <w:rPr>
          <w:rFonts w:ascii="Times New Roman" w:hAnsi="Times New Roman" w:cs="Times New Roman"/>
          <w:b/>
          <w:bCs/>
        </w:rPr>
        <w:t>7</w:t>
      </w:r>
      <w:r w:rsidRPr="00672DC8">
        <w:rPr>
          <w:rFonts w:ascii="Times New Roman" w:hAnsi="Times New Roman" w:cs="Times New Roman"/>
          <w:b/>
          <w:bCs/>
        </w:rPr>
        <w:t>、关联方承诺</w:t>
      </w:r>
      <w:bookmarkEnd w:id="453"/>
    </w:p>
    <w:p w:rsidR="000C0769" w:rsidRPr="00672DC8" w:rsidRDefault="000C0769">
      <w:pPr>
        <w:pStyle w:val="a3"/>
        <w:divId w:val="323168948"/>
        <w:rPr>
          <w:rFonts w:ascii="Times New Roman" w:hAnsi="Times New Roman" w:cs="Times New Roman"/>
          <w:sz w:val="18"/>
          <w:szCs w:val="18"/>
        </w:rPr>
      </w:pPr>
      <w:r w:rsidRPr="00672DC8">
        <w:rPr>
          <w:rFonts w:ascii="Times New Roman" w:hAnsi="Times New Roman" w:cs="Times New Roman"/>
          <w:sz w:val="18"/>
          <w:szCs w:val="18"/>
        </w:rPr>
        <w:t>详见本报告第五节</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重要事项一、承诺事项履行情况。</w:t>
      </w:r>
    </w:p>
    <w:p w:rsidR="003D2BA8" w:rsidRPr="00672DC8" w:rsidRDefault="000C0769" w:rsidP="00446E09">
      <w:pPr>
        <w:pStyle w:val="3"/>
        <w:spacing w:line="280" w:lineRule="exact"/>
        <w:jc w:val="left"/>
        <w:rPr>
          <w:rFonts w:ascii="Times New Roman" w:hAnsi="Times New Roman" w:cs="Times New Roman"/>
        </w:rPr>
      </w:pPr>
      <w:bookmarkStart w:id="454" w:name="_Toc989313"/>
      <w:r w:rsidRPr="00672DC8">
        <w:rPr>
          <w:rFonts w:ascii="Times New Roman" w:hAnsi="Times New Roman" w:cs="Times New Roman"/>
          <w:b/>
          <w:bCs/>
        </w:rPr>
        <w:t>8</w:t>
      </w:r>
      <w:r w:rsidRPr="00672DC8">
        <w:rPr>
          <w:rFonts w:ascii="Times New Roman" w:hAnsi="Times New Roman" w:cs="Times New Roman"/>
          <w:b/>
          <w:bCs/>
        </w:rPr>
        <w:t>、其他</w:t>
      </w:r>
      <w:bookmarkEnd w:id="454"/>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55" w:name="_Toc989314"/>
      <w:r w:rsidRPr="00672DC8">
        <w:rPr>
          <w:rFonts w:ascii="Times New Roman" w:eastAsia="宋体" w:hAnsi="Times New Roman" w:cs="Times New Roman"/>
          <w:b/>
          <w:bCs/>
          <w:sz w:val="24"/>
          <w:szCs w:val="24"/>
        </w:rPr>
        <w:t>十五、股份支付</w:t>
      </w:r>
      <w:bookmarkEnd w:id="455"/>
    </w:p>
    <w:p w:rsidR="003D2BA8" w:rsidRPr="00672DC8" w:rsidRDefault="000C0769">
      <w:pPr>
        <w:pStyle w:val="3"/>
        <w:spacing w:line="280" w:lineRule="exact"/>
        <w:jc w:val="left"/>
        <w:rPr>
          <w:rFonts w:ascii="Times New Roman" w:hAnsi="Times New Roman" w:cs="Times New Roman"/>
          <w:b/>
          <w:bCs/>
        </w:rPr>
      </w:pPr>
      <w:bookmarkStart w:id="456" w:name="_Toc989315"/>
      <w:r w:rsidRPr="00672DC8">
        <w:rPr>
          <w:rFonts w:ascii="Times New Roman" w:hAnsi="Times New Roman" w:cs="Times New Roman"/>
          <w:b/>
          <w:bCs/>
        </w:rPr>
        <w:t>1</w:t>
      </w:r>
      <w:r w:rsidRPr="00672DC8">
        <w:rPr>
          <w:rFonts w:ascii="Times New Roman" w:hAnsi="Times New Roman" w:cs="Times New Roman"/>
          <w:b/>
          <w:bCs/>
        </w:rPr>
        <w:t>、股份支付总体情况</w:t>
      </w:r>
      <w:bookmarkEnd w:id="456"/>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57" w:name="_Toc989316"/>
      <w:r w:rsidRPr="00672DC8">
        <w:rPr>
          <w:rFonts w:ascii="Times New Roman" w:hAnsi="Times New Roman" w:cs="Times New Roman"/>
          <w:b/>
          <w:bCs/>
        </w:rPr>
        <w:lastRenderedPageBreak/>
        <w:t>2</w:t>
      </w:r>
      <w:r w:rsidRPr="00672DC8">
        <w:rPr>
          <w:rFonts w:ascii="Times New Roman" w:hAnsi="Times New Roman" w:cs="Times New Roman"/>
          <w:b/>
          <w:bCs/>
        </w:rPr>
        <w:t>、以权益结算的股份支付情况</w:t>
      </w:r>
      <w:bookmarkEnd w:id="457"/>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4815"/>
        <w:gridCol w:w="4816"/>
      </w:tblGrid>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授予日权益工具公允价值的确定方法</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股票期权为</w:t>
            </w:r>
            <w:r w:rsidRPr="00672DC8">
              <w:rPr>
                <w:rFonts w:ascii="Times New Roman" w:eastAsia="宋体" w:hAnsi="Times New Roman" w:cs="Times New Roman"/>
                <w:sz w:val="18"/>
                <w:szCs w:val="18"/>
              </w:rPr>
              <w:t>BS</w:t>
            </w:r>
            <w:r w:rsidRPr="00672DC8">
              <w:rPr>
                <w:rFonts w:ascii="Times New Roman" w:eastAsia="宋体" w:hAnsi="Times New Roman" w:cs="Times New Roman"/>
                <w:sz w:val="18"/>
                <w:szCs w:val="18"/>
              </w:rPr>
              <w:t>模型、授予日收盘价与授予价格之间的差额作为限制性股票的公允价值</w:t>
            </w:r>
          </w:p>
        </w:tc>
      </w:tr>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授予日权益工具公允价值的重要参数</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历史波动率、无风险收益率、股息率</w:t>
            </w:r>
          </w:p>
        </w:tc>
      </w:tr>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可行权权益工具数量的确定依据</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管理层预计未来可行权人员及数量</w:t>
            </w:r>
          </w:p>
        </w:tc>
      </w:tr>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本期估计与上期估计有重大差异的原因</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r>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以权益结算的股份支付计入资本公积的累计金额</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31,729,227.10</w:t>
            </w:r>
          </w:p>
        </w:tc>
      </w:tr>
      <w:tr w:rsidR="003D2BA8" w:rsidRPr="00672DC8" w:rsidTr="00446E09">
        <w:trPr>
          <w:trHeight w:val="240"/>
        </w:trPr>
        <w:tc>
          <w:tcPr>
            <w:tcW w:w="2500"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本期以权益结算的股份支付确认的费用总额</w:t>
            </w:r>
          </w:p>
        </w:tc>
        <w:tc>
          <w:tcPr>
            <w:tcW w:w="250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r>
    </w:tbl>
    <w:p w:rsidR="000C0769" w:rsidRPr="00672DC8" w:rsidRDefault="000C0769" w:rsidP="004B7012">
      <w:pPr>
        <w:spacing w:before="100" w:after="100" w:line="240" w:lineRule="exact"/>
        <w:divId w:val="1528175034"/>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4B7012"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458" w:name="_Toc989317"/>
      <w:r w:rsidRPr="00672DC8">
        <w:rPr>
          <w:rFonts w:ascii="Times New Roman" w:hAnsi="Times New Roman" w:cs="Times New Roman"/>
          <w:b/>
          <w:bCs/>
        </w:rPr>
        <w:t>3</w:t>
      </w:r>
      <w:r w:rsidRPr="00672DC8">
        <w:rPr>
          <w:rFonts w:ascii="Times New Roman" w:hAnsi="Times New Roman" w:cs="Times New Roman"/>
          <w:b/>
          <w:bCs/>
        </w:rPr>
        <w:t>、以现金结算的股份支付情况</w:t>
      </w:r>
      <w:bookmarkEnd w:id="458"/>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59" w:name="_Toc989318"/>
      <w:r w:rsidRPr="00672DC8">
        <w:rPr>
          <w:rFonts w:ascii="Times New Roman" w:hAnsi="Times New Roman" w:cs="Times New Roman"/>
          <w:b/>
          <w:bCs/>
        </w:rPr>
        <w:t>4</w:t>
      </w:r>
      <w:r w:rsidRPr="00672DC8">
        <w:rPr>
          <w:rFonts w:ascii="Times New Roman" w:hAnsi="Times New Roman" w:cs="Times New Roman"/>
          <w:b/>
          <w:bCs/>
        </w:rPr>
        <w:t>、本期股份支付费用</w:t>
      </w:r>
      <w:bookmarkEnd w:id="459"/>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授予对象类别</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以权益结算的股份支付费用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以现金结算的股份支付费用</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高管及核心员工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5,683,918.45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0C0769" w:rsidRPr="00672DC8" w:rsidRDefault="000C0769" w:rsidP="00FF6342">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w:t>
      </w:r>
      <w:r w:rsidR="00FF6342"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460" w:name="_Toc989319"/>
      <w:r w:rsidRPr="00672DC8">
        <w:rPr>
          <w:rFonts w:ascii="Times New Roman" w:hAnsi="Times New Roman" w:cs="Times New Roman"/>
          <w:b/>
          <w:bCs/>
        </w:rPr>
        <w:t>5</w:t>
      </w:r>
      <w:r w:rsidRPr="00672DC8">
        <w:rPr>
          <w:rFonts w:ascii="Times New Roman" w:hAnsi="Times New Roman" w:cs="Times New Roman"/>
          <w:b/>
          <w:bCs/>
        </w:rPr>
        <w:t>、股份支付的修改、终止情况</w:t>
      </w:r>
      <w:bookmarkEnd w:id="460"/>
    </w:p>
    <w:p w:rsidR="000C0769" w:rsidRPr="00672DC8" w:rsidRDefault="000C0769">
      <w:pPr>
        <w:pStyle w:val="a3"/>
        <w:divId w:val="1646854869"/>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rsidP="002F3A45">
      <w:pPr>
        <w:pStyle w:val="3"/>
        <w:spacing w:line="280" w:lineRule="exact"/>
        <w:jc w:val="left"/>
        <w:rPr>
          <w:rFonts w:ascii="Times New Roman" w:hAnsi="Times New Roman" w:cs="Times New Roman"/>
        </w:rPr>
      </w:pPr>
      <w:bookmarkStart w:id="461" w:name="_Toc989320"/>
      <w:r w:rsidRPr="00672DC8">
        <w:rPr>
          <w:rFonts w:ascii="Times New Roman" w:hAnsi="Times New Roman" w:cs="Times New Roman"/>
          <w:b/>
          <w:bCs/>
        </w:rPr>
        <w:t>6</w:t>
      </w:r>
      <w:r w:rsidRPr="00672DC8">
        <w:rPr>
          <w:rFonts w:ascii="Times New Roman" w:hAnsi="Times New Roman" w:cs="Times New Roman"/>
          <w:b/>
          <w:bCs/>
        </w:rPr>
        <w:t>、其他</w:t>
      </w:r>
      <w:r w:rsidRPr="00672DC8">
        <w:rPr>
          <w:rFonts w:ascii="Times New Roman" w:hAnsi="Times New Roman" w:cs="Times New Roman"/>
          <w:b/>
          <w:bCs/>
        </w:rPr>
        <w:t xml:space="preserve"> </w:t>
      </w:r>
      <w:bookmarkEnd w:id="461"/>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62" w:name="_Toc989321"/>
      <w:r w:rsidRPr="00672DC8">
        <w:rPr>
          <w:rFonts w:ascii="Times New Roman" w:eastAsia="宋体" w:hAnsi="Times New Roman" w:cs="Times New Roman"/>
          <w:b/>
          <w:bCs/>
          <w:sz w:val="24"/>
          <w:szCs w:val="24"/>
        </w:rPr>
        <w:t>十六、承诺及或有事项</w:t>
      </w:r>
      <w:bookmarkEnd w:id="462"/>
    </w:p>
    <w:p w:rsidR="003D2BA8" w:rsidRPr="00672DC8" w:rsidRDefault="000C0769">
      <w:pPr>
        <w:pStyle w:val="3"/>
        <w:spacing w:line="280" w:lineRule="exact"/>
        <w:jc w:val="left"/>
        <w:rPr>
          <w:rFonts w:ascii="Times New Roman" w:hAnsi="Times New Roman" w:cs="Times New Roman"/>
          <w:b/>
          <w:bCs/>
        </w:rPr>
      </w:pPr>
      <w:bookmarkStart w:id="463" w:name="_Toc989322"/>
      <w:r w:rsidRPr="00672DC8">
        <w:rPr>
          <w:rFonts w:ascii="Times New Roman" w:hAnsi="Times New Roman" w:cs="Times New Roman"/>
          <w:b/>
          <w:bCs/>
        </w:rPr>
        <w:t>1</w:t>
      </w:r>
      <w:r w:rsidRPr="00672DC8">
        <w:rPr>
          <w:rFonts w:ascii="Times New Roman" w:hAnsi="Times New Roman" w:cs="Times New Roman"/>
          <w:b/>
          <w:bCs/>
        </w:rPr>
        <w:t>、重要承诺事项</w:t>
      </w:r>
      <w:bookmarkEnd w:id="463"/>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资产负债表日存在的重要承诺</w:t>
      </w:r>
    </w:p>
    <w:p w:rsidR="000C0769" w:rsidRPr="00672DC8" w:rsidRDefault="000C0769">
      <w:pPr>
        <w:pStyle w:val="a3"/>
        <w:divId w:val="821308574"/>
        <w:rPr>
          <w:rFonts w:ascii="Times New Roman" w:hAnsi="Times New Roman" w:cs="Times New Roman"/>
          <w:sz w:val="18"/>
          <w:szCs w:val="18"/>
        </w:rPr>
      </w:pPr>
      <w:r w:rsidRPr="00672DC8">
        <w:rPr>
          <w:rFonts w:ascii="Times New Roman" w:hAnsi="Times New Roman" w:cs="Times New Roman"/>
          <w:sz w:val="18"/>
          <w:szCs w:val="18"/>
        </w:rPr>
        <w:t>截至</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6</w:t>
      </w:r>
      <w:r w:rsidRPr="00672DC8">
        <w:rPr>
          <w:rFonts w:ascii="Times New Roman" w:hAnsi="Times New Roman" w:cs="Times New Roman"/>
          <w:sz w:val="18"/>
          <w:szCs w:val="18"/>
        </w:rPr>
        <w:t>月</w:t>
      </w:r>
      <w:r w:rsidRPr="00672DC8">
        <w:rPr>
          <w:rFonts w:ascii="Times New Roman" w:hAnsi="Times New Roman" w:cs="Times New Roman"/>
          <w:sz w:val="18"/>
          <w:szCs w:val="18"/>
        </w:rPr>
        <w:t>30</w:t>
      </w:r>
      <w:r w:rsidRPr="00672DC8">
        <w:rPr>
          <w:rFonts w:ascii="Times New Roman" w:hAnsi="Times New Roman" w:cs="Times New Roman"/>
          <w:sz w:val="18"/>
          <w:szCs w:val="18"/>
        </w:rPr>
        <w:t>日，本公司不存在需要披露的重要承诺事项。</w:t>
      </w:r>
    </w:p>
    <w:p w:rsidR="003D2BA8" w:rsidRPr="00672DC8" w:rsidRDefault="000C0769">
      <w:pPr>
        <w:pStyle w:val="3"/>
        <w:spacing w:line="280" w:lineRule="exact"/>
        <w:jc w:val="left"/>
        <w:rPr>
          <w:rFonts w:ascii="Times New Roman" w:hAnsi="Times New Roman" w:cs="Times New Roman"/>
          <w:b/>
          <w:bCs/>
        </w:rPr>
      </w:pPr>
      <w:bookmarkStart w:id="464" w:name="_Toc989323"/>
      <w:r w:rsidRPr="00672DC8">
        <w:rPr>
          <w:rFonts w:ascii="Times New Roman" w:hAnsi="Times New Roman" w:cs="Times New Roman"/>
          <w:b/>
          <w:bCs/>
        </w:rPr>
        <w:t>2</w:t>
      </w:r>
      <w:r w:rsidRPr="00672DC8">
        <w:rPr>
          <w:rFonts w:ascii="Times New Roman" w:hAnsi="Times New Roman" w:cs="Times New Roman"/>
          <w:b/>
          <w:bCs/>
        </w:rPr>
        <w:t>、或有事项</w:t>
      </w:r>
      <w:bookmarkEnd w:id="464"/>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65" w:name="_Toc98932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资产负债表日存在的重要或有事项</w:t>
      </w:r>
      <w:bookmarkEnd w:id="465"/>
    </w:p>
    <w:p w:rsidR="000C0769" w:rsidRPr="00672DC8" w:rsidRDefault="000C0769">
      <w:pPr>
        <w:pStyle w:val="a3"/>
        <w:divId w:val="823277030"/>
        <w:rPr>
          <w:rFonts w:ascii="Times New Roman" w:hAnsi="Times New Roman" w:cs="Times New Roman"/>
          <w:sz w:val="18"/>
          <w:szCs w:val="18"/>
        </w:rPr>
      </w:pPr>
      <w:r w:rsidRPr="00672DC8">
        <w:rPr>
          <w:rFonts w:ascii="Times New Roman" w:hAnsi="Times New Roman" w:cs="Times New Roman"/>
          <w:sz w:val="18"/>
          <w:szCs w:val="18"/>
        </w:rPr>
        <w:t>截至</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6</w:t>
      </w:r>
      <w:r w:rsidRPr="00672DC8">
        <w:rPr>
          <w:rFonts w:ascii="Times New Roman" w:hAnsi="Times New Roman" w:cs="Times New Roman"/>
          <w:sz w:val="18"/>
          <w:szCs w:val="18"/>
        </w:rPr>
        <w:t>月</w:t>
      </w:r>
      <w:r w:rsidRPr="00672DC8">
        <w:rPr>
          <w:rFonts w:ascii="Times New Roman" w:hAnsi="Times New Roman" w:cs="Times New Roman"/>
          <w:sz w:val="18"/>
          <w:szCs w:val="18"/>
        </w:rPr>
        <w:t>30</w:t>
      </w:r>
      <w:r w:rsidRPr="00672DC8">
        <w:rPr>
          <w:rFonts w:ascii="Times New Roman" w:hAnsi="Times New Roman" w:cs="Times New Roman"/>
          <w:sz w:val="18"/>
          <w:szCs w:val="18"/>
        </w:rPr>
        <w:t>日，本公司无需要披露的重大或有事项。</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66" w:name="_Toc989325"/>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公司没有需要披露的重要或有事项，也应予以说明</w:t>
      </w:r>
      <w:bookmarkEnd w:id="466"/>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公司不存在需要披露的重要或有事项。</w:t>
      </w:r>
    </w:p>
    <w:p w:rsidR="003D2BA8" w:rsidRPr="00672DC8" w:rsidRDefault="000C0769">
      <w:pPr>
        <w:pStyle w:val="3"/>
        <w:spacing w:line="280" w:lineRule="exact"/>
        <w:jc w:val="left"/>
        <w:rPr>
          <w:rFonts w:ascii="Times New Roman" w:hAnsi="Times New Roman" w:cs="Times New Roman"/>
          <w:b/>
          <w:bCs/>
        </w:rPr>
      </w:pPr>
      <w:bookmarkStart w:id="467" w:name="_Toc989326"/>
      <w:r w:rsidRPr="00672DC8">
        <w:rPr>
          <w:rFonts w:ascii="Times New Roman" w:hAnsi="Times New Roman" w:cs="Times New Roman"/>
          <w:b/>
          <w:bCs/>
        </w:rPr>
        <w:t>3</w:t>
      </w:r>
      <w:r w:rsidRPr="00672DC8">
        <w:rPr>
          <w:rFonts w:ascii="Times New Roman" w:hAnsi="Times New Roman" w:cs="Times New Roman"/>
          <w:b/>
          <w:bCs/>
        </w:rPr>
        <w:t>、其他</w:t>
      </w:r>
      <w:bookmarkEnd w:id="467"/>
    </w:p>
    <w:p w:rsidR="000C0769" w:rsidRPr="00672DC8" w:rsidRDefault="000C0769">
      <w:pPr>
        <w:pStyle w:val="a3"/>
        <w:divId w:val="1191534398"/>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68" w:name="_Toc989327"/>
      <w:r w:rsidRPr="00672DC8">
        <w:rPr>
          <w:rFonts w:ascii="Times New Roman" w:eastAsia="宋体" w:hAnsi="Times New Roman" w:cs="Times New Roman"/>
          <w:b/>
          <w:bCs/>
          <w:sz w:val="24"/>
          <w:szCs w:val="24"/>
        </w:rPr>
        <w:t>十七、资产负债表日后事项</w:t>
      </w:r>
      <w:bookmarkEnd w:id="468"/>
    </w:p>
    <w:p w:rsidR="003D2BA8" w:rsidRPr="00672DC8" w:rsidRDefault="000C0769">
      <w:pPr>
        <w:pStyle w:val="3"/>
        <w:spacing w:line="280" w:lineRule="exact"/>
        <w:jc w:val="left"/>
        <w:rPr>
          <w:rFonts w:ascii="Times New Roman" w:hAnsi="Times New Roman" w:cs="Times New Roman"/>
          <w:b/>
          <w:bCs/>
        </w:rPr>
      </w:pPr>
      <w:bookmarkStart w:id="469" w:name="_Toc989328"/>
      <w:r w:rsidRPr="00672DC8">
        <w:rPr>
          <w:rFonts w:ascii="Times New Roman" w:hAnsi="Times New Roman" w:cs="Times New Roman"/>
          <w:b/>
          <w:bCs/>
        </w:rPr>
        <w:t>1</w:t>
      </w:r>
      <w:r w:rsidRPr="00672DC8">
        <w:rPr>
          <w:rFonts w:ascii="Times New Roman" w:hAnsi="Times New Roman" w:cs="Times New Roman"/>
          <w:b/>
          <w:bCs/>
        </w:rPr>
        <w:t>、重要的非调整事项</w:t>
      </w:r>
      <w:bookmarkEnd w:id="46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对财务状况和经营成果的影响数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无法估计影响数的原因</w:t>
            </w:r>
          </w:p>
        </w:tc>
      </w:tr>
    </w:tbl>
    <w:p w:rsidR="003D2BA8" w:rsidRPr="00672DC8" w:rsidRDefault="000C0769">
      <w:pPr>
        <w:pStyle w:val="3"/>
        <w:spacing w:line="280" w:lineRule="exact"/>
        <w:jc w:val="left"/>
        <w:rPr>
          <w:rFonts w:ascii="Times New Roman" w:hAnsi="Times New Roman" w:cs="Times New Roman"/>
          <w:b/>
          <w:bCs/>
        </w:rPr>
      </w:pPr>
      <w:bookmarkStart w:id="470" w:name="_Toc989329"/>
      <w:r w:rsidRPr="00672DC8">
        <w:rPr>
          <w:rFonts w:ascii="Times New Roman" w:hAnsi="Times New Roman" w:cs="Times New Roman"/>
          <w:b/>
          <w:bCs/>
        </w:rPr>
        <w:t>2</w:t>
      </w:r>
      <w:r w:rsidRPr="00672DC8">
        <w:rPr>
          <w:rFonts w:ascii="Times New Roman" w:hAnsi="Times New Roman" w:cs="Times New Roman"/>
          <w:b/>
          <w:bCs/>
        </w:rPr>
        <w:t>、利润分配情况</w:t>
      </w:r>
      <w:bookmarkEnd w:id="470"/>
    </w:p>
    <w:p w:rsidR="003D2BA8" w:rsidRPr="00672DC8" w:rsidRDefault="000C0769">
      <w:pPr>
        <w:pStyle w:val="3"/>
        <w:spacing w:line="280" w:lineRule="exact"/>
        <w:jc w:val="left"/>
        <w:rPr>
          <w:rFonts w:ascii="Times New Roman" w:hAnsi="Times New Roman" w:cs="Times New Roman"/>
          <w:b/>
          <w:bCs/>
        </w:rPr>
      </w:pPr>
      <w:bookmarkStart w:id="471" w:name="_Toc989330"/>
      <w:r w:rsidRPr="00672DC8">
        <w:rPr>
          <w:rFonts w:ascii="Times New Roman" w:hAnsi="Times New Roman" w:cs="Times New Roman"/>
          <w:b/>
          <w:bCs/>
        </w:rPr>
        <w:t>3</w:t>
      </w:r>
      <w:r w:rsidRPr="00672DC8">
        <w:rPr>
          <w:rFonts w:ascii="Times New Roman" w:hAnsi="Times New Roman" w:cs="Times New Roman"/>
          <w:b/>
          <w:bCs/>
        </w:rPr>
        <w:t>、销售退回</w:t>
      </w:r>
      <w:bookmarkEnd w:id="471"/>
    </w:p>
    <w:p w:rsidR="000C0769" w:rsidRPr="00672DC8" w:rsidRDefault="000C0769">
      <w:pPr>
        <w:pStyle w:val="a3"/>
        <w:divId w:val="2116945869"/>
        <w:rPr>
          <w:rFonts w:ascii="Times New Roman" w:hAnsi="Times New Roman" w:cs="Times New Roman"/>
          <w:sz w:val="18"/>
          <w:szCs w:val="18"/>
        </w:rPr>
      </w:pPr>
      <w:r w:rsidRPr="00672DC8">
        <w:rPr>
          <w:rFonts w:ascii="Times New Roman" w:hAnsi="Times New Roman" w:cs="Times New Roman"/>
          <w:sz w:val="18"/>
          <w:szCs w:val="18"/>
        </w:rPr>
        <w:t>不适用。</w:t>
      </w:r>
      <w:r w:rsidRPr="00672DC8">
        <w:rPr>
          <w:rFonts w:ascii="Times New Roman" w:hAnsi="Times New Roman" w:cs="Times New Roman"/>
          <w:sz w:val="18"/>
          <w:szCs w:val="18"/>
        </w:rPr>
        <w:t> </w:t>
      </w:r>
    </w:p>
    <w:p w:rsidR="003D2BA8" w:rsidRPr="00672DC8" w:rsidRDefault="000C0769">
      <w:pPr>
        <w:pStyle w:val="3"/>
        <w:spacing w:line="280" w:lineRule="exact"/>
        <w:jc w:val="left"/>
        <w:rPr>
          <w:rFonts w:ascii="Times New Roman" w:hAnsi="Times New Roman" w:cs="Times New Roman"/>
          <w:b/>
          <w:bCs/>
        </w:rPr>
      </w:pPr>
      <w:bookmarkStart w:id="472" w:name="_Toc989331"/>
      <w:r w:rsidRPr="00672DC8">
        <w:rPr>
          <w:rFonts w:ascii="Times New Roman" w:hAnsi="Times New Roman" w:cs="Times New Roman"/>
          <w:b/>
          <w:bCs/>
        </w:rPr>
        <w:t>4</w:t>
      </w:r>
      <w:r w:rsidRPr="00672DC8">
        <w:rPr>
          <w:rFonts w:ascii="Times New Roman" w:hAnsi="Times New Roman" w:cs="Times New Roman"/>
          <w:b/>
          <w:bCs/>
        </w:rPr>
        <w:t>、其他资产负债表日后事项说明</w:t>
      </w:r>
      <w:bookmarkEnd w:id="472"/>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w:t>
      </w:r>
      <w:r w:rsidRPr="00672DC8">
        <w:rPr>
          <w:rFonts w:ascii="Times New Roman" w:hAnsi="Times New Roman" w:cs="Times New Roman"/>
          <w:sz w:val="18"/>
          <w:szCs w:val="18"/>
        </w:rPr>
        <w:t>1</w:t>
      </w:r>
      <w:r w:rsidRPr="00672DC8">
        <w:rPr>
          <w:rFonts w:ascii="Times New Roman" w:hAnsi="Times New Roman" w:cs="Times New Roman"/>
          <w:sz w:val="18"/>
          <w:szCs w:val="18"/>
        </w:rPr>
        <w:t>）完成工商变更登记并换发营业执照</w:t>
      </w:r>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   </w:t>
      </w:r>
      <w:r w:rsidRPr="00672DC8">
        <w:rPr>
          <w:rFonts w:ascii="Times New Roman" w:hAnsi="Times New Roman" w:cs="Times New Roman"/>
          <w:sz w:val="18"/>
          <w:szCs w:val="18"/>
        </w:rPr>
        <w:t>公司于</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6</w:t>
      </w:r>
      <w:r w:rsidRPr="00672DC8">
        <w:rPr>
          <w:rFonts w:ascii="Times New Roman" w:hAnsi="Times New Roman" w:cs="Times New Roman"/>
          <w:sz w:val="18"/>
          <w:szCs w:val="18"/>
        </w:rPr>
        <w:t>月</w:t>
      </w:r>
      <w:r w:rsidRPr="00672DC8">
        <w:rPr>
          <w:rFonts w:ascii="Times New Roman" w:hAnsi="Times New Roman" w:cs="Times New Roman"/>
          <w:sz w:val="18"/>
          <w:szCs w:val="18"/>
        </w:rPr>
        <w:t>30</w:t>
      </w:r>
      <w:r w:rsidRPr="00672DC8">
        <w:rPr>
          <w:rFonts w:ascii="Times New Roman" w:hAnsi="Times New Roman" w:cs="Times New Roman"/>
          <w:sz w:val="18"/>
          <w:szCs w:val="18"/>
        </w:rPr>
        <w:t>日召开第四届董事会第九次会议，并于</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7</w:t>
      </w:r>
      <w:r w:rsidRPr="00672DC8">
        <w:rPr>
          <w:rFonts w:ascii="Times New Roman" w:hAnsi="Times New Roman" w:cs="Times New Roman"/>
          <w:sz w:val="18"/>
          <w:szCs w:val="18"/>
        </w:rPr>
        <w:t>月</w:t>
      </w:r>
      <w:r w:rsidRPr="00672DC8">
        <w:rPr>
          <w:rFonts w:ascii="Times New Roman" w:hAnsi="Times New Roman" w:cs="Times New Roman"/>
          <w:sz w:val="18"/>
          <w:szCs w:val="18"/>
        </w:rPr>
        <w:t>16</w:t>
      </w:r>
      <w:r w:rsidRPr="00672DC8">
        <w:rPr>
          <w:rFonts w:ascii="Times New Roman" w:hAnsi="Times New Roman" w:cs="Times New Roman"/>
          <w:sz w:val="18"/>
          <w:szCs w:val="18"/>
        </w:rPr>
        <w:t>日召开</w:t>
      </w:r>
      <w:r w:rsidRPr="00672DC8">
        <w:rPr>
          <w:rFonts w:ascii="Times New Roman" w:hAnsi="Times New Roman" w:cs="Times New Roman"/>
          <w:sz w:val="18"/>
          <w:szCs w:val="18"/>
        </w:rPr>
        <w:t>2026</w:t>
      </w:r>
      <w:r w:rsidRPr="00672DC8">
        <w:rPr>
          <w:rFonts w:ascii="Times New Roman" w:hAnsi="Times New Roman" w:cs="Times New Roman"/>
          <w:sz w:val="18"/>
          <w:szCs w:val="18"/>
        </w:rPr>
        <w:t>年第三次临时股东会，审议通过了《关于变更注册资本和注册地址、修订公司章程并办理工商变更登记的议案》，同意公司根</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据权益分派实施结果增加注册资本，基于经营发展需要变更注册地址，</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并对《广东天亿马信息产业股份有限公司章程》予以修订。</w:t>
      </w:r>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   </w:t>
      </w:r>
      <w:r w:rsidRPr="00672DC8">
        <w:rPr>
          <w:rFonts w:ascii="Times New Roman" w:hAnsi="Times New Roman" w:cs="Times New Roman"/>
          <w:sz w:val="18"/>
          <w:szCs w:val="18"/>
        </w:rPr>
        <w:t>公司于</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7</w:t>
      </w:r>
      <w:r w:rsidRPr="00672DC8">
        <w:rPr>
          <w:rFonts w:ascii="Times New Roman" w:hAnsi="Times New Roman" w:cs="Times New Roman"/>
          <w:sz w:val="18"/>
          <w:szCs w:val="18"/>
        </w:rPr>
        <w:t>月</w:t>
      </w:r>
      <w:r w:rsidRPr="00672DC8">
        <w:rPr>
          <w:rFonts w:ascii="Times New Roman" w:hAnsi="Times New Roman" w:cs="Times New Roman"/>
          <w:sz w:val="18"/>
          <w:szCs w:val="18"/>
        </w:rPr>
        <w:t>20</w:t>
      </w:r>
      <w:r w:rsidRPr="00672DC8">
        <w:rPr>
          <w:rFonts w:ascii="Times New Roman" w:hAnsi="Times New Roman" w:cs="Times New Roman"/>
          <w:sz w:val="18"/>
          <w:szCs w:val="18"/>
        </w:rPr>
        <w:t>日完成了以上变更上述工商变更登记及《公司章程》的备案手续，</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并收到汕头市市场监督管理局换发的《营业执照》。变更后，公司注册资本为人民币玖仟叁佰壹拾万零肆仟贰佰陆拾肆元，注册地址为汕头市海滨路</w:t>
      </w:r>
      <w:r w:rsidRPr="00672DC8">
        <w:rPr>
          <w:rFonts w:ascii="Times New Roman" w:hAnsi="Times New Roman" w:cs="Times New Roman"/>
          <w:sz w:val="18"/>
          <w:szCs w:val="18"/>
        </w:rPr>
        <w:t>55</w:t>
      </w:r>
      <w:r w:rsidRPr="00672DC8">
        <w:rPr>
          <w:rFonts w:ascii="Times New Roman" w:hAnsi="Times New Roman" w:cs="Times New Roman"/>
          <w:sz w:val="18"/>
          <w:szCs w:val="18"/>
        </w:rPr>
        <w:t>号海逸投资大厦</w:t>
      </w:r>
      <w:r w:rsidRPr="00672DC8">
        <w:rPr>
          <w:rFonts w:ascii="Times New Roman" w:hAnsi="Times New Roman" w:cs="Times New Roman"/>
          <w:sz w:val="18"/>
          <w:szCs w:val="18"/>
        </w:rPr>
        <w:t>5</w:t>
      </w:r>
      <w:r w:rsidRPr="00672DC8">
        <w:rPr>
          <w:rFonts w:ascii="Times New Roman" w:hAnsi="Times New Roman" w:cs="Times New Roman"/>
          <w:sz w:val="18"/>
          <w:szCs w:val="18"/>
        </w:rPr>
        <w:t>层。</w:t>
      </w:r>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w:t>
      </w:r>
      <w:r w:rsidRPr="00672DC8">
        <w:rPr>
          <w:rFonts w:ascii="Times New Roman" w:hAnsi="Times New Roman" w:cs="Times New Roman"/>
          <w:sz w:val="18"/>
          <w:szCs w:val="18"/>
        </w:rPr>
        <w:t>2</w:t>
      </w:r>
      <w:r w:rsidRPr="00672DC8">
        <w:rPr>
          <w:rFonts w:ascii="Times New Roman" w:hAnsi="Times New Roman" w:cs="Times New Roman"/>
          <w:sz w:val="18"/>
          <w:szCs w:val="18"/>
        </w:rPr>
        <w:t>）与关联方共同投资设立亿拓词元科技</w:t>
      </w:r>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   </w:t>
      </w:r>
      <w:r w:rsidRPr="00672DC8">
        <w:rPr>
          <w:rFonts w:ascii="Times New Roman" w:hAnsi="Times New Roman" w:cs="Times New Roman"/>
          <w:sz w:val="18"/>
          <w:szCs w:val="18"/>
        </w:rPr>
        <w:t>公司于</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8</w:t>
      </w:r>
      <w:r w:rsidRPr="00672DC8">
        <w:rPr>
          <w:rFonts w:ascii="Times New Roman" w:hAnsi="Times New Roman" w:cs="Times New Roman"/>
          <w:sz w:val="18"/>
          <w:szCs w:val="18"/>
        </w:rPr>
        <w:t>月</w:t>
      </w:r>
      <w:r w:rsidRPr="00672DC8">
        <w:rPr>
          <w:rFonts w:ascii="Times New Roman" w:hAnsi="Times New Roman" w:cs="Times New Roman"/>
          <w:sz w:val="18"/>
          <w:szCs w:val="18"/>
        </w:rPr>
        <w:t>4</w:t>
      </w:r>
      <w:r w:rsidRPr="00672DC8">
        <w:rPr>
          <w:rFonts w:ascii="Times New Roman" w:hAnsi="Times New Roman" w:cs="Times New Roman"/>
          <w:sz w:val="18"/>
          <w:szCs w:val="18"/>
        </w:rPr>
        <w:t>日召开第四届董事会审计委员会</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第九次会议、第四届董事会第四次独立董事专门会议、第四届董事会第十次会议，审议通过了《关于与关联方共同投资设立合资公司暨关</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联交易的议案》。加快推进词元（</w:t>
      </w:r>
      <w:r w:rsidRPr="00672DC8">
        <w:rPr>
          <w:rFonts w:ascii="Times New Roman" w:hAnsi="Times New Roman" w:cs="Times New Roman"/>
          <w:sz w:val="18"/>
          <w:szCs w:val="18"/>
        </w:rPr>
        <w:t>Token</w:t>
      </w:r>
      <w:r w:rsidRPr="00672DC8">
        <w:rPr>
          <w:rFonts w:ascii="Times New Roman" w:hAnsi="Times New Roman" w:cs="Times New Roman"/>
          <w:sz w:val="18"/>
          <w:szCs w:val="18"/>
        </w:rPr>
        <w:t>）</w:t>
      </w:r>
      <w:r w:rsidRPr="00672DC8">
        <w:rPr>
          <w:rFonts w:ascii="Times New Roman" w:hAnsi="Times New Roman" w:cs="Times New Roman"/>
          <w:sz w:val="18"/>
          <w:szCs w:val="18"/>
        </w:rPr>
        <w:t xml:space="preserve"> </w:t>
      </w:r>
      <w:r w:rsidRPr="00672DC8">
        <w:rPr>
          <w:rFonts w:ascii="Times New Roman" w:hAnsi="Times New Roman" w:cs="Times New Roman"/>
          <w:sz w:val="18"/>
          <w:szCs w:val="18"/>
        </w:rPr>
        <w:t>工厂及运营项目建设快速落地，公司拟与非关联方广东璞玉圆明体科技有限公司</w:t>
      </w:r>
      <w:r w:rsidRPr="00672DC8">
        <w:rPr>
          <w:rFonts w:ascii="Times New Roman" w:hAnsi="Times New Roman" w:cs="Times New Roman"/>
          <w:sz w:val="18"/>
          <w:szCs w:val="18"/>
        </w:rPr>
        <w:t>(</w:t>
      </w:r>
      <w:r w:rsidRPr="00672DC8">
        <w:rPr>
          <w:rFonts w:ascii="Times New Roman" w:hAnsi="Times New Roman" w:cs="Times New Roman"/>
          <w:sz w:val="18"/>
          <w:szCs w:val="18"/>
        </w:rPr>
        <w:t>以下简称</w:t>
      </w:r>
      <w:r w:rsidRPr="00672DC8">
        <w:rPr>
          <w:rFonts w:ascii="Times New Roman" w:hAnsi="Times New Roman" w:cs="Times New Roman"/>
          <w:sz w:val="18"/>
          <w:szCs w:val="18"/>
        </w:rPr>
        <w:t>“</w:t>
      </w:r>
      <w:r w:rsidRPr="00672DC8">
        <w:rPr>
          <w:rFonts w:ascii="Times New Roman" w:hAnsi="Times New Roman" w:cs="Times New Roman"/>
          <w:sz w:val="18"/>
          <w:szCs w:val="18"/>
        </w:rPr>
        <w:t>璞玉科技</w:t>
      </w:r>
      <w:r w:rsidRPr="00672DC8">
        <w:rPr>
          <w:rFonts w:ascii="Times New Roman" w:hAnsi="Times New Roman" w:cs="Times New Roman"/>
          <w:sz w:val="18"/>
          <w:szCs w:val="18"/>
        </w:rPr>
        <w:t>”</w:t>
      </w:r>
      <w:r w:rsidRPr="00672DC8">
        <w:rPr>
          <w:rFonts w:ascii="Times New Roman" w:hAnsi="Times New Roman" w:cs="Times New Roman"/>
          <w:sz w:val="18"/>
          <w:szCs w:val="18"/>
        </w:rPr>
        <w:t>）、关联方马翊珽先生、林树生先生共同投资，成立广东亿拓词元科技有限公司。标的公司注册资本拟为</w:t>
      </w:r>
      <w:r w:rsidRPr="00672DC8">
        <w:rPr>
          <w:rFonts w:ascii="Times New Roman" w:hAnsi="Times New Roman" w:cs="Times New Roman"/>
          <w:sz w:val="18"/>
          <w:szCs w:val="18"/>
        </w:rPr>
        <w:t xml:space="preserve">1,000 </w:t>
      </w:r>
      <w:r w:rsidRPr="00672DC8">
        <w:rPr>
          <w:rFonts w:ascii="Times New Roman" w:hAnsi="Times New Roman" w:cs="Times New Roman"/>
          <w:sz w:val="18"/>
          <w:szCs w:val="18"/>
        </w:rPr>
        <w:t>万元人民币，其中公司以自有资金出资</w:t>
      </w:r>
      <w:r w:rsidRPr="00672DC8">
        <w:rPr>
          <w:rFonts w:ascii="Times New Roman" w:hAnsi="Times New Roman" w:cs="Times New Roman"/>
          <w:sz w:val="18"/>
          <w:szCs w:val="18"/>
        </w:rPr>
        <w:t>450</w:t>
      </w:r>
      <w:r w:rsidRPr="00672DC8">
        <w:rPr>
          <w:rFonts w:ascii="Times New Roman" w:hAnsi="Times New Roman" w:cs="Times New Roman"/>
          <w:sz w:val="18"/>
          <w:szCs w:val="18"/>
        </w:rPr>
        <w:t>万元，占注册资本的</w:t>
      </w:r>
      <w:r w:rsidRPr="00672DC8">
        <w:rPr>
          <w:rFonts w:ascii="Times New Roman" w:hAnsi="Times New Roman" w:cs="Times New Roman"/>
          <w:sz w:val="18"/>
          <w:szCs w:val="18"/>
        </w:rPr>
        <w:t>45%</w:t>
      </w:r>
      <w:r w:rsidRPr="00672DC8">
        <w:rPr>
          <w:rFonts w:ascii="Times New Roman" w:hAnsi="Times New Roman" w:cs="Times New Roman"/>
          <w:sz w:val="18"/>
          <w:szCs w:val="18"/>
        </w:rPr>
        <w:t>；非关联方璞玉科技出资</w:t>
      </w:r>
      <w:r w:rsidRPr="00672DC8">
        <w:rPr>
          <w:rFonts w:ascii="Times New Roman" w:hAnsi="Times New Roman" w:cs="Times New Roman"/>
          <w:sz w:val="18"/>
          <w:szCs w:val="18"/>
        </w:rPr>
        <w:t>440</w:t>
      </w:r>
      <w:r w:rsidRPr="00672DC8">
        <w:rPr>
          <w:rFonts w:ascii="Times New Roman" w:hAnsi="Times New Roman" w:cs="Times New Roman"/>
          <w:sz w:val="18"/>
          <w:szCs w:val="18"/>
        </w:rPr>
        <w:t>万元，占注册资本的</w:t>
      </w:r>
      <w:r w:rsidRPr="00672DC8">
        <w:rPr>
          <w:rFonts w:ascii="Times New Roman" w:hAnsi="Times New Roman" w:cs="Times New Roman"/>
          <w:sz w:val="18"/>
          <w:szCs w:val="18"/>
        </w:rPr>
        <w:t>44%</w:t>
      </w:r>
      <w:r w:rsidRPr="00672DC8">
        <w:rPr>
          <w:rFonts w:ascii="Times New Roman" w:hAnsi="Times New Roman" w:cs="Times New Roman"/>
          <w:sz w:val="18"/>
          <w:szCs w:val="18"/>
        </w:rPr>
        <w:t>；关联方马翊珽先生出资</w:t>
      </w:r>
      <w:r w:rsidRPr="00672DC8">
        <w:rPr>
          <w:rFonts w:ascii="Times New Roman" w:hAnsi="Times New Roman" w:cs="Times New Roman"/>
          <w:sz w:val="18"/>
          <w:szCs w:val="18"/>
        </w:rPr>
        <w:t>60</w:t>
      </w:r>
      <w:r w:rsidRPr="00672DC8">
        <w:rPr>
          <w:rFonts w:ascii="Times New Roman" w:hAnsi="Times New Roman" w:cs="Times New Roman"/>
          <w:sz w:val="18"/>
          <w:szCs w:val="18"/>
        </w:rPr>
        <w:t>万元，占注册资本的</w:t>
      </w:r>
      <w:r w:rsidRPr="00672DC8">
        <w:rPr>
          <w:rFonts w:ascii="Times New Roman" w:hAnsi="Times New Roman" w:cs="Times New Roman"/>
          <w:sz w:val="18"/>
          <w:szCs w:val="18"/>
        </w:rPr>
        <w:t>6%</w:t>
      </w:r>
      <w:r w:rsidRPr="00672DC8">
        <w:rPr>
          <w:rFonts w:ascii="Times New Roman" w:hAnsi="Times New Roman" w:cs="Times New Roman"/>
          <w:sz w:val="18"/>
          <w:szCs w:val="18"/>
        </w:rPr>
        <w:t>；关联方林树生先生出资</w:t>
      </w:r>
      <w:r w:rsidRPr="00672DC8">
        <w:rPr>
          <w:rFonts w:ascii="Times New Roman" w:hAnsi="Times New Roman" w:cs="Times New Roman"/>
          <w:sz w:val="18"/>
          <w:szCs w:val="18"/>
        </w:rPr>
        <w:t>50</w:t>
      </w:r>
      <w:r w:rsidRPr="00672DC8">
        <w:rPr>
          <w:rFonts w:ascii="Times New Roman" w:hAnsi="Times New Roman" w:cs="Times New Roman"/>
          <w:sz w:val="18"/>
          <w:szCs w:val="18"/>
        </w:rPr>
        <w:t>万元，占注册资本的</w:t>
      </w:r>
      <w:r w:rsidRPr="00672DC8">
        <w:rPr>
          <w:rFonts w:ascii="Times New Roman" w:hAnsi="Times New Roman" w:cs="Times New Roman"/>
          <w:sz w:val="18"/>
          <w:szCs w:val="18"/>
        </w:rPr>
        <w:t>5%</w:t>
      </w:r>
      <w:r w:rsidRPr="00672DC8">
        <w:rPr>
          <w:rFonts w:ascii="Times New Roman" w:hAnsi="Times New Roman" w:cs="Times New Roman"/>
          <w:sz w:val="18"/>
          <w:szCs w:val="18"/>
        </w:rPr>
        <w:t>。亿拓词元科技设董事会</w:t>
      </w:r>
      <w:r w:rsidRPr="00672DC8">
        <w:rPr>
          <w:rFonts w:ascii="Times New Roman" w:hAnsi="Times New Roman" w:cs="Times New Roman"/>
          <w:sz w:val="18"/>
          <w:szCs w:val="18"/>
        </w:rPr>
        <w:t>,</w:t>
      </w:r>
      <w:r w:rsidRPr="00672DC8">
        <w:rPr>
          <w:rFonts w:ascii="Times New Roman" w:hAnsi="Times New Roman" w:cs="Times New Roman"/>
          <w:sz w:val="18"/>
          <w:szCs w:val="18"/>
        </w:rPr>
        <w:t>由</w:t>
      </w:r>
      <w:r w:rsidRPr="00672DC8">
        <w:rPr>
          <w:rFonts w:ascii="Times New Roman" w:hAnsi="Times New Roman" w:cs="Times New Roman"/>
          <w:sz w:val="18"/>
          <w:szCs w:val="18"/>
        </w:rPr>
        <w:t>5</w:t>
      </w:r>
      <w:r w:rsidRPr="00672DC8">
        <w:rPr>
          <w:rFonts w:ascii="Times New Roman" w:hAnsi="Times New Roman" w:cs="Times New Roman"/>
          <w:sz w:val="18"/>
          <w:szCs w:val="18"/>
        </w:rPr>
        <w:t>名董事组成，其中上市公司推荐</w:t>
      </w:r>
      <w:r w:rsidRPr="00672DC8">
        <w:rPr>
          <w:rFonts w:ascii="Times New Roman" w:hAnsi="Times New Roman" w:cs="Times New Roman"/>
          <w:sz w:val="18"/>
          <w:szCs w:val="18"/>
        </w:rPr>
        <w:t>3</w:t>
      </w:r>
      <w:r w:rsidRPr="00672DC8">
        <w:rPr>
          <w:rFonts w:ascii="Times New Roman" w:hAnsi="Times New Roman" w:cs="Times New Roman"/>
          <w:sz w:val="18"/>
          <w:szCs w:val="18"/>
        </w:rPr>
        <w:t>名，璞玉科技推荐</w:t>
      </w:r>
      <w:r w:rsidRPr="00672DC8">
        <w:rPr>
          <w:rFonts w:ascii="Times New Roman" w:hAnsi="Times New Roman" w:cs="Times New Roman"/>
          <w:sz w:val="18"/>
          <w:szCs w:val="18"/>
        </w:rPr>
        <w:t>2</w:t>
      </w:r>
      <w:r w:rsidRPr="00672DC8">
        <w:rPr>
          <w:rFonts w:ascii="Times New Roman" w:hAnsi="Times New Roman" w:cs="Times New Roman"/>
          <w:sz w:val="18"/>
          <w:szCs w:val="18"/>
        </w:rPr>
        <w:t>名。上市公司与马翊珽先生、林树生先生系一致行动人。设立后，亿拓词元科技纳入上市公司合并报表。</w:t>
      </w:r>
    </w:p>
    <w:p w:rsidR="000C0769" w:rsidRPr="00672DC8" w:rsidRDefault="000C0769">
      <w:pPr>
        <w:pStyle w:val="a3"/>
        <w:divId w:val="1126704885"/>
        <w:rPr>
          <w:rFonts w:ascii="Times New Roman" w:hAnsi="Times New Roman" w:cs="Times New Roman"/>
          <w:sz w:val="18"/>
          <w:szCs w:val="18"/>
        </w:rPr>
      </w:pPr>
      <w:r w:rsidRPr="00672DC8">
        <w:rPr>
          <w:rFonts w:ascii="Times New Roman" w:hAnsi="Times New Roman" w:cs="Times New Roman"/>
          <w:sz w:val="18"/>
          <w:szCs w:val="18"/>
        </w:rPr>
        <w:t>   </w:t>
      </w:r>
      <w:r w:rsidRPr="00672DC8">
        <w:rPr>
          <w:rFonts w:ascii="Times New Roman" w:hAnsi="Times New Roman" w:cs="Times New Roman"/>
          <w:sz w:val="18"/>
          <w:szCs w:val="18"/>
        </w:rPr>
        <w:t>亿拓词元科技于</w:t>
      </w:r>
      <w:r w:rsidRPr="00672DC8">
        <w:rPr>
          <w:rFonts w:ascii="Times New Roman" w:hAnsi="Times New Roman" w:cs="Times New Roman"/>
          <w:sz w:val="18"/>
          <w:szCs w:val="18"/>
        </w:rPr>
        <w:t>2026</w:t>
      </w:r>
      <w:r w:rsidRPr="00672DC8">
        <w:rPr>
          <w:rFonts w:ascii="Times New Roman" w:hAnsi="Times New Roman" w:cs="Times New Roman"/>
          <w:sz w:val="18"/>
          <w:szCs w:val="18"/>
        </w:rPr>
        <w:t>年</w:t>
      </w:r>
      <w:r w:rsidRPr="00672DC8">
        <w:rPr>
          <w:rFonts w:ascii="Times New Roman" w:hAnsi="Times New Roman" w:cs="Times New Roman"/>
          <w:sz w:val="18"/>
          <w:szCs w:val="18"/>
        </w:rPr>
        <w:t>8</w:t>
      </w:r>
      <w:r w:rsidRPr="00672DC8">
        <w:rPr>
          <w:rFonts w:ascii="Times New Roman" w:hAnsi="Times New Roman" w:cs="Times New Roman"/>
          <w:sz w:val="18"/>
          <w:szCs w:val="18"/>
        </w:rPr>
        <w:t>月</w:t>
      </w:r>
      <w:r w:rsidRPr="00672DC8">
        <w:rPr>
          <w:rFonts w:ascii="Times New Roman" w:hAnsi="Times New Roman" w:cs="Times New Roman"/>
          <w:sz w:val="18"/>
          <w:szCs w:val="18"/>
        </w:rPr>
        <w:t>10</w:t>
      </w:r>
      <w:r w:rsidRPr="00672DC8">
        <w:rPr>
          <w:rFonts w:ascii="Times New Roman" w:hAnsi="Times New Roman" w:cs="Times New Roman"/>
          <w:sz w:val="18"/>
          <w:szCs w:val="18"/>
        </w:rPr>
        <w:t>日完成设立。</w:t>
      </w:r>
      <w:r w:rsidRPr="00672DC8">
        <w:rPr>
          <w:rFonts w:ascii="Times New Roman" w:hAnsi="Times New Roman" w:cs="Times New Roman"/>
          <w:sz w:val="18"/>
          <w:szCs w:val="18"/>
        </w:rPr>
        <w:t> </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73" w:name="_Toc989332"/>
      <w:r w:rsidRPr="00672DC8">
        <w:rPr>
          <w:rFonts w:ascii="Times New Roman" w:eastAsia="宋体" w:hAnsi="Times New Roman" w:cs="Times New Roman"/>
          <w:b/>
          <w:bCs/>
          <w:sz w:val="24"/>
          <w:szCs w:val="24"/>
        </w:rPr>
        <w:lastRenderedPageBreak/>
        <w:t>十八、其他重要事项</w:t>
      </w:r>
      <w:bookmarkEnd w:id="473"/>
    </w:p>
    <w:p w:rsidR="003D2BA8" w:rsidRPr="00672DC8" w:rsidRDefault="000C0769">
      <w:pPr>
        <w:pStyle w:val="3"/>
        <w:spacing w:line="280" w:lineRule="exact"/>
        <w:jc w:val="left"/>
        <w:rPr>
          <w:rFonts w:ascii="Times New Roman" w:hAnsi="Times New Roman" w:cs="Times New Roman"/>
          <w:b/>
          <w:bCs/>
        </w:rPr>
      </w:pPr>
      <w:bookmarkStart w:id="474" w:name="_Toc989333"/>
      <w:r w:rsidRPr="00672DC8">
        <w:rPr>
          <w:rFonts w:ascii="Times New Roman" w:hAnsi="Times New Roman" w:cs="Times New Roman"/>
          <w:b/>
          <w:bCs/>
        </w:rPr>
        <w:t>1</w:t>
      </w:r>
      <w:r w:rsidRPr="00672DC8">
        <w:rPr>
          <w:rFonts w:ascii="Times New Roman" w:hAnsi="Times New Roman" w:cs="Times New Roman"/>
          <w:b/>
          <w:bCs/>
        </w:rPr>
        <w:t>、前期会计差错更正</w:t>
      </w:r>
      <w:bookmarkEnd w:id="474"/>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75" w:name="_Toc98933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追溯重述法</w:t>
      </w:r>
      <w:bookmarkEnd w:id="47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会计差错更正的内容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处理程序</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受影响的各个比较期间报表项目名称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累积影响数</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76" w:name="_Toc98933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未来适用法</w:t>
      </w:r>
      <w:bookmarkEnd w:id="476"/>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会计差错更正的内容</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批准程序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采用未来适用法的原因</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无</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bl>
    <w:p w:rsidR="003D2BA8" w:rsidRPr="00672DC8" w:rsidRDefault="000C0769">
      <w:pPr>
        <w:pStyle w:val="3"/>
        <w:spacing w:line="280" w:lineRule="exact"/>
        <w:jc w:val="left"/>
        <w:rPr>
          <w:rFonts w:ascii="Times New Roman" w:hAnsi="Times New Roman" w:cs="Times New Roman"/>
          <w:b/>
          <w:bCs/>
        </w:rPr>
      </w:pPr>
      <w:bookmarkStart w:id="477" w:name="_Toc989336"/>
      <w:r w:rsidRPr="00672DC8">
        <w:rPr>
          <w:rFonts w:ascii="Times New Roman" w:hAnsi="Times New Roman" w:cs="Times New Roman"/>
          <w:b/>
          <w:bCs/>
        </w:rPr>
        <w:t>2</w:t>
      </w:r>
      <w:r w:rsidRPr="00672DC8">
        <w:rPr>
          <w:rFonts w:ascii="Times New Roman" w:hAnsi="Times New Roman" w:cs="Times New Roman"/>
          <w:b/>
          <w:bCs/>
        </w:rPr>
        <w:t>、债务重组</w:t>
      </w:r>
      <w:bookmarkEnd w:id="477"/>
    </w:p>
    <w:p w:rsidR="000C0769" w:rsidRPr="00672DC8" w:rsidRDefault="000C0769">
      <w:pPr>
        <w:pStyle w:val="a3"/>
        <w:divId w:val="691997834"/>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78" w:name="_Toc989337"/>
      <w:r w:rsidRPr="00672DC8">
        <w:rPr>
          <w:rFonts w:ascii="Times New Roman" w:hAnsi="Times New Roman" w:cs="Times New Roman"/>
          <w:b/>
          <w:bCs/>
        </w:rPr>
        <w:t>3</w:t>
      </w:r>
      <w:r w:rsidRPr="00672DC8">
        <w:rPr>
          <w:rFonts w:ascii="Times New Roman" w:hAnsi="Times New Roman" w:cs="Times New Roman"/>
          <w:b/>
          <w:bCs/>
        </w:rPr>
        <w:t>、资产置换</w:t>
      </w:r>
      <w:bookmarkEnd w:id="47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79" w:name="_Toc98933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非货币性资产交换</w:t>
      </w:r>
      <w:bookmarkEnd w:id="479"/>
    </w:p>
    <w:p w:rsidR="000C0769" w:rsidRPr="00672DC8" w:rsidRDefault="000C0769">
      <w:pPr>
        <w:pStyle w:val="a3"/>
        <w:divId w:val="369035094"/>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80" w:name="_Toc98933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其他资产置换</w:t>
      </w:r>
      <w:bookmarkEnd w:id="480"/>
    </w:p>
    <w:p w:rsidR="000C0769" w:rsidRPr="00672DC8" w:rsidRDefault="000C0769">
      <w:pPr>
        <w:pStyle w:val="a3"/>
        <w:divId w:val="204829207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81" w:name="_Toc989340"/>
      <w:r w:rsidRPr="00672DC8">
        <w:rPr>
          <w:rFonts w:ascii="Times New Roman" w:hAnsi="Times New Roman" w:cs="Times New Roman"/>
          <w:b/>
          <w:bCs/>
        </w:rPr>
        <w:t>4</w:t>
      </w:r>
      <w:r w:rsidRPr="00672DC8">
        <w:rPr>
          <w:rFonts w:ascii="Times New Roman" w:hAnsi="Times New Roman" w:cs="Times New Roman"/>
          <w:b/>
          <w:bCs/>
        </w:rPr>
        <w:t>、年金计划</w:t>
      </w:r>
      <w:bookmarkEnd w:id="481"/>
    </w:p>
    <w:p w:rsidR="000C0769" w:rsidRPr="00672DC8" w:rsidRDefault="000C0769">
      <w:pPr>
        <w:pStyle w:val="a3"/>
        <w:divId w:val="840512593"/>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82" w:name="_Toc989341"/>
      <w:r w:rsidRPr="00672DC8">
        <w:rPr>
          <w:rFonts w:ascii="Times New Roman" w:hAnsi="Times New Roman" w:cs="Times New Roman"/>
          <w:b/>
          <w:bCs/>
        </w:rPr>
        <w:t>5</w:t>
      </w:r>
      <w:r w:rsidRPr="00672DC8">
        <w:rPr>
          <w:rFonts w:ascii="Times New Roman" w:hAnsi="Times New Roman" w:cs="Times New Roman"/>
          <w:b/>
          <w:bCs/>
        </w:rPr>
        <w:t>、终止经营</w:t>
      </w:r>
      <w:bookmarkEnd w:id="48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费用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利润总额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所得税费用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净利润</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归属于母公司所有者的终止经营利润</w:t>
            </w:r>
          </w:p>
        </w:tc>
      </w:tr>
    </w:tbl>
    <w:p w:rsidR="000C0769" w:rsidRPr="00672DC8" w:rsidRDefault="000C0769" w:rsidP="00C453C0">
      <w:pPr>
        <w:spacing w:before="100" w:after="100" w:line="240" w:lineRule="exact"/>
        <w:divId w:val="790364787"/>
        <w:rPr>
          <w:rFonts w:ascii="Times New Roman" w:hAnsi="Times New Roman" w:cs="Times New Roman"/>
          <w:sz w:val="18"/>
          <w:szCs w:val="18"/>
        </w:rPr>
      </w:pPr>
      <w:r w:rsidRPr="00672DC8">
        <w:rPr>
          <w:rFonts w:ascii="Times New Roman" w:eastAsia="宋体" w:hAnsi="Times New Roman" w:cs="Times New Roman"/>
          <w:sz w:val="18"/>
          <w:szCs w:val="18"/>
        </w:rPr>
        <w:t>其他说明</w:t>
      </w:r>
      <w:r w:rsidR="00C453C0"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83" w:name="_Toc989342"/>
      <w:r w:rsidRPr="00672DC8">
        <w:rPr>
          <w:rFonts w:ascii="Times New Roman" w:hAnsi="Times New Roman" w:cs="Times New Roman"/>
          <w:b/>
          <w:bCs/>
        </w:rPr>
        <w:t>6</w:t>
      </w:r>
      <w:r w:rsidRPr="00672DC8">
        <w:rPr>
          <w:rFonts w:ascii="Times New Roman" w:hAnsi="Times New Roman" w:cs="Times New Roman"/>
          <w:b/>
          <w:bCs/>
        </w:rPr>
        <w:t>、分部信息</w:t>
      </w:r>
      <w:bookmarkEnd w:id="483"/>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84" w:name="_Toc98934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报告分部的确定依据与会计政策</w:t>
      </w:r>
      <w:bookmarkEnd w:id="484"/>
    </w:p>
    <w:p w:rsidR="000C0769" w:rsidRPr="00672DC8" w:rsidRDefault="000C0769">
      <w:pPr>
        <w:pStyle w:val="a3"/>
        <w:divId w:val="172379431"/>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85" w:name="_Toc989344"/>
      <w:r w:rsidRPr="00672DC8">
        <w:rPr>
          <w:rFonts w:ascii="Times New Roman" w:eastAsia="宋体" w:hAnsi="Times New Roman" w:cs="Times New Roman"/>
          <w:b/>
          <w:bCs/>
          <w:szCs w:val="21"/>
        </w:rPr>
        <w:lastRenderedPageBreak/>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报告分部的财务信息</w:t>
      </w:r>
      <w:bookmarkEnd w:id="48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3209"/>
        <w:gridCol w:w="3211"/>
        <w:gridCol w:w="3211"/>
      </w:tblGrid>
      <w:tr w:rsidR="00C453C0" w:rsidRPr="00672DC8" w:rsidTr="00C453C0">
        <w:trPr>
          <w:trHeight w:val="240"/>
        </w:trPr>
        <w:tc>
          <w:tcPr>
            <w:tcW w:w="1666" w:type="pct"/>
            <w:tcBorders>
              <w:top w:val="single" w:sz="2" w:space="0" w:color="auto"/>
              <w:left w:val="single" w:sz="2" w:space="0" w:color="auto"/>
              <w:bottom w:val="single" w:sz="2" w:space="0" w:color="auto"/>
              <w:right w:val="single" w:sz="2" w:space="0" w:color="auto"/>
            </w:tcBorders>
            <w:shd w:val="clear" w:color="auto" w:fill="D3D3D3"/>
            <w:vAlign w:val="center"/>
          </w:tcPr>
          <w:p w:rsidR="00C453C0" w:rsidRPr="00672DC8" w:rsidRDefault="00C453C0">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1667" w:type="pct"/>
            <w:tcBorders>
              <w:top w:val="single" w:sz="2" w:space="0" w:color="auto"/>
              <w:left w:val="single" w:sz="2" w:space="0" w:color="auto"/>
              <w:bottom w:val="single" w:sz="2" w:space="0" w:color="auto"/>
              <w:right w:val="single" w:sz="2" w:space="0" w:color="auto"/>
            </w:tcBorders>
            <w:shd w:val="clear" w:color="auto" w:fill="D3D3D3"/>
            <w:vAlign w:val="center"/>
          </w:tcPr>
          <w:p w:rsidR="00C453C0" w:rsidRPr="00672DC8" w:rsidRDefault="00C453C0">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分部间抵销</w:t>
            </w:r>
          </w:p>
        </w:tc>
        <w:tc>
          <w:tcPr>
            <w:tcW w:w="1667" w:type="pct"/>
            <w:tcBorders>
              <w:top w:val="single" w:sz="2" w:space="0" w:color="auto"/>
              <w:left w:val="single" w:sz="2" w:space="0" w:color="auto"/>
              <w:bottom w:val="single" w:sz="2" w:space="0" w:color="auto"/>
              <w:right w:val="single" w:sz="2" w:space="0" w:color="auto"/>
            </w:tcBorders>
            <w:shd w:val="clear" w:color="auto" w:fill="D3D3D3"/>
            <w:vAlign w:val="center"/>
          </w:tcPr>
          <w:p w:rsidR="00C453C0" w:rsidRPr="00672DC8" w:rsidRDefault="00C453C0">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C453C0" w:rsidRPr="00672DC8" w:rsidTr="00C453C0">
        <w:trPr>
          <w:trHeight w:val="240"/>
        </w:trPr>
        <w:tc>
          <w:tcPr>
            <w:tcW w:w="1666" w:type="pct"/>
            <w:tcBorders>
              <w:top w:val="single" w:sz="2" w:space="0" w:color="auto"/>
              <w:left w:val="single" w:sz="2" w:space="0" w:color="auto"/>
              <w:bottom w:val="single" w:sz="2" w:space="0" w:color="auto"/>
              <w:right w:val="single" w:sz="2" w:space="0" w:color="auto"/>
            </w:tcBorders>
            <w:vAlign w:val="center"/>
          </w:tcPr>
          <w:p w:rsidR="00C453C0" w:rsidRPr="00672DC8" w:rsidRDefault="00C453C0">
            <w:pPr>
              <w:spacing w:line="240" w:lineRule="exact"/>
              <w:rPr>
                <w:rFonts w:ascii="Times New Roman" w:eastAsia="宋体" w:hAnsi="Times New Roman" w:cs="Times New Roman"/>
                <w:sz w:val="18"/>
                <w:szCs w:val="18"/>
              </w:rPr>
            </w:pPr>
          </w:p>
        </w:tc>
        <w:tc>
          <w:tcPr>
            <w:tcW w:w="1667" w:type="pct"/>
            <w:tcBorders>
              <w:top w:val="single" w:sz="2" w:space="0" w:color="auto"/>
              <w:left w:val="single" w:sz="2" w:space="0" w:color="auto"/>
              <w:bottom w:val="single" w:sz="2" w:space="0" w:color="auto"/>
              <w:right w:val="single" w:sz="2" w:space="0" w:color="auto"/>
            </w:tcBorders>
            <w:vAlign w:val="center"/>
          </w:tcPr>
          <w:p w:rsidR="00C453C0" w:rsidRPr="00672DC8" w:rsidRDefault="00C453C0">
            <w:pPr>
              <w:spacing w:line="240" w:lineRule="exact"/>
              <w:jc w:val="right"/>
              <w:rPr>
                <w:rFonts w:ascii="Times New Roman" w:eastAsia="宋体" w:hAnsi="Times New Roman" w:cs="Times New Roman"/>
                <w:sz w:val="18"/>
                <w:szCs w:val="18"/>
              </w:rPr>
            </w:pPr>
          </w:p>
        </w:tc>
        <w:tc>
          <w:tcPr>
            <w:tcW w:w="1667" w:type="pct"/>
            <w:tcBorders>
              <w:top w:val="single" w:sz="2" w:space="0" w:color="auto"/>
              <w:left w:val="single" w:sz="2" w:space="0" w:color="auto"/>
              <w:bottom w:val="single" w:sz="2" w:space="0" w:color="auto"/>
              <w:right w:val="single" w:sz="2" w:space="0" w:color="auto"/>
            </w:tcBorders>
            <w:vAlign w:val="center"/>
          </w:tcPr>
          <w:p w:rsidR="00C453C0" w:rsidRPr="00672DC8" w:rsidRDefault="00C453C0">
            <w:pPr>
              <w:spacing w:line="240" w:lineRule="exact"/>
              <w:jc w:val="right"/>
              <w:rPr>
                <w:rFonts w:ascii="Times New Roman" w:eastAsia="宋体" w:hAnsi="Times New Roman" w:cs="Times New Roman"/>
                <w:sz w:val="18"/>
                <w:szCs w:val="18"/>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86" w:name="_Toc98934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公司无报告分部的，或者不能披露各报告分部的资产总额和负债总额的，应说明原因。</w:t>
      </w:r>
      <w:bookmarkEnd w:id="486"/>
    </w:p>
    <w:p w:rsidR="000C0769" w:rsidRPr="00672DC8" w:rsidRDefault="000C0769">
      <w:pPr>
        <w:pStyle w:val="a3"/>
        <w:divId w:val="2052339156"/>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87" w:name="_Toc989346"/>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其他说明</w:t>
      </w:r>
      <w:bookmarkEnd w:id="487"/>
    </w:p>
    <w:p w:rsidR="000C0769" w:rsidRPr="00672DC8" w:rsidRDefault="000C0769">
      <w:pPr>
        <w:pStyle w:val="a3"/>
        <w:divId w:val="198864365"/>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88" w:name="_Toc989347"/>
      <w:r w:rsidRPr="00672DC8">
        <w:rPr>
          <w:rFonts w:ascii="Times New Roman" w:hAnsi="Times New Roman" w:cs="Times New Roman"/>
          <w:b/>
          <w:bCs/>
        </w:rPr>
        <w:t>7</w:t>
      </w:r>
      <w:r w:rsidRPr="00672DC8">
        <w:rPr>
          <w:rFonts w:ascii="Times New Roman" w:hAnsi="Times New Roman" w:cs="Times New Roman"/>
          <w:b/>
          <w:bCs/>
        </w:rPr>
        <w:t>、其他对投资者决策有影响的重要交易和事项</w:t>
      </w:r>
      <w:bookmarkEnd w:id="488"/>
    </w:p>
    <w:p w:rsidR="000C0769" w:rsidRPr="00672DC8" w:rsidRDefault="000C0769">
      <w:pPr>
        <w:pStyle w:val="a3"/>
        <w:divId w:val="1368725689"/>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489" w:name="_Toc989348"/>
      <w:r w:rsidRPr="00672DC8">
        <w:rPr>
          <w:rFonts w:ascii="Times New Roman" w:hAnsi="Times New Roman" w:cs="Times New Roman"/>
          <w:b/>
          <w:bCs/>
        </w:rPr>
        <w:t>8</w:t>
      </w:r>
      <w:r w:rsidRPr="00672DC8">
        <w:rPr>
          <w:rFonts w:ascii="Times New Roman" w:hAnsi="Times New Roman" w:cs="Times New Roman"/>
          <w:b/>
          <w:bCs/>
        </w:rPr>
        <w:t>、其他</w:t>
      </w:r>
      <w:bookmarkEnd w:id="489"/>
    </w:p>
    <w:p w:rsidR="000C0769" w:rsidRPr="00672DC8" w:rsidRDefault="000C0769">
      <w:pPr>
        <w:pStyle w:val="a3"/>
        <w:divId w:val="2168061"/>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490" w:name="_Toc989349"/>
      <w:r w:rsidRPr="00672DC8">
        <w:rPr>
          <w:rFonts w:ascii="Times New Roman" w:eastAsia="宋体" w:hAnsi="Times New Roman" w:cs="Times New Roman"/>
          <w:b/>
          <w:bCs/>
          <w:sz w:val="24"/>
          <w:szCs w:val="24"/>
        </w:rPr>
        <w:t>十九、母公司财务报表主要项目注释</w:t>
      </w:r>
      <w:bookmarkEnd w:id="490"/>
    </w:p>
    <w:p w:rsidR="003D2BA8" w:rsidRPr="00672DC8" w:rsidRDefault="000C0769">
      <w:pPr>
        <w:pStyle w:val="3"/>
        <w:spacing w:line="280" w:lineRule="exact"/>
        <w:jc w:val="left"/>
        <w:rPr>
          <w:rFonts w:ascii="Times New Roman" w:hAnsi="Times New Roman" w:cs="Times New Roman"/>
          <w:b/>
          <w:bCs/>
        </w:rPr>
      </w:pPr>
      <w:bookmarkStart w:id="491" w:name="_Toc989350"/>
      <w:r w:rsidRPr="00672DC8">
        <w:rPr>
          <w:rFonts w:ascii="Times New Roman" w:hAnsi="Times New Roman" w:cs="Times New Roman"/>
          <w:b/>
          <w:bCs/>
        </w:rPr>
        <w:t>1</w:t>
      </w:r>
      <w:r w:rsidRPr="00672DC8">
        <w:rPr>
          <w:rFonts w:ascii="Times New Roman" w:hAnsi="Times New Roman" w:cs="Times New Roman"/>
          <w:b/>
          <w:bCs/>
        </w:rPr>
        <w:t>、应收账款</w:t>
      </w:r>
      <w:bookmarkEnd w:id="491"/>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92" w:name="_Toc989351"/>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按账龄披露</w:t>
      </w:r>
      <w:bookmarkEnd w:id="49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年以内（含</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95,118,434.28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106,998,350.18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24,463,596.68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20,173,525.08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51,038,000.17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58,234,833.17</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87,968,592.83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100,816,398.62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43,712,755.05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55,193,895.56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25,408,314.59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28,417,125.84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18,847,523.19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17,205,377.22</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258,588,623.96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286,223,107.05</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93" w:name="_Toc989352"/>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按坏账计提方法分类披露</w:t>
      </w:r>
      <w:bookmarkEnd w:id="49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按单项计提坏账准备的应收账款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22,595,006.01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8.74%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22,595,006.01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21,611,785.02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21,611,785.02</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235,993,617.95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91.26%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76,557,365.58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32.44%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159,436,252.37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264,611,322.03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92.45%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84,984,090.66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32.12%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179,627,231.37</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100" w:firstLine="180"/>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C453C0">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27,102,670.42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10.48%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8,348,941.48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30.80%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18,753,728.94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33,484,318.22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10,299,433.64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30.76%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23,184,884.58</w:t>
            </w:r>
          </w:p>
        </w:tc>
      </w:tr>
      <w:tr w:rsidR="003D2BA8" w:rsidRPr="00672DC8" w:rsidTr="00C453C0">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208,890,947.53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80.78%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68,208,424.10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32.65%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140,682,523.43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231,127,003.81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74,684,657.02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32.31%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156,442,346.79</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258,588,623.96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76,557,365.58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29.61%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182,031,258.38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286,223,107.05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84,984,090.66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29.69%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201,239,016.39</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按单项计提坏账准备类别名称：</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计提理由</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14,488,004.11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14,334,640.41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6,004,850.00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6,000,000.00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182,121.67</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1,406,558.98</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843,309.24</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804,093.72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21,160.00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93,500.00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4,800.00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3,752.90</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合并范围内子公司</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21,611,785.02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22,595,006.01</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1</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5,155,157.95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257,757.89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9,150,748.96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915,074.90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4,516,295.34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1,354,888.60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4,379,826.49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2,189,913.25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1,346,674.18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1,077,339.34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2,553,967.50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2,553,967.50</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27,102,670.42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8,348,941.48</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w:t>
      </w:r>
    </w:p>
    <w:p w:rsidR="000C0769" w:rsidRPr="00672DC8" w:rsidRDefault="000C0769">
      <w:pPr>
        <w:pStyle w:val="a3"/>
        <w:divId w:val="802969968"/>
        <w:rPr>
          <w:rFonts w:ascii="Times New Roman" w:hAnsi="Times New Roman" w:cs="Times New Roman"/>
          <w:sz w:val="18"/>
          <w:szCs w:val="18"/>
        </w:rPr>
      </w:pPr>
      <w:r w:rsidRPr="00672DC8">
        <w:rPr>
          <w:rFonts w:ascii="Times New Roman" w:hAnsi="Times New Roman" w:cs="Times New Roman"/>
          <w:sz w:val="18"/>
          <w:szCs w:val="18"/>
        </w:rPr>
        <w:t>确定应收账款组合的依据详见本节五、</w:t>
      </w:r>
      <w:r w:rsidRPr="00672DC8">
        <w:rPr>
          <w:rFonts w:ascii="Times New Roman" w:hAnsi="Times New Roman" w:cs="Times New Roman"/>
          <w:sz w:val="18"/>
          <w:szCs w:val="18"/>
        </w:rPr>
        <w:t>13</w:t>
      </w:r>
      <w:r w:rsidRPr="00672DC8">
        <w:rPr>
          <w:rFonts w:ascii="Times New Roman"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按组合计提坏账准备类别名称：组合</w:t>
      </w:r>
      <w:r w:rsidRPr="00672DC8">
        <w:rPr>
          <w:rFonts w:ascii="Times New Roman" w:eastAsia="宋体" w:hAnsi="Times New Roman" w:cs="Times New Roman"/>
          <w:sz w:val="18"/>
          <w:szCs w:val="18"/>
        </w:rPr>
        <w:t>2</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88,459,692.75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4,422,984.64</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15,212,980.23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1,521,298.02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37,449,781.93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11,234,934.58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33,478,571.52</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16,739,285.76</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24,061,640.41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24,061,640.41</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10,228,280.69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10,228,280.69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208,890,947.53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68,208,424.10</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0C0769" w:rsidRPr="00672DC8" w:rsidRDefault="000C0769" w:rsidP="00C752FA">
      <w:pPr>
        <w:spacing w:before="100" w:after="100" w:line="240" w:lineRule="exact"/>
        <w:divId w:val="1096292528"/>
        <w:rPr>
          <w:rFonts w:ascii="Times New Roman" w:eastAsia="宋体" w:hAnsi="Times New Roman" w:cs="Times New Roman"/>
          <w:sz w:val="18"/>
          <w:szCs w:val="18"/>
        </w:rPr>
      </w:pPr>
      <w:r w:rsidRPr="00672DC8">
        <w:rPr>
          <w:rFonts w:ascii="Times New Roman" w:eastAsia="宋体" w:hAnsi="Times New Roman" w:cs="Times New Roman"/>
          <w:sz w:val="18"/>
          <w:szCs w:val="18"/>
        </w:rPr>
        <w:t>确定该组合依据的说明：确定应收账款组合的依据详见本节五、</w:t>
      </w:r>
      <w:r w:rsidRPr="00672DC8">
        <w:rPr>
          <w:rFonts w:ascii="Times New Roman" w:eastAsia="宋体" w:hAnsi="Times New Roman" w:cs="Times New Roman"/>
          <w:sz w:val="18"/>
          <w:szCs w:val="18"/>
        </w:rPr>
        <w:t>13</w:t>
      </w:r>
      <w:r w:rsidRPr="00672DC8">
        <w:rPr>
          <w:rFonts w:ascii="Times New Roman" w:eastAsia="宋体" w:hAnsi="Times New Roman" w:cs="Times New Roman"/>
          <w:sz w:val="18"/>
          <w:szCs w:val="18"/>
        </w:rPr>
        <w:t>。</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如是按照预期信用损失一般模型计提应收账款坏账准备：</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94" w:name="_Toc989353"/>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本期计提、收回或转回的坏账准备情况</w:t>
      </w:r>
      <w:bookmarkEnd w:id="49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本期计提坏账准备情况：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372"/>
        <w:gridCol w:w="1387"/>
        <w:gridCol w:w="1493"/>
        <w:gridCol w:w="1248"/>
        <w:gridCol w:w="1371"/>
        <w:gridCol w:w="1375"/>
        <w:gridCol w:w="1385"/>
      </w:tblGrid>
      <w:tr w:rsidR="003D2BA8" w:rsidRPr="00672DC8" w:rsidTr="00A020B7">
        <w:trPr>
          <w:trHeight w:val="240"/>
        </w:trPr>
        <w:tc>
          <w:tcPr>
            <w:tcW w:w="712"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720"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2849" w:type="pct"/>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720"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rsidTr="00A020B7">
        <w:trPr>
          <w:trHeight w:val="240"/>
        </w:trPr>
        <w:tc>
          <w:tcPr>
            <w:tcW w:w="712"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20"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75"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648"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w:t>
            </w:r>
          </w:p>
        </w:tc>
        <w:tc>
          <w:tcPr>
            <w:tcW w:w="713"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720"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A020B7">
        <w:trPr>
          <w:trHeight w:val="240"/>
        </w:trPr>
        <w:tc>
          <w:tcPr>
            <w:tcW w:w="712"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账龄组合</w:t>
            </w:r>
          </w:p>
        </w:tc>
        <w:tc>
          <w:tcPr>
            <w:tcW w:w="7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84,984,090.66</w:t>
            </w:r>
          </w:p>
        </w:tc>
        <w:tc>
          <w:tcPr>
            <w:tcW w:w="77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-8,426,725.08</w:t>
            </w:r>
          </w:p>
        </w:tc>
        <w:tc>
          <w:tcPr>
            <w:tcW w:w="64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3"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76,557,365.58</w:t>
            </w:r>
          </w:p>
        </w:tc>
      </w:tr>
      <w:tr w:rsidR="003D2BA8" w:rsidRPr="00672DC8" w:rsidTr="00A020B7">
        <w:trPr>
          <w:trHeight w:val="240"/>
        </w:trPr>
        <w:tc>
          <w:tcPr>
            <w:tcW w:w="712"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7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84,984,090.66</w:t>
            </w:r>
          </w:p>
        </w:tc>
        <w:tc>
          <w:tcPr>
            <w:tcW w:w="775"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-8,426,725.08</w:t>
            </w:r>
          </w:p>
        </w:tc>
        <w:tc>
          <w:tcPr>
            <w:tcW w:w="648"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2"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13"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720"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76,557,365.58</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95" w:name="_Toc989354"/>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本期实际核销的应收账款情况</w:t>
      </w:r>
      <w:bookmarkEnd w:id="49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其中重要的应收账款核销情况：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097EDE">
      <w:pPr>
        <w:spacing w:before="100" w:after="100" w:line="240" w:lineRule="exact"/>
        <w:divId w:val="408576853"/>
        <w:rPr>
          <w:rFonts w:ascii="Times New Roman" w:hAnsi="Times New Roman" w:cs="Times New Roman"/>
          <w:sz w:val="18"/>
          <w:szCs w:val="18"/>
        </w:rPr>
      </w:pPr>
      <w:r w:rsidRPr="00672DC8">
        <w:rPr>
          <w:rFonts w:ascii="Times New Roman" w:eastAsia="宋体" w:hAnsi="Times New Roman" w:cs="Times New Roman"/>
          <w:sz w:val="18"/>
          <w:szCs w:val="18"/>
        </w:rPr>
        <w:lastRenderedPageBreak/>
        <w:t>应收账款核销说明：不适用。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496" w:name="_Toc989355"/>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按欠款方归集的期末余额前五名的应收账款和合同资产情况</w:t>
      </w:r>
      <w:bookmarkEnd w:id="49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应收账款和合同资产期末余额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占应收账款和合同资产期末余额合计数的比例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应收账款坏账准备和合同资产减值准备期末余额</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第一名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49,933,518.77</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627,118.94</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50,560,637.71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19.49%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20,745,981.04</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第二名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36,134,819.65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36,134,819.65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13.93%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16,558,459.09</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第三名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21,899,454.79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184,449.89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22,083,904.68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8.51%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1,248,111.71</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第四名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20,800,854.72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20,800,854.72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8.02%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6,240,256.42</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第五名</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14,482,323.62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14,482,323.62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2,191,260.09</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143,250,971.55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811,568.83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144,062,540.38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55.53%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46,984,068.35</w:t>
            </w:r>
          </w:p>
        </w:tc>
      </w:tr>
    </w:tbl>
    <w:p w:rsidR="003D2BA8" w:rsidRPr="00672DC8" w:rsidRDefault="000C0769">
      <w:pPr>
        <w:pStyle w:val="3"/>
        <w:spacing w:line="280" w:lineRule="exact"/>
        <w:jc w:val="left"/>
        <w:rPr>
          <w:rFonts w:ascii="Times New Roman" w:hAnsi="Times New Roman" w:cs="Times New Roman"/>
          <w:b/>
          <w:bCs/>
        </w:rPr>
      </w:pPr>
      <w:bookmarkStart w:id="497" w:name="_Toc989356"/>
      <w:r w:rsidRPr="00672DC8">
        <w:rPr>
          <w:rFonts w:ascii="Times New Roman" w:hAnsi="Times New Roman" w:cs="Times New Roman"/>
          <w:b/>
          <w:bCs/>
        </w:rPr>
        <w:t>2</w:t>
      </w:r>
      <w:r w:rsidRPr="00672DC8">
        <w:rPr>
          <w:rFonts w:ascii="Times New Roman" w:hAnsi="Times New Roman" w:cs="Times New Roman"/>
          <w:b/>
          <w:bCs/>
        </w:rPr>
        <w:t>、其他应收款</w:t>
      </w:r>
      <w:bookmarkEnd w:id="497"/>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125,958,425.25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171,969,692.20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125,958,425.25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171,969,692.20</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498" w:name="_Toc989357"/>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应收利息</w:t>
      </w:r>
      <w:bookmarkEnd w:id="498"/>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499" w:name="_Toc989358"/>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应收利息分类</w:t>
      </w:r>
      <w:bookmarkEnd w:id="49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0" w:name="_Toc989359"/>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重要逾期利息</w:t>
      </w:r>
      <w:bookmarkEnd w:id="50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借款单位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逾期时间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逾期原因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是否发生减值及其判断依据</w:t>
            </w:r>
          </w:p>
        </w:tc>
      </w:tr>
    </w:tbl>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1" w:name="_Toc989360"/>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按坏账计提方法分类披露</w:t>
      </w:r>
      <w:bookmarkEnd w:id="501"/>
    </w:p>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2" w:name="_Toc989361"/>
      <w:r w:rsidRPr="00672DC8">
        <w:rPr>
          <w:rFonts w:ascii="Times New Roman" w:eastAsia="宋体" w:hAnsi="Times New Roman" w:cs="Times New Roman"/>
          <w:b/>
          <w:bCs/>
          <w:sz w:val="18"/>
          <w:szCs w:val="18"/>
        </w:rPr>
        <w:t>4</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本期计提、收回或转回的坏账准备的情况</w:t>
      </w:r>
      <w:bookmarkEnd w:id="50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3" w:name="_Toc989362"/>
      <w:r w:rsidRPr="00672DC8">
        <w:rPr>
          <w:rFonts w:ascii="Times New Roman" w:eastAsia="宋体" w:hAnsi="Times New Roman" w:cs="Times New Roman"/>
          <w:b/>
          <w:bCs/>
          <w:sz w:val="18"/>
          <w:szCs w:val="18"/>
        </w:rPr>
        <w:t>5</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本期实际核销的应收利息情况</w:t>
      </w:r>
      <w:bookmarkEnd w:id="50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其中重要的应收利息核销情况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核销说明：不适用。</w:t>
      </w:r>
    </w:p>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504" w:name="_Toc989363"/>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应收股利</w:t>
      </w:r>
      <w:bookmarkEnd w:id="504"/>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5" w:name="_Toc989364"/>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应收股利分类</w:t>
      </w:r>
      <w:bookmarkEnd w:id="50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或被投资单位</w:t>
            </w:r>
            <w:r w:rsidRPr="00672DC8">
              <w:rPr>
                <w:rFonts w:ascii="Times New Roman" w:eastAsia="宋体" w:hAnsi="Times New Roman" w:cs="Times New Roman"/>
                <w:sz w:val="18"/>
                <w:szCs w:val="18"/>
              </w:rPr>
              <w:t>)</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6" w:name="_Toc989365"/>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重要的账龄超过</w:t>
      </w:r>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年的应收股利</w:t>
      </w:r>
      <w:bookmarkEnd w:id="50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或被投资单位</w:t>
            </w: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未收回的原因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是否发生减值及其判断依据</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07" w:name="_Toc989366"/>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按坏账计提方法分类披露</w:t>
      </w:r>
      <w:bookmarkEnd w:id="507"/>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508" w:name="_Toc989367"/>
      <w:r w:rsidRPr="00672DC8">
        <w:rPr>
          <w:rFonts w:ascii="Times New Roman" w:eastAsia="宋体" w:hAnsi="Times New Roman" w:cs="Times New Roman"/>
          <w:b/>
          <w:bCs/>
          <w:szCs w:val="21"/>
        </w:rPr>
        <w:t>4</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本期计提、收回或转回的坏账准备的情况</w:t>
      </w:r>
      <w:bookmarkEnd w:id="50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其中本期坏账准备收回或转回金额重要的：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Cs w:val="21"/>
        </w:rPr>
      </w:pPr>
      <w:bookmarkStart w:id="509" w:name="_Toc989368"/>
      <w:r w:rsidRPr="00672DC8">
        <w:rPr>
          <w:rFonts w:ascii="Times New Roman" w:eastAsia="宋体" w:hAnsi="Times New Roman" w:cs="Times New Roman"/>
          <w:b/>
          <w:bCs/>
          <w:szCs w:val="21"/>
        </w:rPr>
        <w:lastRenderedPageBreak/>
        <w:t>5</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本期实际核销的应收股利情况</w:t>
      </w:r>
      <w:bookmarkEnd w:id="50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其中重要的应收股利核销情况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核销说明：不适用。</w:t>
      </w:r>
    </w:p>
    <w:p w:rsidR="000C0769" w:rsidRPr="00672DC8" w:rsidRDefault="000C0769" w:rsidP="008C6A47">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keepNext/>
        <w:keepLines/>
        <w:spacing w:before="300" w:after="300" w:line="280" w:lineRule="exact"/>
        <w:outlineLvl w:val="3"/>
        <w:rPr>
          <w:rFonts w:ascii="Times New Roman" w:eastAsia="宋体" w:hAnsi="Times New Roman" w:cs="Times New Roman"/>
          <w:b/>
          <w:bCs/>
          <w:sz w:val="18"/>
          <w:szCs w:val="18"/>
        </w:rPr>
      </w:pPr>
      <w:bookmarkStart w:id="510" w:name="_Toc989369"/>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其他应收款</w:t>
      </w:r>
      <w:bookmarkEnd w:id="510"/>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1" w:name="_Toc989370"/>
      <w:r w:rsidRPr="00672DC8">
        <w:rPr>
          <w:rFonts w:ascii="Times New Roman" w:eastAsia="宋体" w:hAnsi="Times New Roman" w:cs="Times New Roman"/>
          <w:b/>
          <w:bCs/>
          <w:sz w:val="18"/>
          <w:szCs w:val="18"/>
        </w:rPr>
        <w:t>1</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其他应收款按款项性质分类情况</w:t>
      </w:r>
      <w:bookmarkEnd w:id="511"/>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款项性质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125,072,794.81</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170,893,529.14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1,068,920.45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1,264,367.98</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备用金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301,113.57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252,269.54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往来款</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600,818.86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599,444.64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代扣代缴社保公积金</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160,120.18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161,283.36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127,203,767.87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173,170,894.66</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2" w:name="_Toc989371"/>
      <w:r w:rsidRPr="00672DC8">
        <w:rPr>
          <w:rFonts w:ascii="Times New Roman" w:eastAsia="宋体" w:hAnsi="Times New Roman" w:cs="Times New Roman"/>
          <w:b/>
          <w:bCs/>
          <w:sz w:val="18"/>
          <w:szCs w:val="18"/>
        </w:rPr>
        <w:t>2</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按账龄披露</w:t>
      </w:r>
      <w:bookmarkEnd w:id="51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期初账面余额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年以内（含</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83,993,260.18</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122,529,087.13</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40,805,612.97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45,993,139.46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350,916.00</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3,103,171.51</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2,053,978.72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1,545,496.56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3</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892,644.87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522,310.54</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4</w:t>
            </w:r>
            <w:r w:rsidRPr="00672DC8">
              <w:rPr>
                <w:rFonts w:ascii="Times New Roman" w:eastAsia="宋体" w:hAnsi="Times New Roman" w:cs="Times New Roman"/>
                <w:sz w:val="18"/>
                <w:szCs w:val="18"/>
              </w:rPr>
              <w:t>至</w:t>
            </w: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508,614.99</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719,876.16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5</w:t>
            </w:r>
            <w:r w:rsidRPr="00672DC8">
              <w:rPr>
                <w:rFonts w:ascii="Times New Roman" w:eastAsia="宋体" w:hAnsi="Times New Roman" w:cs="Times New Roman"/>
                <w:sz w:val="18"/>
                <w:szCs w:val="18"/>
              </w:rPr>
              <w:t>年以上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652,718.86</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303,309.86</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127,203,767.87</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173,170,894.66</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3" w:name="_Toc989372"/>
      <w:r w:rsidRPr="00672DC8">
        <w:rPr>
          <w:rFonts w:ascii="Times New Roman" w:eastAsia="宋体" w:hAnsi="Times New Roman" w:cs="Times New Roman"/>
          <w:b/>
          <w:bCs/>
          <w:sz w:val="18"/>
          <w:szCs w:val="18"/>
        </w:rPr>
        <w:t>3</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按坏账计提方法分类披露</w:t>
      </w:r>
      <w:bookmarkEnd w:id="51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3D2BA8" w:rsidRPr="00672DC8">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按单项计提坏</w:t>
            </w:r>
            <w:r w:rsidRPr="00672DC8">
              <w:rPr>
                <w:rFonts w:ascii="Times New Roman" w:eastAsia="宋体" w:hAnsi="Times New Roman" w:cs="Times New Roman"/>
                <w:sz w:val="18"/>
                <w:szCs w:val="18"/>
              </w:rPr>
              <w:lastRenderedPageBreak/>
              <w:t>账准备</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125,072,794.81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98.32%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125,072,794.81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170,893,529.14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98.68%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170,893,529.14</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其中：</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2,130,973.06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58.44%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885,630.44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2,277,365.52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1,076,163.06</w:t>
            </w:r>
          </w:p>
        </w:tc>
      </w:tr>
      <w:tr w:rsidR="003D2BA8" w:rsidRPr="00672DC8">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1,068,920.45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0.85%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899,954.24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84.19%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168,966.21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1,264,367.98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0.73%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958,660.21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75.82%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305,707.77</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461,233.75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158,724.78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34.41%</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302,508.97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413,552.90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0.24%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130,915.66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31.66%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282,637.24</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组合</w:t>
            </w:r>
            <w:r w:rsidRPr="00672DC8">
              <w:rPr>
                <w:rFonts w:ascii="Times New Roman" w:eastAsia="宋体" w:hAnsi="Times New Roman" w:cs="Times New Roman"/>
                <w:sz w:val="18"/>
                <w:szCs w:val="18"/>
              </w:rPr>
              <w:t>3</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600,818.86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186,663.60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31.07%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414,155.26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599,444.64</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111,626.59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487,818.05</w:t>
            </w:r>
          </w:p>
        </w:tc>
      </w:tr>
      <w:tr w:rsidR="003D2BA8" w:rsidRPr="00672DC8">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127,203,767.87</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0.98%</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125,958,425.25</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173,170,894.66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0.69%</w:t>
            </w:r>
          </w:p>
        </w:tc>
        <w:tc>
          <w:tcPr>
            <w:tcW w:w="87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171,969,692.20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按预期信用损失一般模型计提坏账准备：</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未来</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未发生信用减值</w:t>
            </w:r>
            <w:r w:rsidRPr="00672DC8">
              <w:rPr>
                <w:rFonts w:ascii="Times New Roman" w:eastAsia="宋体" w:hAnsi="Times New Roman" w:cs="Times New Roman"/>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整个存续期预期信用损失</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已发生信用减值</w:t>
            </w:r>
            <w:r w:rsidRPr="00672DC8">
              <w:rPr>
                <w:rFonts w:ascii="Times New Roman" w:eastAsia="宋体" w:hAnsi="Times New Roman" w:cs="Times New Roman"/>
                <w:sz w:val="18"/>
                <w:szCs w:val="18"/>
              </w:rPr>
              <w:t>)</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44,140.16</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44,140.16</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2026</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6</w:t>
            </w:r>
            <w:r w:rsidRPr="00672DC8">
              <w:rPr>
                <w:rFonts w:ascii="Times New Roman" w:eastAsia="宋体" w:hAnsi="Times New Roman" w:cs="Times New Roman"/>
                <w:sz w:val="18"/>
                <w:szCs w:val="18"/>
              </w:rPr>
              <w:t>月</w:t>
            </w:r>
            <w:r w:rsidRPr="00672DC8">
              <w:rPr>
                <w:rFonts w:ascii="Times New Roman" w:eastAsia="宋体" w:hAnsi="Times New Roman" w:cs="Times New Roman"/>
                <w:sz w:val="18"/>
                <w:szCs w:val="18"/>
              </w:rPr>
              <w:t>30</w:t>
            </w:r>
            <w:r w:rsidRPr="00672DC8">
              <w:rPr>
                <w:rFonts w:ascii="Times New Roman" w:eastAsia="宋体" w:hAnsi="Times New Roman" w:cs="Times New Roman"/>
                <w:sz w:val="18"/>
                <w:szCs w:val="18"/>
              </w:rPr>
              <w:t>日余额</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r>
    </w:tbl>
    <w:p w:rsidR="000C0769" w:rsidRPr="00672DC8" w:rsidRDefault="000C0769" w:rsidP="00C90C48">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各阶段划分依据和坏账准备计提比例</w:t>
      </w:r>
      <w:r w:rsidR="00C90C48"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损失准备本期变动金额重大的账面余额变动情况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4" w:name="_Toc989373"/>
      <w:r w:rsidRPr="00672DC8">
        <w:rPr>
          <w:rFonts w:ascii="Times New Roman" w:eastAsia="宋体" w:hAnsi="Times New Roman" w:cs="Times New Roman"/>
          <w:b/>
          <w:bCs/>
          <w:sz w:val="18"/>
          <w:szCs w:val="18"/>
        </w:rPr>
        <w:t>4</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本期计提、收回或转回的坏账准备情况</w:t>
      </w:r>
      <w:bookmarkEnd w:id="514"/>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本期计提坏账准备情况：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账龄组合</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44,140.16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1,201,202.46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44,140.16</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1,245,342.62</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其中本期坏账准备转回或收回金额重要的：</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确定原坏账准备计提比例的依据及其合理性</w:t>
            </w:r>
          </w:p>
        </w:tc>
      </w:tr>
    </w:tbl>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5" w:name="_Toc989374"/>
      <w:r w:rsidRPr="00672DC8">
        <w:rPr>
          <w:rFonts w:ascii="Times New Roman" w:eastAsia="宋体" w:hAnsi="Times New Roman" w:cs="Times New Roman"/>
          <w:b/>
          <w:bCs/>
          <w:sz w:val="18"/>
          <w:szCs w:val="18"/>
        </w:rPr>
        <w:t>5</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本期实际核销的其他应收款情况</w:t>
      </w:r>
      <w:bookmarkEnd w:id="515"/>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3D2BA8" w:rsidRPr="00672DC8">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其中重要的其他应收款核销情况：</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款项是否由关联交易产生</w:t>
            </w:r>
          </w:p>
        </w:tc>
      </w:tr>
    </w:tbl>
    <w:p w:rsidR="000C0769" w:rsidRPr="00672DC8" w:rsidRDefault="000C0769" w:rsidP="00E565CF">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其他应收款核销说明：不适用。</w:t>
      </w: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6" w:name="_Toc989375"/>
      <w:r w:rsidRPr="00672DC8">
        <w:rPr>
          <w:rFonts w:ascii="Times New Roman" w:eastAsia="宋体" w:hAnsi="Times New Roman" w:cs="Times New Roman"/>
          <w:b/>
          <w:bCs/>
          <w:sz w:val="18"/>
          <w:szCs w:val="18"/>
        </w:rPr>
        <w:t>6</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按欠款方归集的期末余额前五名的其他应收款情况</w:t>
      </w:r>
      <w:bookmarkEnd w:id="516"/>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款项的性质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账龄</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占其他应收款期末余额合计数的比例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坏账准备期末余额</w:t>
            </w: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34,514,519.89</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r w:rsidRPr="00672DC8">
              <w:rPr>
                <w:rFonts w:ascii="Times New Roman" w:eastAsia="宋体" w:hAnsi="Times New Roman" w:cs="Times New Roman"/>
                <w:sz w:val="18"/>
                <w:szCs w:val="18"/>
              </w:rPr>
              <w:t>3-4</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27.13%</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31,576,494.31</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24.82%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深圳市互联精英信息技术有限公司</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24,119,850.75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18.96%</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23,558,087.68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18.52%</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桓台爱道光伏发电有限公司</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内部往来款</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7,953,682.07</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年以内、</w:t>
            </w:r>
            <w:r w:rsidRPr="00672DC8">
              <w:rPr>
                <w:rFonts w:ascii="Times New Roman" w:eastAsia="宋体" w:hAnsi="Times New Roman" w:cs="Times New Roman"/>
                <w:sz w:val="18"/>
                <w:szCs w:val="18"/>
              </w:rPr>
              <w:t>1-2</w:t>
            </w:r>
            <w:r w:rsidRPr="00672DC8">
              <w:rPr>
                <w:rFonts w:ascii="Times New Roman" w:eastAsia="宋体" w:hAnsi="Times New Roman" w:cs="Times New Roman"/>
                <w:sz w:val="18"/>
                <w:szCs w:val="18"/>
              </w:rPr>
              <w:t>年</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6.25%</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121,722,634.70</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95.68%</w:t>
            </w:r>
          </w:p>
        </w:tc>
        <w:tc>
          <w:tcPr>
            <w:tcW w:w="1606"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3D2BA8">
      <w:pPr>
        <w:spacing w:before="100" w:after="100" w:line="0" w:lineRule="atLeast"/>
        <w:rPr>
          <w:rFonts w:ascii="Times New Roman" w:hAnsi="Times New Roman" w:cs="Times New Roman"/>
        </w:rPr>
      </w:pPr>
    </w:p>
    <w:p w:rsidR="003D2BA8" w:rsidRPr="00672DC8" w:rsidRDefault="000C0769">
      <w:pPr>
        <w:keepNext/>
        <w:keepLines/>
        <w:spacing w:before="300" w:after="300" w:line="280" w:lineRule="exact"/>
        <w:outlineLvl w:val="4"/>
        <w:rPr>
          <w:rFonts w:ascii="Times New Roman" w:eastAsia="宋体" w:hAnsi="Times New Roman" w:cs="Times New Roman"/>
          <w:b/>
          <w:bCs/>
          <w:sz w:val="18"/>
          <w:szCs w:val="18"/>
        </w:rPr>
      </w:pPr>
      <w:bookmarkStart w:id="517" w:name="_Toc989376"/>
      <w:r w:rsidRPr="00672DC8">
        <w:rPr>
          <w:rFonts w:ascii="Times New Roman" w:eastAsia="宋体" w:hAnsi="Times New Roman" w:cs="Times New Roman"/>
          <w:b/>
          <w:bCs/>
          <w:sz w:val="18"/>
          <w:szCs w:val="18"/>
        </w:rPr>
        <w:t>7</w:t>
      </w:r>
      <w:r w:rsidRPr="00672DC8">
        <w:rPr>
          <w:rFonts w:ascii="Times New Roman" w:eastAsia="宋体" w:hAnsi="Times New Roman" w:cs="Times New Roman"/>
          <w:b/>
          <w:bCs/>
          <w:sz w:val="18"/>
          <w:szCs w:val="18"/>
        </w:rPr>
        <w:t>）</w:t>
      </w:r>
      <w:r w:rsidRPr="00672DC8">
        <w:rPr>
          <w:rFonts w:ascii="Times New Roman" w:eastAsia="宋体" w:hAnsi="Times New Roman" w:cs="Times New Roman"/>
          <w:b/>
          <w:bCs/>
          <w:sz w:val="18"/>
          <w:szCs w:val="18"/>
        </w:rPr>
        <w:t xml:space="preserve"> </w:t>
      </w:r>
      <w:r w:rsidRPr="00672DC8">
        <w:rPr>
          <w:rFonts w:ascii="Times New Roman" w:eastAsia="宋体" w:hAnsi="Times New Roman" w:cs="Times New Roman"/>
          <w:b/>
          <w:bCs/>
          <w:sz w:val="18"/>
          <w:szCs w:val="18"/>
        </w:rPr>
        <w:t>因资金集中管理而列报于其他应收款</w:t>
      </w:r>
      <w:bookmarkEnd w:id="517"/>
    </w:p>
    <w:p w:rsidR="000C0769" w:rsidRPr="00672DC8" w:rsidRDefault="000C0769" w:rsidP="002E5C81">
      <w:pPr>
        <w:spacing w:before="100" w:after="100" w:line="240" w:lineRule="exact"/>
        <w:divId w:val="1997416321"/>
        <w:rPr>
          <w:rFonts w:ascii="Times New Roman" w:hAnsi="Times New Roman" w:cs="Times New Roman"/>
          <w:sz w:val="18"/>
          <w:szCs w:val="18"/>
        </w:rPr>
      </w:pPr>
      <w:r w:rsidRPr="00672DC8">
        <w:rPr>
          <w:rFonts w:ascii="Times New Roman" w:eastAsia="宋体" w:hAnsi="Times New Roman" w:cs="Times New Roman"/>
          <w:sz w:val="18"/>
          <w:szCs w:val="18"/>
        </w:rPr>
        <w:t>其他说明：不适用。</w:t>
      </w:r>
    </w:p>
    <w:p w:rsidR="003D2BA8" w:rsidRPr="00672DC8" w:rsidRDefault="000C0769">
      <w:pPr>
        <w:pStyle w:val="3"/>
        <w:spacing w:line="280" w:lineRule="exact"/>
        <w:jc w:val="left"/>
        <w:rPr>
          <w:rFonts w:ascii="Times New Roman" w:hAnsi="Times New Roman" w:cs="Times New Roman"/>
          <w:b/>
          <w:bCs/>
        </w:rPr>
      </w:pPr>
      <w:bookmarkStart w:id="518" w:name="_Toc989377"/>
      <w:r w:rsidRPr="00672DC8">
        <w:rPr>
          <w:rFonts w:ascii="Times New Roman" w:hAnsi="Times New Roman" w:cs="Times New Roman"/>
          <w:b/>
          <w:bCs/>
        </w:rPr>
        <w:t>3</w:t>
      </w:r>
      <w:r w:rsidRPr="00672DC8">
        <w:rPr>
          <w:rFonts w:ascii="Times New Roman" w:hAnsi="Times New Roman" w:cs="Times New Roman"/>
          <w:b/>
          <w:bCs/>
        </w:rPr>
        <w:t>、长期股权投资</w:t>
      </w:r>
      <w:bookmarkEnd w:id="518"/>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3D2BA8" w:rsidRPr="00672DC8">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w:t>
            </w:r>
          </w:p>
        </w:tc>
      </w:tr>
      <w:tr w:rsidR="003D2BA8" w:rsidRPr="00672DC8">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账面价值</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对子公司投资</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r>
      <w:tr w:rsidR="003D2BA8" w:rsidRPr="00672DC8">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19" w:name="_Toc98937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对子公司投资</w:t>
      </w:r>
      <w:bookmarkEnd w:id="519"/>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951"/>
        <w:gridCol w:w="1341"/>
        <w:gridCol w:w="951"/>
        <w:gridCol w:w="1251"/>
        <w:gridCol w:w="951"/>
        <w:gridCol w:w="951"/>
        <w:gridCol w:w="951"/>
        <w:gridCol w:w="1341"/>
        <w:gridCol w:w="943"/>
      </w:tblGrid>
      <w:tr w:rsidR="003D2BA8" w:rsidRPr="00672DC8" w:rsidTr="00940EBD">
        <w:trPr>
          <w:trHeight w:val="240"/>
          <w:tblHeader/>
        </w:trPr>
        <w:tc>
          <w:tcPr>
            <w:tcW w:w="556"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被投资单位</w:t>
            </w:r>
          </w:p>
        </w:tc>
        <w:tc>
          <w:tcPr>
            <w:tcW w:w="556"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期初余额（账面价值）</w:t>
            </w:r>
          </w:p>
        </w:tc>
        <w:tc>
          <w:tcPr>
            <w:tcW w:w="556"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减值准备期初余额</w:t>
            </w:r>
          </w:p>
        </w:tc>
        <w:tc>
          <w:tcPr>
            <w:tcW w:w="2222" w:type="pct"/>
            <w:gridSpan w:val="4"/>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本期增减变动</w:t>
            </w:r>
          </w:p>
        </w:tc>
        <w:tc>
          <w:tcPr>
            <w:tcW w:w="556"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期末余额（账面价值）</w:t>
            </w:r>
          </w:p>
        </w:tc>
        <w:tc>
          <w:tcPr>
            <w:tcW w:w="556"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减值准备期末余额</w:t>
            </w:r>
          </w:p>
        </w:tc>
      </w:tr>
      <w:tr w:rsidR="003D2BA8" w:rsidRPr="00672DC8" w:rsidTr="00940EBD">
        <w:trPr>
          <w:trHeight w:val="240"/>
          <w:tblHeader/>
        </w:trPr>
        <w:tc>
          <w:tcPr>
            <w:tcW w:w="556"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56"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56"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追加投资</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减少投资</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计提减值准备</w:t>
            </w:r>
          </w:p>
        </w:tc>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556"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556"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天亿马（香港）信息产业</w:t>
            </w:r>
            <w:r w:rsidRPr="00672DC8">
              <w:rPr>
                <w:rFonts w:ascii="Times New Roman" w:eastAsia="宋体" w:hAnsi="Times New Roman" w:cs="Times New Roman"/>
                <w:sz w:val="18"/>
                <w:szCs w:val="18"/>
              </w:rPr>
              <w:lastRenderedPageBreak/>
              <w:t>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7,111.42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7,111.42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深圳市互联精英信息技术有限公司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107,684,008.50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72,245.10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107,756,253.60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天亿马信息技术有限公司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广东天亿马信息科技有限公司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11,723,703.30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465,198.15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12,188,901.45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广图粤科（广州）科技有限公司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7,100,000.00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广东天亿马数字能源有限公司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7,016,894.75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500,059.50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7,516,954.25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广东天亿马数字产业有限公司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广东翼启数据产业有限公司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228,604.75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137,162.85</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365,767.60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广州市天亿马信息技术有限公司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上海天亿马人工智能科技有限公司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10,200,000.00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北京天亿马人工智能科技有限公司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广东天亿马数据产业有限公司</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2,000,000.00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rsidTr="00940EBD">
        <w:trPr>
          <w:trHeight w:val="240"/>
        </w:trPr>
        <w:tc>
          <w:tcPr>
            <w:tcW w:w="556" w:type="pc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198,760,322.72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43,574,665.60</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242,334,988.32</w:t>
            </w:r>
          </w:p>
        </w:tc>
        <w:tc>
          <w:tcPr>
            <w:tcW w:w="556" w:type="pct"/>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bl>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20" w:name="_Toc98937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对联营、合营企业投资</w:t>
      </w:r>
      <w:bookmarkEnd w:id="520"/>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1"/>
        <w:gridCol w:w="741"/>
        <w:gridCol w:w="741"/>
        <w:gridCol w:w="741"/>
        <w:gridCol w:w="745"/>
        <w:gridCol w:w="741"/>
        <w:gridCol w:w="743"/>
      </w:tblGrid>
      <w:tr w:rsidR="003D2BA8" w:rsidRPr="00672DC8">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投资单位</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期初余额（账面价</w:t>
            </w:r>
            <w:r w:rsidRPr="00672DC8">
              <w:rPr>
                <w:rFonts w:ascii="Times New Roman" w:eastAsia="宋体" w:hAnsi="Times New Roman" w:cs="Times New Roman"/>
                <w:sz w:val="18"/>
                <w:szCs w:val="18"/>
              </w:rPr>
              <w:lastRenderedPageBreak/>
              <w:t>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减值准备期初余额</w:t>
            </w:r>
          </w:p>
        </w:tc>
        <w:tc>
          <w:tcPr>
            <w:tcW w:w="5932" w:type="dxa"/>
            <w:gridSpan w:val="8"/>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本期增减变动</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期末余额（账面价</w:t>
            </w:r>
            <w:r w:rsidRPr="00672DC8">
              <w:rPr>
                <w:rFonts w:ascii="Times New Roman" w:eastAsia="宋体" w:hAnsi="Times New Roman" w:cs="Times New Roman"/>
                <w:sz w:val="18"/>
                <w:szCs w:val="18"/>
              </w:rPr>
              <w:lastRenderedPageBreak/>
              <w:t>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减值准备期末余额</w:t>
            </w:r>
          </w:p>
        </w:tc>
      </w:tr>
      <w:tr w:rsidR="003D2BA8" w:rsidRPr="00672DC8">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追加投资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减少投资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权益法下确认</w:t>
            </w:r>
            <w:r w:rsidRPr="00672DC8">
              <w:rPr>
                <w:rFonts w:ascii="Times New Roman" w:eastAsia="宋体" w:hAnsi="Times New Roman" w:cs="Times New Roman"/>
                <w:sz w:val="18"/>
                <w:szCs w:val="18"/>
              </w:rPr>
              <w:lastRenderedPageBreak/>
              <w:t>的投资损益</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其他综合收益</w:t>
            </w:r>
            <w:r w:rsidRPr="00672DC8">
              <w:rPr>
                <w:rFonts w:ascii="Times New Roman" w:eastAsia="宋体" w:hAnsi="Times New Roman" w:cs="Times New Roman"/>
                <w:sz w:val="18"/>
                <w:szCs w:val="18"/>
              </w:rPr>
              <w:lastRenderedPageBreak/>
              <w:t>调整</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其他权益变动</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宣告发放现金</w:t>
            </w:r>
            <w:r w:rsidRPr="00672DC8">
              <w:rPr>
                <w:rFonts w:ascii="Times New Roman" w:eastAsia="宋体" w:hAnsi="Times New Roman" w:cs="Times New Roman"/>
                <w:sz w:val="18"/>
                <w:szCs w:val="18"/>
              </w:rPr>
              <w:lastRenderedPageBreak/>
              <w:t>股利或利润</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计提减值准备</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其他</w:t>
            </w: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r>
      <w:tr w:rsidR="003D2BA8" w:rsidRPr="00672DC8">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一、合营企业</w:t>
            </w:r>
          </w:p>
        </w:tc>
      </w:tr>
      <w:tr w:rsidR="003D2BA8" w:rsidRPr="00672DC8">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二、联营企业</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可收回金额按公允价值减去处置费用后的净额确定</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可收回金额按预计未来现金流量的现值确定</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前述信息与以前年度减值测试采用的信息或外部信息明显不一致的差异原因</w:t>
      </w:r>
    </w:p>
    <w:p w:rsidR="000C0769" w:rsidRPr="00672DC8" w:rsidRDefault="000C0769">
      <w:pPr>
        <w:pStyle w:val="a3"/>
        <w:divId w:val="502862032"/>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公司以前年度减值测试采用信息与当年实际情况明显不一致的差异原因</w:t>
      </w:r>
    </w:p>
    <w:p w:rsidR="000C0769" w:rsidRPr="00672DC8" w:rsidRDefault="000C0769">
      <w:pPr>
        <w:pStyle w:val="a3"/>
        <w:divId w:val="2131121071"/>
        <w:rPr>
          <w:rFonts w:ascii="Times New Roman" w:hAnsi="Times New Roman" w:cs="Times New Roman"/>
          <w:sz w:val="18"/>
          <w:szCs w:val="18"/>
        </w:rPr>
      </w:pPr>
      <w:r w:rsidRPr="00672DC8">
        <w:rPr>
          <w:rFonts w:ascii="Times New Roman"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21" w:name="_Toc98938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其他说明</w:t>
      </w:r>
      <w:bookmarkEnd w:id="521"/>
    </w:p>
    <w:p w:rsidR="000C0769" w:rsidRPr="00672DC8" w:rsidRDefault="000C0769">
      <w:pPr>
        <w:pStyle w:val="a3"/>
        <w:divId w:val="2082823082"/>
        <w:rPr>
          <w:rFonts w:ascii="Times New Roman" w:hAnsi="Times New Roman" w:cs="Times New Roman"/>
          <w:sz w:val="18"/>
          <w:szCs w:val="18"/>
        </w:rPr>
      </w:pPr>
      <w:r w:rsidRPr="00672DC8">
        <w:rPr>
          <w:rFonts w:ascii="Times New Roman" w:hAnsi="Times New Roman" w:cs="Times New Roman"/>
          <w:sz w:val="18"/>
          <w:szCs w:val="18"/>
        </w:rPr>
        <w:t>无。</w:t>
      </w:r>
    </w:p>
    <w:p w:rsidR="003D2BA8" w:rsidRPr="00672DC8" w:rsidRDefault="000C0769">
      <w:pPr>
        <w:pStyle w:val="3"/>
        <w:spacing w:line="280" w:lineRule="exact"/>
        <w:jc w:val="left"/>
        <w:rPr>
          <w:rFonts w:ascii="Times New Roman" w:hAnsi="Times New Roman" w:cs="Times New Roman"/>
          <w:b/>
          <w:bCs/>
        </w:rPr>
      </w:pPr>
      <w:bookmarkStart w:id="522" w:name="_Toc989381"/>
      <w:r w:rsidRPr="00672DC8">
        <w:rPr>
          <w:rFonts w:ascii="Times New Roman" w:hAnsi="Times New Roman" w:cs="Times New Roman"/>
          <w:b/>
          <w:bCs/>
        </w:rPr>
        <w:t>4</w:t>
      </w:r>
      <w:r w:rsidRPr="00672DC8">
        <w:rPr>
          <w:rFonts w:ascii="Times New Roman" w:hAnsi="Times New Roman" w:cs="Times New Roman"/>
          <w:b/>
          <w:bCs/>
        </w:rPr>
        <w:t>、营业收入和营业成本</w:t>
      </w:r>
      <w:bookmarkEnd w:id="522"/>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3D2BA8" w:rsidRPr="00672DC8">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成本</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成本</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主营业务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60,778,116.50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38,056,673.50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88,428,093.79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64,661,979.64</w:t>
            </w: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其他业务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45,626.48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r>
      <w:tr w:rsidR="003D2BA8" w:rsidRPr="00672DC8">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60,823,742.98</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38,056,673.50</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88,428,093.79</w:t>
            </w:r>
          </w:p>
        </w:tc>
        <w:tc>
          <w:tcPr>
            <w:tcW w:w="1928"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64,661,979.64</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营业收入、营业成本的分解信息：</w:t>
      </w:r>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000" w:firstRow="0" w:lastRow="0" w:firstColumn="0" w:lastColumn="0" w:noHBand="0" w:noVBand="0"/>
      </w:tblPr>
      <w:tblGrid>
        <w:gridCol w:w="1927"/>
        <w:gridCol w:w="1926"/>
        <w:gridCol w:w="1926"/>
        <w:gridCol w:w="1926"/>
        <w:gridCol w:w="1926"/>
      </w:tblGrid>
      <w:tr w:rsidR="00940EBD" w:rsidRPr="00672DC8" w:rsidTr="00940EBD">
        <w:trPr>
          <w:trHeight w:val="240"/>
        </w:trPr>
        <w:tc>
          <w:tcPr>
            <w:tcW w:w="1000" w:type="pct"/>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合同分类</w:t>
            </w:r>
          </w:p>
        </w:tc>
        <w:tc>
          <w:tcPr>
            <w:tcW w:w="2000"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940EBD" w:rsidRPr="00672DC8" w:rsidRDefault="00940EBD">
            <w:pPr>
              <w:spacing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本公司</w:t>
            </w:r>
          </w:p>
        </w:tc>
        <w:tc>
          <w:tcPr>
            <w:tcW w:w="2000" w:type="pct"/>
            <w:gridSpan w:val="2"/>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r>
      <w:tr w:rsidR="00940EBD" w:rsidRPr="00672DC8" w:rsidTr="00940EBD">
        <w:trPr>
          <w:trHeight w:val="240"/>
        </w:trPr>
        <w:tc>
          <w:tcPr>
            <w:tcW w:w="1000" w:type="pct"/>
            <w:vMerge/>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营业成本</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营业收入</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营业成本</w:t>
            </w:r>
          </w:p>
        </w:tc>
      </w:tr>
      <w:tr w:rsidR="00940EBD"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业务类型</w:t>
            </w:r>
          </w:p>
        </w:tc>
        <w:tc>
          <w:tcPr>
            <w:tcW w:w="1000" w:type="pct"/>
            <w:tcBorders>
              <w:top w:val="single" w:sz="2" w:space="0" w:color="auto"/>
              <w:left w:val="single" w:sz="2" w:space="0" w:color="auto"/>
              <w:bottom w:val="single" w:sz="2" w:space="0" w:color="auto"/>
              <w:right w:val="single" w:sz="2" w:space="0" w:color="auto"/>
            </w:tcBorders>
            <w:vAlign w:val="center"/>
          </w:tcPr>
          <w:p w:rsidR="00940EBD" w:rsidRPr="00672DC8" w:rsidRDefault="00940EBD">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40EBD" w:rsidRPr="00672DC8" w:rsidRDefault="00940EBD">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40EBD" w:rsidRPr="00672DC8" w:rsidRDefault="00940EBD">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40EBD" w:rsidRPr="00672DC8" w:rsidRDefault="00940EBD">
            <w:pPr>
              <w:spacing w:line="240" w:lineRule="exact"/>
              <w:jc w:val="right"/>
              <w:rPr>
                <w:rFonts w:ascii="Times New Roman" w:eastAsia="宋体" w:hAnsi="Times New Roman" w:cs="Times New Roman"/>
                <w:sz w:val="18"/>
                <w:szCs w:val="18"/>
              </w:rPr>
            </w:pPr>
          </w:p>
        </w:tc>
      </w:tr>
      <w:tr w:rsidR="00940EBD"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40EBD" w:rsidRPr="00672DC8" w:rsidRDefault="00940EBD">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Del="001528EC" w:rsidRDefault="00970968" w:rsidP="00970968">
            <w:pPr>
              <w:spacing w:line="240" w:lineRule="exact"/>
              <w:rPr>
                <w:rFonts w:ascii="宋体" w:eastAsia="宋体" w:hAnsi="宋体" w:cs="宋体"/>
                <w:sz w:val="18"/>
                <w:szCs w:val="18"/>
              </w:rPr>
            </w:pPr>
            <w:r w:rsidRPr="001528EC">
              <w:rPr>
                <w:rFonts w:ascii="宋体" w:eastAsia="宋体" w:hAnsi="宋体" w:cs="宋体" w:hint="eastAsia"/>
                <w:sz w:val="18"/>
                <w:szCs w:val="18"/>
              </w:rPr>
              <w:t>数智化解决方案</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Del="001528EC"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20,108,169.92</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Del="001528EC"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15,288,357.42</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Del="001528EC"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20,108,169.92</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Del="001528EC"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15,288,357.42</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Default="00970968" w:rsidP="00970968">
            <w:pPr>
              <w:spacing w:line="240" w:lineRule="exact"/>
              <w:rPr>
                <w:rFonts w:ascii="宋体" w:eastAsia="宋体" w:hAnsi="宋体" w:cs="宋体"/>
                <w:sz w:val="18"/>
                <w:szCs w:val="18"/>
              </w:rPr>
            </w:pPr>
            <w:r w:rsidRPr="001528EC">
              <w:rPr>
                <w:rFonts w:ascii="宋体" w:eastAsia="宋体" w:hAnsi="宋体" w:cs="宋体" w:hint="eastAsia"/>
                <w:sz w:val="18"/>
                <w:szCs w:val="18"/>
              </w:rPr>
              <w:t>算力与信息设备销售</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4,579,570.74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4,029,920.35</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4,579,570.74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4,029,920.35</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Default="00970968" w:rsidP="00970968">
            <w:pPr>
              <w:spacing w:line="240" w:lineRule="exact"/>
              <w:rPr>
                <w:rFonts w:ascii="宋体" w:eastAsia="宋体" w:hAnsi="宋体" w:cs="宋体"/>
                <w:sz w:val="18"/>
                <w:szCs w:val="18"/>
              </w:rPr>
            </w:pPr>
            <w:r>
              <w:rPr>
                <w:rFonts w:ascii="宋体" w:eastAsia="宋体" w:hAnsi="宋体" w:cs="宋体"/>
                <w:sz w:val="18"/>
                <w:szCs w:val="18"/>
              </w:rPr>
              <w:t>算力服务</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18,738,395.73</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18,738,395.73</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Default="00970968" w:rsidP="00970968">
            <w:pPr>
              <w:spacing w:line="240" w:lineRule="exact"/>
              <w:rPr>
                <w:rFonts w:ascii="宋体" w:eastAsia="宋体" w:hAnsi="宋体" w:cs="宋体"/>
                <w:sz w:val="18"/>
                <w:szCs w:val="18"/>
              </w:rPr>
            </w:pPr>
            <w:r>
              <w:rPr>
                <w:rFonts w:ascii="宋体" w:eastAsia="宋体" w:hAnsi="宋体" w:cs="宋体"/>
                <w:sz w:val="18"/>
                <w:szCs w:val="18"/>
              </w:rPr>
              <w:t>其他业务收入</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45,626.48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r w:rsidRPr="00970968">
              <w:rPr>
                <w:rFonts w:ascii="Times New Roman" w:eastAsia="宋体" w:hAnsi="Times New Roman" w:cs="Times New Roman"/>
                <w:sz w:val="18"/>
                <w:szCs w:val="18"/>
              </w:rPr>
              <w:t>45,626.48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97096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按经营地区分类</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华南</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54,931,581.83</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32,984,581.83</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54,931,581.83</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32,984,581.83</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华中</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1,804,424.78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1,486,606.67</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1,804,424.78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1,486,606.67</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华东</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314,456.74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231,029.25</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314,456.74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231,029.25</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华北</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5,920.35</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0.01</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5,920.35</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0.01</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西南</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3,767,359.28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3,354,455.74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3,767,359.28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3,354,455.74</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市场或客户类型</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行业数智化</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24,687,740.66</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19,318,277.77</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24,687,740.66</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19,318,277.77</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算力服务</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18,738,395.73</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36,090,375.84</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18,738,395.73</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其他业务收入</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45,626.48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45,626.48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合同类型</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按商品转让的时间分类</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在某一时点</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20,770,989.70</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17,706,631.30</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20,770,989.70</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17,706,631.30</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在某一时间段</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40,052,753.28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20,350,042.20</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40,052,753.28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20,350,042.20</w:t>
            </w: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按合同期限分类</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按销售渠道分类</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 xml:space="preserve">　其中：</w:t>
            </w: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rPr>
                <w:rFonts w:ascii="Times New Roman" w:hAnsi="Times New Roman" w:cs="Times New Roman"/>
              </w:rPr>
            </w:pPr>
          </w:p>
        </w:tc>
      </w:tr>
      <w:tr w:rsidR="00970968" w:rsidRPr="00672DC8" w:rsidTr="00940EBD">
        <w:trPr>
          <w:trHeight w:val="240"/>
        </w:trPr>
        <w:tc>
          <w:tcPr>
            <w:tcW w:w="1000" w:type="pct"/>
            <w:tcBorders>
              <w:top w:val="single" w:sz="2" w:space="0" w:color="auto"/>
              <w:left w:val="single" w:sz="2" w:space="0" w:color="auto"/>
              <w:bottom w:val="single" w:sz="2" w:space="0" w:color="auto"/>
              <w:right w:val="single" w:sz="2" w:space="0" w:color="auto"/>
            </w:tcBorders>
            <w:shd w:val="clear" w:color="auto" w:fill="D3D3D3"/>
            <w:vAlign w:val="center"/>
          </w:tcPr>
          <w:p w:rsidR="00970968" w:rsidRPr="00672DC8" w:rsidRDefault="00970968" w:rsidP="00970968">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60,823,742.98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38,056,673.50</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60,823,742.98</w:t>
            </w:r>
          </w:p>
        </w:tc>
        <w:tc>
          <w:tcPr>
            <w:tcW w:w="1000" w:type="pct"/>
            <w:tcBorders>
              <w:top w:val="single" w:sz="2" w:space="0" w:color="auto"/>
              <w:left w:val="single" w:sz="2" w:space="0" w:color="auto"/>
              <w:bottom w:val="single" w:sz="2" w:space="0" w:color="auto"/>
              <w:right w:val="single" w:sz="2" w:space="0" w:color="auto"/>
            </w:tcBorders>
            <w:vAlign w:val="center"/>
          </w:tcPr>
          <w:p w:rsidR="00970968" w:rsidRPr="00672DC8" w:rsidRDefault="00970968" w:rsidP="00970968">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38,056,673.50</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与分摊至剩余履约义务的交易价格相关的信息：本报告期末已签订合同、但尚未履行或尚未履行完毕的履约义务所对应的收入金额为</w:t>
      </w:r>
      <w:r w:rsidRPr="00672DC8">
        <w:rPr>
          <w:rFonts w:ascii="Times New Roman" w:eastAsia="宋体" w:hAnsi="Times New Roman" w:cs="Times New Roman"/>
          <w:sz w:val="18"/>
          <w:szCs w:val="18"/>
        </w:rPr>
        <w:t>482,004,286.92</w:t>
      </w:r>
      <w:r w:rsidRPr="00672DC8">
        <w:rPr>
          <w:rFonts w:ascii="Times New Roman" w:eastAsia="宋体" w:hAnsi="Times New Roman" w:cs="Times New Roman"/>
          <w:sz w:val="18"/>
          <w:szCs w:val="18"/>
        </w:rPr>
        <w:t>元。</w:t>
      </w:r>
    </w:p>
    <w:p w:rsidR="003D2BA8" w:rsidRPr="00672DC8" w:rsidRDefault="000C0769">
      <w:pPr>
        <w:pStyle w:val="3"/>
        <w:spacing w:line="280" w:lineRule="exact"/>
        <w:jc w:val="left"/>
        <w:rPr>
          <w:rFonts w:ascii="Times New Roman" w:hAnsi="Times New Roman" w:cs="Times New Roman"/>
          <w:b/>
          <w:bCs/>
        </w:rPr>
      </w:pPr>
      <w:bookmarkStart w:id="523" w:name="_Toc989382"/>
      <w:r w:rsidRPr="00672DC8">
        <w:rPr>
          <w:rFonts w:ascii="Times New Roman" w:hAnsi="Times New Roman" w:cs="Times New Roman"/>
          <w:b/>
          <w:bCs/>
        </w:rPr>
        <w:t>5</w:t>
      </w:r>
      <w:r w:rsidRPr="00672DC8">
        <w:rPr>
          <w:rFonts w:ascii="Times New Roman" w:hAnsi="Times New Roman" w:cs="Times New Roman"/>
          <w:b/>
          <w:bCs/>
        </w:rPr>
        <w:t>、投资收益</w:t>
      </w:r>
      <w:bookmarkEnd w:id="523"/>
    </w:p>
    <w:p w:rsidR="003D2BA8" w:rsidRPr="00672DC8" w:rsidRDefault="000C0769">
      <w:pPr>
        <w:spacing w:before="40" w:after="4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上期发生额</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处置长期股权投资产生的投资收益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-510,000.00</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jc w:val="right"/>
              <w:rPr>
                <w:rFonts w:ascii="Times New Roman" w:eastAsia="宋体" w:hAnsi="Times New Roman" w:cs="Times New Roman"/>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-510,000.00</w:t>
            </w:r>
          </w:p>
        </w:tc>
      </w:tr>
    </w:tbl>
    <w:p w:rsidR="003D2BA8" w:rsidRPr="00672DC8" w:rsidRDefault="000C0769">
      <w:pPr>
        <w:pStyle w:val="3"/>
        <w:spacing w:line="280" w:lineRule="exact"/>
        <w:jc w:val="left"/>
        <w:rPr>
          <w:rFonts w:ascii="Times New Roman" w:hAnsi="Times New Roman" w:cs="Times New Roman"/>
          <w:b/>
          <w:bCs/>
        </w:rPr>
      </w:pPr>
      <w:bookmarkStart w:id="524" w:name="_Toc989383"/>
      <w:r w:rsidRPr="00672DC8">
        <w:rPr>
          <w:rFonts w:ascii="Times New Roman" w:hAnsi="Times New Roman" w:cs="Times New Roman"/>
          <w:b/>
          <w:bCs/>
        </w:rPr>
        <w:t>6</w:t>
      </w:r>
      <w:r w:rsidRPr="00672DC8">
        <w:rPr>
          <w:rFonts w:ascii="Times New Roman" w:hAnsi="Times New Roman" w:cs="Times New Roman"/>
          <w:b/>
          <w:bCs/>
        </w:rPr>
        <w:t>、其他</w:t>
      </w:r>
      <w:bookmarkEnd w:id="524"/>
    </w:p>
    <w:p w:rsidR="003D2BA8" w:rsidRPr="00672DC8" w:rsidRDefault="000C0769">
      <w:pPr>
        <w:pStyle w:val="2"/>
        <w:spacing w:before="300" w:after="300" w:line="320" w:lineRule="exact"/>
        <w:rPr>
          <w:rFonts w:ascii="Times New Roman" w:eastAsia="宋体" w:hAnsi="Times New Roman" w:cs="Times New Roman"/>
          <w:b/>
          <w:bCs/>
          <w:sz w:val="24"/>
          <w:szCs w:val="24"/>
        </w:rPr>
      </w:pPr>
      <w:bookmarkStart w:id="525" w:name="_Toc989384"/>
      <w:r w:rsidRPr="00672DC8">
        <w:rPr>
          <w:rFonts w:ascii="Times New Roman" w:eastAsia="宋体" w:hAnsi="Times New Roman" w:cs="Times New Roman"/>
          <w:b/>
          <w:bCs/>
          <w:sz w:val="24"/>
          <w:szCs w:val="24"/>
        </w:rPr>
        <w:t>二十、补充资料</w:t>
      </w:r>
      <w:bookmarkEnd w:id="525"/>
    </w:p>
    <w:p w:rsidR="003D2BA8" w:rsidRPr="00672DC8" w:rsidRDefault="000C0769">
      <w:pPr>
        <w:pStyle w:val="3"/>
        <w:spacing w:line="280" w:lineRule="exact"/>
        <w:jc w:val="left"/>
        <w:rPr>
          <w:rFonts w:ascii="Times New Roman" w:hAnsi="Times New Roman" w:cs="Times New Roman"/>
          <w:b/>
          <w:bCs/>
        </w:rPr>
      </w:pPr>
      <w:bookmarkStart w:id="526" w:name="_Toc989385"/>
      <w:r w:rsidRPr="00672DC8">
        <w:rPr>
          <w:rFonts w:ascii="Times New Roman" w:hAnsi="Times New Roman" w:cs="Times New Roman"/>
          <w:b/>
          <w:bCs/>
        </w:rPr>
        <w:t>1</w:t>
      </w:r>
      <w:r w:rsidRPr="00672DC8">
        <w:rPr>
          <w:rFonts w:ascii="Times New Roman" w:hAnsi="Times New Roman" w:cs="Times New Roman"/>
          <w:b/>
          <w:bCs/>
        </w:rPr>
        <w:t>、当期非经常性损益明细表</w:t>
      </w:r>
      <w:bookmarkEnd w:id="526"/>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t>不适用</w:t>
      </w:r>
    </w:p>
    <w:p w:rsidR="003D2BA8" w:rsidRPr="00672DC8" w:rsidRDefault="000C0769">
      <w:pPr>
        <w:spacing w:before="120" w:after="120"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说明</w:t>
            </w: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非流动性资产处置损益</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-197,928.05</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除上述各项之外的其他营业外收入和支出</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-903,493.12</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其他符合非经常性损益定义的损益项目</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81,459.14</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减：所得税影响额</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-52,565.73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ind w:firstLineChars="200" w:firstLine="360"/>
              <w:rPr>
                <w:rFonts w:ascii="Times New Roman" w:eastAsia="宋体" w:hAnsi="Times New Roman" w:cs="Times New Roman"/>
                <w:sz w:val="18"/>
                <w:szCs w:val="18"/>
              </w:rPr>
            </w:pPr>
            <w:r w:rsidRPr="00672DC8">
              <w:rPr>
                <w:rFonts w:ascii="Times New Roman" w:eastAsia="宋体" w:hAnsi="Times New Roman" w:cs="Times New Roman"/>
                <w:sz w:val="18"/>
                <w:szCs w:val="18"/>
              </w:rPr>
              <w:t>少数股东权益影响额（税后）</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-30,690.73</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3D2BA8">
            <w:pPr>
              <w:spacing w:line="240" w:lineRule="exact"/>
              <w:rPr>
                <w:rFonts w:ascii="Times New Roman" w:eastAsia="宋体" w:hAnsi="Times New Roman" w:cs="Times New Roman"/>
                <w:sz w:val="18"/>
                <w:szCs w:val="18"/>
              </w:rPr>
            </w:pPr>
          </w:p>
        </w:tc>
      </w:tr>
      <w:tr w:rsidR="003D2BA8" w:rsidRPr="00672DC8">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-936,705.57</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w:t>
            </w:r>
          </w:p>
        </w:tc>
      </w:tr>
    </w:tbl>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其他符合非经常性损益定义的损益项目的具体情况：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lastRenderedPageBreak/>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公司不存在其他符合非经常性损益定义的损益项目的具体情况。</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将《公开发行证券的公司信息披露解释性公告第</w:t>
      </w:r>
      <w:r w:rsidRPr="00672DC8">
        <w:rPr>
          <w:rFonts w:ascii="Times New Roman" w:eastAsia="宋体" w:hAnsi="Times New Roman" w:cs="Times New Roman"/>
          <w:sz w:val="18"/>
          <w:szCs w:val="18"/>
        </w:rPr>
        <w:t>1</w:t>
      </w:r>
      <w:r w:rsidRPr="00672DC8">
        <w:rPr>
          <w:rFonts w:ascii="Times New Roman" w:eastAsia="宋体" w:hAnsi="Times New Roman" w:cs="Times New Roman"/>
          <w:sz w:val="18"/>
          <w:szCs w:val="18"/>
        </w:rPr>
        <w:t>号</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非经常性损益》中列举的非经常性损益项目界定为经常性损益项目的情况说明</w:t>
      </w:r>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527" w:name="_Toc989386"/>
      <w:r w:rsidRPr="00672DC8">
        <w:rPr>
          <w:rFonts w:ascii="Times New Roman" w:hAnsi="Times New Roman" w:cs="Times New Roman"/>
          <w:b/>
          <w:bCs/>
        </w:rPr>
        <w:t>2</w:t>
      </w:r>
      <w:r w:rsidRPr="00672DC8">
        <w:rPr>
          <w:rFonts w:ascii="Times New Roman" w:hAnsi="Times New Roman" w:cs="Times New Roman"/>
          <w:b/>
          <w:bCs/>
        </w:rPr>
        <w:t>、净资产收益率及每股收益</w:t>
      </w:r>
      <w:bookmarkEnd w:id="527"/>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3D2BA8" w:rsidRPr="00672DC8">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报告期利润</w:t>
            </w:r>
          </w:p>
        </w:tc>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加权平均净资产收益率</w:t>
            </w:r>
          </w:p>
        </w:tc>
        <w:tc>
          <w:tcPr>
            <w:tcW w:w="482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每股收益</w:t>
            </w:r>
          </w:p>
        </w:tc>
      </w:tr>
      <w:tr w:rsidR="003D2BA8" w:rsidRPr="00672DC8">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3D2BA8">
            <w:pPr>
              <w:rPr>
                <w:rFonts w:ascii="Times New Roman" w:hAnsi="Times New Roman" w:cs="Times New Roman"/>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基本每股收益（元</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股）</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jc w:val="center"/>
              <w:rPr>
                <w:rFonts w:ascii="Times New Roman" w:eastAsia="宋体" w:hAnsi="Times New Roman" w:cs="Times New Roman"/>
                <w:sz w:val="18"/>
                <w:szCs w:val="18"/>
              </w:rPr>
            </w:pPr>
            <w:r w:rsidRPr="00672DC8">
              <w:rPr>
                <w:rFonts w:ascii="Times New Roman" w:eastAsia="宋体" w:hAnsi="Times New Roman" w:cs="Times New Roman"/>
                <w:sz w:val="18"/>
                <w:szCs w:val="18"/>
              </w:rPr>
              <w:t>稀释每股收益（元</w:t>
            </w: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股）</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归属于公司普通股股东的净利润</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0.33%</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0.0278</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0.0277</w:t>
            </w:r>
          </w:p>
        </w:tc>
      </w:tr>
      <w:tr w:rsidR="003D2BA8" w:rsidRPr="00672DC8">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3D2BA8" w:rsidRPr="00672DC8" w:rsidRDefault="000C0769">
            <w:pPr>
              <w:spacing w:before="40" w:after="4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扣除非经常性损益后归属于公司普通股股东的净利润</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0.45%</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0.0379</w:t>
            </w:r>
          </w:p>
        </w:tc>
        <w:tc>
          <w:tcPr>
            <w:tcW w:w="2410" w:type="dxa"/>
            <w:tcBorders>
              <w:top w:val="single" w:sz="2" w:space="0" w:color="auto"/>
              <w:left w:val="single" w:sz="2" w:space="0" w:color="auto"/>
              <w:bottom w:val="single" w:sz="2" w:space="0" w:color="auto"/>
              <w:right w:val="single" w:sz="2" w:space="0" w:color="auto"/>
            </w:tcBorders>
            <w:vAlign w:val="center"/>
          </w:tcPr>
          <w:p w:rsidR="003D2BA8" w:rsidRPr="00672DC8" w:rsidRDefault="000C0769">
            <w:pPr>
              <w:spacing w:line="240" w:lineRule="exact"/>
              <w:jc w:val="right"/>
              <w:rPr>
                <w:rFonts w:ascii="Times New Roman" w:eastAsia="宋体" w:hAnsi="Times New Roman" w:cs="Times New Roman"/>
                <w:sz w:val="18"/>
                <w:szCs w:val="18"/>
              </w:rPr>
            </w:pPr>
            <w:r w:rsidRPr="00672DC8">
              <w:rPr>
                <w:rFonts w:ascii="Times New Roman" w:eastAsia="宋体" w:hAnsi="Times New Roman" w:cs="Times New Roman"/>
                <w:sz w:val="18"/>
                <w:szCs w:val="18"/>
              </w:rPr>
              <w:t>0.0377</w:t>
            </w:r>
          </w:p>
        </w:tc>
      </w:tr>
    </w:tbl>
    <w:p w:rsidR="003D2BA8" w:rsidRPr="00672DC8" w:rsidRDefault="000C0769">
      <w:pPr>
        <w:pStyle w:val="3"/>
        <w:spacing w:line="280" w:lineRule="exact"/>
        <w:jc w:val="left"/>
        <w:rPr>
          <w:rFonts w:ascii="Times New Roman" w:hAnsi="Times New Roman" w:cs="Times New Roman"/>
          <w:b/>
          <w:bCs/>
        </w:rPr>
      </w:pPr>
      <w:bookmarkStart w:id="528" w:name="_Toc989387"/>
      <w:r w:rsidRPr="00672DC8">
        <w:rPr>
          <w:rFonts w:ascii="Times New Roman" w:hAnsi="Times New Roman" w:cs="Times New Roman"/>
          <w:b/>
          <w:bCs/>
        </w:rPr>
        <w:t>3</w:t>
      </w:r>
      <w:r w:rsidRPr="00672DC8">
        <w:rPr>
          <w:rFonts w:ascii="Times New Roman" w:hAnsi="Times New Roman" w:cs="Times New Roman"/>
          <w:b/>
          <w:bCs/>
        </w:rPr>
        <w:t>、境内外会计准则下会计数据差异</w:t>
      </w:r>
      <w:bookmarkEnd w:id="528"/>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29" w:name="_Toc989388"/>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1</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同时按照国际会计准则与按中国会计准则披露的财务报告中净利润和净资产差异情况</w:t>
      </w:r>
      <w:bookmarkEnd w:id="529"/>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30" w:name="_Toc989389"/>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2</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同时按照境外会计准则与按中国会计准则披露的财务报告中净利润和净资产差异情况</w:t>
      </w:r>
      <w:bookmarkEnd w:id="530"/>
    </w:p>
    <w:p w:rsidR="003D2BA8" w:rsidRPr="00672DC8" w:rsidRDefault="000C0769">
      <w:pPr>
        <w:spacing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keepNext/>
        <w:keepLines/>
        <w:spacing w:before="300" w:after="300" w:line="280" w:lineRule="exact"/>
        <w:outlineLvl w:val="3"/>
        <w:rPr>
          <w:rFonts w:ascii="Times New Roman" w:eastAsia="宋体" w:hAnsi="Times New Roman" w:cs="Times New Roman"/>
          <w:b/>
          <w:bCs/>
          <w:szCs w:val="21"/>
        </w:rPr>
      </w:pPr>
      <w:bookmarkStart w:id="531" w:name="_Toc989390"/>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3</w:t>
      </w:r>
      <w:r w:rsidRPr="00672DC8">
        <w:rPr>
          <w:rFonts w:ascii="Times New Roman" w:eastAsia="宋体" w:hAnsi="Times New Roman" w:cs="Times New Roman"/>
          <w:b/>
          <w:bCs/>
          <w:szCs w:val="21"/>
        </w:rPr>
        <w:t>）</w:t>
      </w:r>
      <w:r w:rsidRPr="00672DC8">
        <w:rPr>
          <w:rFonts w:ascii="Times New Roman" w:eastAsia="宋体" w:hAnsi="Times New Roman" w:cs="Times New Roman"/>
          <w:b/>
          <w:bCs/>
          <w:szCs w:val="21"/>
        </w:rPr>
        <w:t xml:space="preserve"> </w:t>
      </w:r>
      <w:r w:rsidRPr="00672DC8">
        <w:rPr>
          <w:rFonts w:ascii="Times New Roman" w:eastAsia="宋体" w:hAnsi="Times New Roman" w:cs="Times New Roman"/>
          <w:b/>
          <w:bCs/>
          <w:szCs w:val="21"/>
        </w:rPr>
        <w:t>境内外会计准则下会计数据差异原因说明，对已经境外审计机构审计的数据进行差异调节的，应注明该境外机构的名称</w:t>
      </w:r>
      <w:bookmarkEnd w:id="531"/>
    </w:p>
    <w:p w:rsidR="003D2BA8" w:rsidRPr="00672DC8" w:rsidRDefault="000C0769">
      <w:pPr>
        <w:spacing w:before="100" w:after="100" w:line="240" w:lineRule="exact"/>
        <w:rPr>
          <w:rFonts w:ascii="Times New Roman" w:eastAsia="宋体" w:hAnsi="Times New Roman" w:cs="Times New Roman"/>
          <w:sz w:val="18"/>
          <w:szCs w:val="18"/>
        </w:rPr>
      </w:pPr>
      <w:r w:rsidRPr="00672DC8">
        <w:rPr>
          <w:rFonts w:ascii="Times New Roman" w:eastAsia="宋体" w:hAnsi="Times New Roman" w:cs="Times New Roman"/>
          <w:sz w:val="18"/>
          <w:szCs w:val="18"/>
        </w:rPr>
        <w:t>□</w:t>
      </w:r>
      <w:r w:rsidRPr="00672DC8">
        <w:rPr>
          <w:rFonts w:ascii="Times New Roman" w:eastAsia="宋体" w:hAnsi="Times New Roman" w:cs="Times New Roman"/>
          <w:sz w:val="18"/>
          <w:szCs w:val="18"/>
        </w:rPr>
        <w:t>适用</w:t>
      </w:r>
      <w:r w:rsidRPr="00672DC8">
        <w:rPr>
          <w:rFonts w:ascii="Times New Roman" w:eastAsia="宋体" w:hAnsi="Times New Roman" w:cs="Times New Roman"/>
          <w:sz w:val="18"/>
          <w:szCs w:val="18"/>
        </w:rPr>
        <w:t xml:space="preserve"> </w:t>
      </w:r>
      <w:r w:rsidRPr="00672DC8">
        <w:rPr>
          <w:rFonts w:ascii="Times New Roman" w:eastAsia="宋体" w:hAnsi="Times New Roman" w:cs="Times New Roman"/>
          <w:sz w:val="18"/>
          <w:szCs w:val="18"/>
        </w:rPr>
        <w:sym w:font="Wingdings 2" w:char="F052"/>
      </w:r>
      <w:r w:rsidRPr="00672DC8">
        <w:rPr>
          <w:rFonts w:ascii="Times New Roman" w:eastAsia="宋体" w:hAnsi="Times New Roman" w:cs="Times New Roman"/>
          <w:sz w:val="18"/>
          <w:szCs w:val="18"/>
        </w:rPr>
        <w:t>不适用</w:t>
      </w:r>
    </w:p>
    <w:p w:rsidR="003D2BA8" w:rsidRPr="00672DC8" w:rsidRDefault="000C0769">
      <w:pPr>
        <w:pStyle w:val="3"/>
        <w:spacing w:line="280" w:lineRule="exact"/>
        <w:jc w:val="left"/>
        <w:rPr>
          <w:rFonts w:ascii="Times New Roman" w:hAnsi="Times New Roman" w:cs="Times New Roman"/>
          <w:b/>
          <w:bCs/>
        </w:rPr>
      </w:pPr>
      <w:bookmarkStart w:id="532" w:name="_Toc989391"/>
      <w:r w:rsidRPr="00672DC8">
        <w:rPr>
          <w:rFonts w:ascii="Times New Roman" w:hAnsi="Times New Roman" w:cs="Times New Roman"/>
          <w:b/>
          <w:bCs/>
        </w:rPr>
        <w:t>4</w:t>
      </w:r>
      <w:r w:rsidRPr="00672DC8">
        <w:rPr>
          <w:rFonts w:ascii="Times New Roman" w:hAnsi="Times New Roman" w:cs="Times New Roman"/>
          <w:b/>
          <w:bCs/>
        </w:rPr>
        <w:t>、其他</w:t>
      </w:r>
      <w:bookmarkEnd w:id="532"/>
    </w:p>
    <w:p w:rsidR="005D74A0" w:rsidRPr="00672DC8" w:rsidRDefault="009842EC" w:rsidP="009842EC">
      <w:pPr>
        <w:spacing w:before="100" w:after="100" w:line="0" w:lineRule="atLeast"/>
        <w:jc w:val="right"/>
        <w:rPr>
          <w:rFonts w:ascii="Times New Roman" w:eastAsia="宋体" w:hAnsi="Times New Roman" w:cs="Times New Roman"/>
        </w:rPr>
      </w:pPr>
      <w:r w:rsidRPr="00672DC8">
        <w:rPr>
          <w:rFonts w:ascii="Times New Roman" w:eastAsia="宋体" w:hAnsi="Times New Roman" w:cs="Times New Roman"/>
        </w:rPr>
        <w:t>广东天亿马信息产业股份有限公司</w:t>
      </w:r>
    </w:p>
    <w:p w:rsidR="005D74A0" w:rsidRPr="00672DC8" w:rsidRDefault="00DB565B" w:rsidP="00DB565B">
      <w:pPr>
        <w:wordWrap w:val="0"/>
        <w:spacing w:before="100" w:after="100" w:line="0" w:lineRule="atLeast"/>
        <w:jc w:val="right"/>
        <w:rPr>
          <w:rFonts w:ascii="Times New Roman" w:eastAsia="宋体" w:hAnsi="Times New Roman" w:cs="Times New Roman"/>
        </w:rPr>
      </w:pPr>
      <w:r>
        <w:rPr>
          <w:rFonts w:ascii="Times New Roman" w:eastAsia="宋体" w:hAnsi="Times New Roman" w:cs="Times New Roman" w:hint="eastAsia"/>
        </w:rPr>
        <w:t>董事会</w:t>
      </w:r>
    </w:p>
    <w:p w:rsidR="009842EC" w:rsidRPr="00672DC8" w:rsidRDefault="009842EC" w:rsidP="009842EC">
      <w:pPr>
        <w:spacing w:before="100" w:after="100" w:line="0" w:lineRule="atLeast"/>
        <w:jc w:val="right"/>
        <w:rPr>
          <w:rFonts w:ascii="Times New Roman" w:eastAsia="宋体" w:hAnsi="Times New Roman" w:cs="Times New Roman"/>
        </w:rPr>
      </w:pPr>
      <w:r w:rsidRPr="00672DC8">
        <w:rPr>
          <w:rFonts w:ascii="Times New Roman" w:eastAsia="宋体" w:hAnsi="Times New Roman" w:cs="Times New Roman"/>
        </w:rPr>
        <w:t>2026</w:t>
      </w:r>
      <w:r w:rsidRPr="00672DC8">
        <w:rPr>
          <w:rFonts w:ascii="Times New Roman" w:eastAsia="宋体" w:hAnsi="Times New Roman" w:cs="Times New Roman"/>
        </w:rPr>
        <w:t>年</w:t>
      </w:r>
      <w:r w:rsidRPr="00672DC8">
        <w:rPr>
          <w:rFonts w:ascii="Times New Roman" w:eastAsia="宋体" w:hAnsi="Times New Roman" w:cs="Times New Roman"/>
        </w:rPr>
        <w:t>8</w:t>
      </w:r>
      <w:r w:rsidRPr="00672DC8">
        <w:rPr>
          <w:rFonts w:ascii="Times New Roman" w:eastAsia="宋体" w:hAnsi="Times New Roman" w:cs="Times New Roman"/>
        </w:rPr>
        <w:t>月</w:t>
      </w:r>
      <w:r w:rsidRPr="00672DC8">
        <w:rPr>
          <w:rFonts w:ascii="Times New Roman" w:eastAsia="宋体" w:hAnsi="Times New Roman" w:cs="Times New Roman"/>
        </w:rPr>
        <w:t>29</w:t>
      </w:r>
      <w:r w:rsidRPr="00672DC8">
        <w:rPr>
          <w:rFonts w:ascii="Times New Roman" w:eastAsia="宋体" w:hAnsi="Times New Roman" w:cs="Times New Roman"/>
        </w:rPr>
        <w:t>日</w:t>
      </w:r>
    </w:p>
    <w:p w:rsidR="003D2BA8" w:rsidRPr="00672DC8" w:rsidRDefault="003D2BA8">
      <w:pPr>
        <w:rPr>
          <w:rFonts w:ascii="Times New Roman" w:hAnsi="Times New Roman" w:cs="Times New Roman"/>
        </w:rPr>
      </w:pPr>
    </w:p>
    <w:sectPr w:rsidR="003D2BA8" w:rsidRPr="00672DC8">
      <w:pgSz w:w="11905" w:h="16840"/>
      <w:pgMar w:top="1440" w:right="1134" w:bottom="1440" w:left="1134" w:header="850"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633" w:rsidRDefault="00654633">
      <w:r>
        <w:separator/>
      </w:r>
    </w:p>
  </w:endnote>
  <w:endnote w:type="continuationSeparator" w:id="0">
    <w:p w:rsidR="00654633" w:rsidRDefault="00654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BA" w:rsidRDefault="003A1CBA">
    <w:pPr>
      <w:pStyle w:val="fotter1"/>
    </w:pPr>
    <w:r>
      <w:fldChar w:fldCharType="begin"/>
    </w:r>
    <w:r>
      <w:instrText>PAGE   \* MERGEFORMAT</w:instrText>
    </w:r>
    <w:r>
      <w:fldChar w:fldCharType="separate"/>
    </w:r>
    <w:r w:rsidR="003873C8">
      <w:rPr>
        <w:noProof/>
      </w:rPr>
      <w:t>48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633" w:rsidRDefault="00654633">
      <w:r>
        <w:separator/>
      </w:r>
    </w:p>
  </w:footnote>
  <w:footnote w:type="continuationSeparator" w:id="0">
    <w:p w:rsidR="00654633" w:rsidRDefault="006546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BA" w:rsidRDefault="003A1CBA">
    <w:pPr>
      <w:pStyle w:val="Header1"/>
      <w:pBdr>
        <w:bottom w:val="single" w:sz="6" w:space="1" w:color="auto"/>
      </w:pBdr>
    </w:pPr>
    <w:r>
      <w:t>广东天亿马信息产业股份有限公司2026年半年度报告全文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bordersDoNotSurroundHeader/>
  <w:bordersDoNotSurroundFooter/>
  <w:hideSpellingErrors/>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BA8"/>
    <w:rsid w:val="0001417E"/>
    <w:rsid w:val="00020D65"/>
    <w:rsid w:val="000309D2"/>
    <w:rsid w:val="00035E8B"/>
    <w:rsid w:val="000753B0"/>
    <w:rsid w:val="00075901"/>
    <w:rsid w:val="0008524E"/>
    <w:rsid w:val="000955F1"/>
    <w:rsid w:val="00095F1C"/>
    <w:rsid w:val="000967C3"/>
    <w:rsid w:val="00097EDE"/>
    <w:rsid w:val="000A6A89"/>
    <w:rsid w:val="000B1299"/>
    <w:rsid w:val="000C0769"/>
    <w:rsid w:val="000D0A0F"/>
    <w:rsid w:val="000E12A0"/>
    <w:rsid w:val="000E1775"/>
    <w:rsid w:val="000E1C97"/>
    <w:rsid w:val="00103B49"/>
    <w:rsid w:val="001078E1"/>
    <w:rsid w:val="00115AB1"/>
    <w:rsid w:val="00120161"/>
    <w:rsid w:val="00120F97"/>
    <w:rsid w:val="001241FE"/>
    <w:rsid w:val="00125D5D"/>
    <w:rsid w:val="00131EC8"/>
    <w:rsid w:val="00132742"/>
    <w:rsid w:val="0013352A"/>
    <w:rsid w:val="00134036"/>
    <w:rsid w:val="001434A6"/>
    <w:rsid w:val="00157087"/>
    <w:rsid w:val="00164265"/>
    <w:rsid w:val="001645CA"/>
    <w:rsid w:val="001646FD"/>
    <w:rsid w:val="00167F5A"/>
    <w:rsid w:val="001723AB"/>
    <w:rsid w:val="00185D01"/>
    <w:rsid w:val="00187D48"/>
    <w:rsid w:val="001A0CB8"/>
    <w:rsid w:val="001A752E"/>
    <w:rsid w:val="001A79FD"/>
    <w:rsid w:val="001B4740"/>
    <w:rsid w:val="001B6020"/>
    <w:rsid w:val="001E45A8"/>
    <w:rsid w:val="001E48B9"/>
    <w:rsid w:val="001E48BC"/>
    <w:rsid w:val="001E5A5C"/>
    <w:rsid w:val="00201DE8"/>
    <w:rsid w:val="00203756"/>
    <w:rsid w:val="00205349"/>
    <w:rsid w:val="002060BA"/>
    <w:rsid w:val="0020691B"/>
    <w:rsid w:val="00212E38"/>
    <w:rsid w:val="0021527C"/>
    <w:rsid w:val="00220599"/>
    <w:rsid w:val="00235175"/>
    <w:rsid w:val="00236EBD"/>
    <w:rsid w:val="00240F8F"/>
    <w:rsid w:val="00241166"/>
    <w:rsid w:val="00245914"/>
    <w:rsid w:val="00251339"/>
    <w:rsid w:val="00272F84"/>
    <w:rsid w:val="00280ECC"/>
    <w:rsid w:val="00282B57"/>
    <w:rsid w:val="00291157"/>
    <w:rsid w:val="002971D6"/>
    <w:rsid w:val="002A1939"/>
    <w:rsid w:val="002A199C"/>
    <w:rsid w:val="002B3821"/>
    <w:rsid w:val="002B58E4"/>
    <w:rsid w:val="002B7662"/>
    <w:rsid w:val="002C112B"/>
    <w:rsid w:val="002D0D53"/>
    <w:rsid w:val="002D12C2"/>
    <w:rsid w:val="002D1EFD"/>
    <w:rsid w:val="002D385C"/>
    <w:rsid w:val="002D4E41"/>
    <w:rsid w:val="002D4FC8"/>
    <w:rsid w:val="002D723F"/>
    <w:rsid w:val="002E033D"/>
    <w:rsid w:val="002E3671"/>
    <w:rsid w:val="002E4438"/>
    <w:rsid w:val="002E5C81"/>
    <w:rsid w:val="002F3A45"/>
    <w:rsid w:val="002F55F1"/>
    <w:rsid w:val="00301A0D"/>
    <w:rsid w:val="00305906"/>
    <w:rsid w:val="0031291B"/>
    <w:rsid w:val="003258F0"/>
    <w:rsid w:val="00341889"/>
    <w:rsid w:val="00355C95"/>
    <w:rsid w:val="0036480E"/>
    <w:rsid w:val="00374CFA"/>
    <w:rsid w:val="003873C8"/>
    <w:rsid w:val="003A1CBA"/>
    <w:rsid w:val="003A69B8"/>
    <w:rsid w:val="003A7C4B"/>
    <w:rsid w:val="003B5688"/>
    <w:rsid w:val="003B6404"/>
    <w:rsid w:val="003B7D80"/>
    <w:rsid w:val="003C3EDC"/>
    <w:rsid w:val="003C72EB"/>
    <w:rsid w:val="003D2BA8"/>
    <w:rsid w:val="003D3A46"/>
    <w:rsid w:val="003D6C49"/>
    <w:rsid w:val="003E4506"/>
    <w:rsid w:val="003F4F45"/>
    <w:rsid w:val="004018D2"/>
    <w:rsid w:val="004060AA"/>
    <w:rsid w:val="00406FAD"/>
    <w:rsid w:val="004279C9"/>
    <w:rsid w:val="00430486"/>
    <w:rsid w:val="00440163"/>
    <w:rsid w:val="00446E09"/>
    <w:rsid w:val="00453816"/>
    <w:rsid w:val="004638CC"/>
    <w:rsid w:val="004672E5"/>
    <w:rsid w:val="00497948"/>
    <w:rsid w:val="004A7B02"/>
    <w:rsid w:val="004B2FE2"/>
    <w:rsid w:val="004B7012"/>
    <w:rsid w:val="004C0FAD"/>
    <w:rsid w:val="004C1725"/>
    <w:rsid w:val="004D3FEB"/>
    <w:rsid w:val="004E02BA"/>
    <w:rsid w:val="004E3D4F"/>
    <w:rsid w:val="004E5309"/>
    <w:rsid w:val="004F0F32"/>
    <w:rsid w:val="004F203A"/>
    <w:rsid w:val="00501DE7"/>
    <w:rsid w:val="005152E8"/>
    <w:rsid w:val="005307D9"/>
    <w:rsid w:val="00536FF0"/>
    <w:rsid w:val="00540E4A"/>
    <w:rsid w:val="0054247E"/>
    <w:rsid w:val="005447C1"/>
    <w:rsid w:val="00551706"/>
    <w:rsid w:val="00552944"/>
    <w:rsid w:val="00553E25"/>
    <w:rsid w:val="00574D06"/>
    <w:rsid w:val="00580C8E"/>
    <w:rsid w:val="005A05F4"/>
    <w:rsid w:val="005B07D3"/>
    <w:rsid w:val="005C593E"/>
    <w:rsid w:val="005D4C38"/>
    <w:rsid w:val="005D74A0"/>
    <w:rsid w:val="005F64A0"/>
    <w:rsid w:val="00605DE4"/>
    <w:rsid w:val="00622A74"/>
    <w:rsid w:val="006261C3"/>
    <w:rsid w:val="00635DDB"/>
    <w:rsid w:val="006524A9"/>
    <w:rsid w:val="00654633"/>
    <w:rsid w:val="00654A08"/>
    <w:rsid w:val="006643CA"/>
    <w:rsid w:val="006707B7"/>
    <w:rsid w:val="00672DC8"/>
    <w:rsid w:val="0067387C"/>
    <w:rsid w:val="00681036"/>
    <w:rsid w:val="006A318B"/>
    <w:rsid w:val="006A726B"/>
    <w:rsid w:val="006B09CB"/>
    <w:rsid w:val="006B2853"/>
    <w:rsid w:val="006B31D8"/>
    <w:rsid w:val="006B4EA6"/>
    <w:rsid w:val="006B5F5E"/>
    <w:rsid w:val="006D321F"/>
    <w:rsid w:val="006D45C3"/>
    <w:rsid w:val="006E37F8"/>
    <w:rsid w:val="006E4867"/>
    <w:rsid w:val="006E5BD7"/>
    <w:rsid w:val="006E722D"/>
    <w:rsid w:val="006F1847"/>
    <w:rsid w:val="006F31C2"/>
    <w:rsid w:val="006F3E7B"/>
    <w:rsid w:val="006F5775"/>
    <w:rsid w:val="006F6F57"/>
    <w:rsid w:val="007001FE"/>
    <w:rsid w:val="00705653"/>
    <w:rsid w:val="007072E1"/>
    <w:rsid w:val="00707526"/>
    <w:rsid w:val="00723202"/>
    <w:rsid w:val="007236B6"/>
    <w:rsid w:val="00741623"/>
    <w:rsid w:val="00742B63"/>
    <w:rsid w:val="00754A02"/>
    <w:rsid w:val="00765122"/>
    <w:rsid w:val="00767644"/>
    <w:rsid w:val="00772BDD"/>
    <w:rsid w:val="007817DC"/>
    <w:rsid w:val="007821CD"/>
    <w:rsid w:val="007B70D5"/>
    <w:rsid w:val="007C22EB"/>
    <w:rsid w:val="007D4F50"/>
    <w:rsid w:val="007D6FC6"/>
    <w:rsid w:val="007E43A6"/>
    <w:rsid w:val="007E6A90"/>
    <w:rsid w:val="00805E48"/>
    <w:rsid w:val="00811C97"/>
    <w:rsid w:val="00813CF0"/>
    <w:rsid w:val="008169BA"/>
    <w:rsid w:val="008205C1"/>
    <w:rsid w:val="0084467F"/>
    <w:rsid w:val="00847047"/>
    <w:rsid w:val="008501A8"/>
    <w:rsid w:val="0085408F"/>
    <w:rsid w:val="0086252F"/>
    <w:rsid w:val="00875F63"/>
    <w:rsid w:val="00877D1D"/>
    <w:rsid w:val="00880590"/>
    <w:rsid w:val="00894653"/>
    <w:rsid w:val="00897F29"/>
    <w:rsid w:val="008A17B0"/>
    <w:rsid w:val="008A71D1"/>
    <w:rsid w:val="008B0581"/>
    <w:rsid w:val="008B4579"/>
    <w:rsid w:val="008C3F2F"/>
    <w:rsid w:val="008C427B"/>
    <w:rsid w:val="008C45C2"/>
    <w:rsid w:val="008C6A47"/>
    <w:rsid w:val="008D2979"/>
    <w:rsid w:val="008D4987"/>
    <w:rsid w:val="008E05CC"/>
    <w:rsid w:val="00900F4F"/>
    <w:rsid w:val="00901396"/>
    <w:rsid w:val="0093250D"/>
    <w:rsid w:val="00932B5B"/>
    <w:rsid w:val="009331D1"/>
    <w:rsid w:val="00934010"/>
    <w:rsid w:val="00940EBD"/>
    <w:rsid w:val="00953138"/>
    <w:rsid w:val="00954567"/>
    <w:rsid w:val="00963D75"/>
    <w:rsid w:val="00970968"/>
    <w:rsid w:val="00970F77"/>
    <w:rsid w:val="00977976"/>
    <w:rsid w:val="009818F2"/>
    <w:rsid w:val="00982478"/>
    <w:rsid w:val="009842EC"/>
    <w:rsid w:val="00995525"/>
    <w:rsid w:val="009976AC"/>
    <w:rsid w:val="009B36E6"/>
    <w:rsid w:val="009B4179"/>
    <w:rsid w:val="009D018E"/>
    <w:rsid w:val="009D0D4C"/>
    <w:rsid w:val="009D137B"/>
    <w:rsid w:val="009D24AE"/>
    <w:rsid w:val="009F7CF7"/>
    <w:rsid w:val="00A020B7"/>
    <w:rsid w:val="00A05DA6"/>
    <w:rsid w:val="00A05DEF"/>
    <w:rsid w:val="00A154D0"/>
    <w:rsid w:val="00A17931"/>
    <w:rsid w:val="00A32213"/>
    <w:rsid w:val="00A329B0"/>
    <w:rsid w:val="00A409EF"/>
    <w:rsid w:val="00A45857"/>
    <w:rsid w:val="00A52FD7"/>
    <w:rsid w:val="00A55924"/>
    <w:rsid w:val="00A82D21"/>
    <w:rsid w:val="00A90B35"/>
    <w:rsid w:val="00A93217"/>
    <w:rsid w:val="00AA52CD"/>
    <w:rsid w:val="00AA5637"/>
    <w:rsid w:val="00AA7E6C"/>
    <w:rsid w:val="00AB2077"/>
    <w:rsid w:val="00AC26BC"/>
    <w:rsid w:val="00AD47D2"/>
    <w:rsid w:val="00AD5633"/>
    <w:rsid w:val="00AD5B15"/>
    <w:rsid w:val="00AE3194"/>
    <w:rsid w:val="00AF6848"/>
    <w:rsid w:val="00B05C91"/>
    <w:rsid w:val="00B05DFD"/>
    <w:rsid w:val="00B079A8"/>
    <w:rsid w:val="00B17955"/>
    <w:rsid w:val="00B206C4"/>
    <w:rsid w:val="00B23E72"/>
    <w:rsid w:val="00B35C0C"/>
    <w:rsid w:val="00B445EA"/>
    <w:rsid w:val="00B44D2A"/>
    <w:rsid w:val="00B540A1"/>
    <w:rsid w:val="00B5641E"/>
    <w:rsid w:val="00B63432"/>
    <w:rsid w:val="00B63872"/>
    <w:rsid w:val="00B70F9B"/>
    <w:rsid w:val="00B71EEE"/>
    <w:rsid w:val="00B730DD"/>
    <w:rsid w:val="00B97030"/>
    <w:rsid w:val="00B9723B"/>
    <w:rsid w:val="00BA06AA"/>
    <w:rsid w:val="00BA4E1D"/>
    <w:rsid w:val="00BB2888"/>
    <w:rsid w:val="00BB46BD"/>
    <w:rsid w:val="00BC0151"/>
    <w:rsid w:val="00BC1156"/>
    <w:rsid w:val="00BD00D9"/>
    <w:rsid w:val="00BD0F89"/>
    <w:rsid w:val="00BD364D"/>
    <w:rsid w:val="00BD6552"/>
    <w:rsid w:val="00BF0C30"/>
    <w:rsid w:val="00BF4931"/>
    <w:rsid w:val="00C0010B"/>
    <w:rsid w:val="00C02031"/>
    <w:rsid w:val="00C025F8"/>
    <w:rsid w:val="00C4429E"/>
    <w:rsid w:val="00C453C0"/>
    <w:rsid w:val="00C61293"/>
    <w:rsid w:val="00C752FA"/>
    <w:rsid w:val="00C75730"/>
    <w:rsid w:val="00C764F3"/>
    <w:rsid w:val="00C83B6E"/>
    <w:rsid w:val="00C903D6"/>
    <w:rsid w:val="00C90C48"/>
    <w:rsid w:val="00C9251F"/>
    <w:rsid w:val="00CA0E49"/>
    <w:rsid w:val="00CA47AA"/>
    <w:rsid w:val="00CB153E"/>
    <w:rsid w:val="00CB213B"/>
    <w:rsid w:val="00CC22C2"/>
    <w:rsid w:val="00CC6138"/>
    <w:rsid w:val="00CC775F"/>
    <w:rsid w:val="00CE02AC"/>
    <w:rsid w:val="00CE6D05"/>
    <w:rsid w:val="00CF7EFB"/>
    <w:rsid w:val="00D05153"/>
    <w:rsid w:val="00D05A96"/>
    <w:rsid w:val="00D1208F"/>
    <w:rsid w:val="00D15480"/>
    <w:rsid w:val="00D22D75"/>
    <w:rsid w:val="00D501FA"/>
    <w:rsid w:val="00D5115F"/>
    <w:rsid w:val="00D71CD2"/>
    <w:rsid w:val="00D77F83"/>
    <w:rsid w:val="00D82E20"/>
    <w:rsid w:val="00D935BF"/>
    <w:rsid w:val="00D950B3"/>
    <w:rsid w:val="00DA0599"/>
    <w:rsid w:val="00DB1640"/>
    <w:rsid w:val="00DB4593"/>
    <w:rsid w:val="00DB565B"/>
    <w:rsid w:val="00DC606D"/>
    <w:rsid w:val="00DD18B5"/>
    <w:rsid w:val="00DD32C8"/>
    <w:rsid w:val="00DD73F2"/>
    <w:rsid w:val="00DD7477"/>
    <w:rsid w:val="00DE333F"/>
    <w:rsid w:val="00DE55AC"/>
    <w:rsid w:val="00DF0A90"/>
    <w:rsid w:val="00DF1B9F"/>
    <w:rsid w:val="00DF2126"/>
    <w:rsid w:val="00DF4353"/>
    <w:rsid w:val="00E00768"/>
    <w:rsid w:val="00E03F97"/>
    <w:rsid w:val="00E04392"/>
    <w:rsid w:val="00E10016"/>
    <w:rsid w:val="00E11DC8"/>
    <w:rsid w:val="00E13092"/>
    <w:rsid w:val="00E15504"/>
    <w:rsid w:val="00E17C7B"/>
    <w:rsid w:val="00E208F8"/>
    <w:rsid w:val="00E22F70"/>
    <w:rsid w:val="00E2350D"/>
    <w:rsid w:val="00E3081C"/>
    <w:rsid w:val="00E34734"/>
    <w:rsid w:val="00E34D69"/>
    <w:rsid w:val="00E50783"/>
    <w:rsid w:val="00E50C11"/>
    <w:rsid w:val="00E52AAB"/>
    <w:rsid w:val="00E565CF"/>
    <w:rsid w:val="00E61422"/>
    <w:rsid w:val="00E75AB7"/>
    <w:rsid w:val="00E821B1"/>
    <w:rsid w:val="00E82CDB"/>
    <w:rsid w:val="00E83260"/>
    <w:rsid w:val="00E91F5B"/>
    <w:rsid w:val="00EB68F5"/>
    <w:rsid w:val="00EF0A6C"/>
    <w:rsid w:val="00F0176F"/>
    <w:rsid w:val="00F023C9"/>
    <w:rsid w:val="00F029AD"/>
    <w:rsid w:val="00F2101D"/>
    <w:rsid w:val="00F371F4"/>
    <w:rsid w:val="00F70AA6"/>
    <w:rsid w:val="00F8128E"/>
    <w:rsid w:val="00F9178A"/>
    <w:rsid w:val="00F925BB"/>
    <w:rsid w:val="00FA3940"/>
    <w:rsid w:val="00FA6F74"/>
    <w:rsid w:val="00FC42FE"/>
    <w:rsid w:val="00FC5337"/>
    <w:rsid w:val="00FD2C12"/>
    <w:rsid w:val="00FE656C"/>
    <w:rsid w:val="00FF3AED"/>
    <w:rsid w:val="00FF6342"/>
    <w:rsid w:val="00FF7B08"/>
    <w:rsid w:val="00FF7B93"/>
    <w:rsid w:val="00FF7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FBE300-EF29-4154-88E8-B26AE0BD2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Normal (Web)"/>
    <w:basedOn w:val="a"/>
    <w:uiPriority w:val="99"/>
    <w:unhideWhenUsed/>
    <w:qFormat/>
    <w:pPr>
      <w:widowControl/>
      <w:spacing w:before="100" w:beforeAutospacing="1" w:after="100" w:afterAutospacing="1"/>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Emphasis"/>
    <w:basedOn w:val="a0"/>
    <w:uiPriority w:val="20"/>
    <w:qFormat/>
    <w:rPr>
      <w:i/>
      <w:iCs/>
    </w:rPr>
  </w:style>
  <w:style w:type="paragraph" w:styleId="a6">
    <w:name w:val="header"/>
    <w:basedOn w:val="a"/>
    <w:link w:val="a7"/>
    <w:uiPriority w:val="99"/>
    <w:unhideWhenUsed/>
    <w:rsid w:val="00D935B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D935BF"/>
    <w:rPr>
      <w:sz w:val="18"/>
      <w:szCs w:val="18"/>
    </w:rPr>
  </w:style>
  <w:style w:type="paragraph" w:styleId="a8">
    <w:name w:val="footer"/>
    <w:basedOn w:val="a"/>
    <w:link w:val="a9"/>
    <w:uiPriority w:val="99"/>
    <w:unhideWhenUsed/>
    <w:rsid w:val="00D935BF"/>
    <w:pPr>
      <w:tabs>
        <w:tab w:val="center" w:pos="4153"/>
        <w:tab w:val="right" w:pos="8306"/>
      </w:tabs>
      <w:snapToGrid w:val="0"/>
    </w:pPr>
    <w:rPr>
      <w:sz w:val="18"/>
      <w:szCs w:val="18"/>
    </w:rPr>
  </w:style>
  <w:style w:type="character" w:customStyle="1" w:styleId="a9">
    <w:name w:val="页脚 字符"/>
    <w:basedOn w:val="a0"/>
    <w:link w:val="a8"/>
    <w:uiPriority w:val="99"/>
    <w:rsid w:val="00D935BF"/>
    <w:rPr>
      <w:sz w:val="18"/>
      <w:szCs w:val="18"/>
    </w:rPr>
  </w:style>
  <w:style w:type="table" w:styleId="aa">
    <w:name w:val="Table Grid"/>
    <w:basedOn w:val="a1"/>
    <w:uiPriority w:val="39"/>
    <w:rsid w:val="000C07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54A02"/>
    <w:rPr>
      <w:color w:val="0563C1" w:themeColor="hyperlink"/>
      <w:u w:val="single"/>
    </w:rPr>
  </w:style>
  <w:style w:type="paragraph" w:styleId="ac">
    <w:name w:val="Balloon Text"/>
    <w:basedOn w:val="a"/>
    <w:link w:val="ad"/>
    <w:uiPriority w:val="99"/>
    <w:semiHidden/>
    <w:unhideWhenUsed/>
    <w:rsid w:val="00552944"/>
    <w:rPr>
      <w:sz w:val="18"/>
      <w:szCs w:val="18"/>
    </w:rPr>
  </w:style>
  <w:style w:type="character" w:customStyle="1" w:styleId="ad">
    <w:name w:val="批注框文本 字符"/>
    <w:basedOn w:val="a0"/>
    <w:link w:val="ac"/>
    <w:uiPriority w:val="99"/>
    <w:semiHidden/>
    <w:rsid w:val="0055294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061">
      <w:bodyDiv w:val="1"/>
      <w:marLeft w:val="0"/>
      <w:marRight w:val="0"/>
      <w:marTop w:val="0"/>
      <w:marBottom w:val="0"/>
      <w:divBdr>
        <w:top w:val="none" w:sz="0" w:space="0" w:color="auto"/>
        <w:left w:val="none" w:sz="0" w:space="0" w:color="auto"/>
        <w:bottom w:val="none" w:sz="0" w:space="0" w:color="auto"/>
        <w:right w:val="none" w:sz="0" w:space="0" w:color="auto"/>
      </w:divBdr>
    </w:div>
    <w:div w:id="3366377">
      <w:bodyDiv w:val="1"/>
      <w:marLeft w:val="0"/>
      <w:marRight w:val="0"/>
      <w:marTop w:val="0"/>
      <w:marBottom w:val="0"/>
      <w:divBdr>
        <w:top w:val="none" w:sz="0" w:space="0" w:color="auto"/>
        <w:left w:val="none" w:sz="0" w:space="0" w:color="auto"/>
        <w:bottom w:val="none" w:sz="0" w:space="0" w:color="auto"/>
        <w:right w:val="none" w:sz="0" w:space="0" w:color="auto"/>
      </w:divBdr>
    </w:div>
    <w:div w:id="25566054">
      <w:bodyDiv w:val="1"/>
      <w:marLeft w:val="0"/>
      <w:marRight w:val="0"/>
      <w:marTop w:val="0"/>
      <w:marBottom w:val="0"/>
      <w:divBdr>
        <w:top w:val="none" w:sz="0" w:space="0" w:color="auto"/>
        <w:left w:val="none" w:sz="0" w:space="0" w:color="auto"/>
        <w:bottom w:val="none" w:sz="0" w:space="0" w:color="auto"/>
        <w:right w:val="none" w:sz="0" w:space="0" w:color="auto"/>
      </w:divBdr>
    </w:div>
    <w:div w:id="29688031">
      <w:bodyDiv w:val="1"/>
      <w:marLeft w:val="0"/>
      <w:marRight w:val="0"/>
      <w:marTop w:val="0"/>
      <w:marBottom w:val="0"/>
      <w:divBdr>
        <w:top w:val="none" w:sz="0" w:space="0" w:color="auto"/>
        <w:left w:val="none" w:sz="0" w:space="0" w:color="auto"/>
        <w:bottom w:val="none" w:sz="0" w:space="0" w:color="auto"/>
        <w:right w:val="none" w:sz="0" w:space="0" w:color="auto"/>
      </w:divBdr>
    </w:div>
    <w:div w:id="49161501">
      <w:bodyDiv w:val="1"/>
      <w:marLeft w:val="0"/>
      <w:marRight w:val="0"/>
      <w:marTop w:val="0"/>
      <w:marBottom w:val="0"/>
      <w:divBdr>
        <w:top w:val="none" w:sz="0" w:space="0" w:color="auto"/>
        <w:left w:val="none" w:sz="0" w:space="0" w:color="auto"/>
        <w:bottom w:val="none" w:sz="0" w:space="0" w:color="auto"/>
        <w:right w:val="none" w:sz="0" w:space="0" w:color="auto"/>
      </w:divBdr>
    </w:div>
    <w:div w:id="52312304">
      <w:bodyDiv w:val="1"/>
      <w:marLeft w:val="0"/>
      <w:marRight w:val="0"/>
      <w:marTop w:val="0"/>
      <w:marBottom w:val="0"/>
      <w:divBdr>
        <w:top w:val="none" w:sz="0" w:space="0" w:color="auto"/>
        <w:left w:val="none" w:sz="0" w:space="0" w:color="auto"/>
        <w:bottom w:val="none" w:sz="0" w:space="0" w:color="auto"/>
        <w:right w:val="none" w:sz="0" w:space="0" w:color="auto"/>
      </w:divBdr>
    </w:div>
    <w:div w:id="74016535">
      <w:bodyDiv w:val="1"/>
      <w:marLeft w:val="0"/>
      <w:marRight w:val="0"/>
      <w:marTop w:val="0"/>
      <w:marBottom w:val="0"/>
      <w:divBdr>
        <w:top w:val="none" w:sz="0" w:space="0" w:color="auto"/>
        <w:left w:val="none" w:sz="0" w:space="0" w:color="auto"/>
        <w:bottom w:val="none" w:sz="0" w:space="0" w:color="auto"/>
        <w:right w:val="none" w:sz="0" w:space="0" w:color="auto"/>
      </w:divBdr>
    </w:div>
    <w:div w:id="75445834">
      <w:bodyDiv w:val="1"/>
      <w:marLeft w:val="0"/>
      <w:marRight w:val="0"/>
      <w:marTop w:val="0"/>
      <w:marBottom w:val="0"/>
      <w:divBdr>
        <w:top w:val="none" w:sz="0" w:space="0" w:color="auto"/>
        <w:left w:val="none" w:sz="0" w:space="0" w:color="auto"/>
        <w:bottom w:val="none" w:sz="0" w:space="0" w:color="auto"/>
        <w:right w:val="none" w:sz="0" w:space="0" w:color="auto"/>
      </w:divBdr>
    </w:div>
    <w:div w:id="78527501">
      <w:bodyDiv w:val="1"/>
      <w:marLeft w:val="0"/>
      <w:marRight w:val="0"/>
      <w:marTop w:val="0"/>
      <w:marBottom w:val="0"/>
      <w:divBdr>
        <w:top w:val="none" w:sz="0" w:space="0" w:color="auto"/>
        <w:left w:val="none" w:sz="0" w:space="0" w:color="auto"/>
        <w:bottom w:val="none" w:sz="0" w:space="0" w:color="auto"/>
        <w:right w:val="none" w:sz="0" w:space="0" w:color="auto"/>
      </w:divBdr>
    </w:div>
    <w:div w:id="92476732">
      <w:bodyDiv w:val="1"/>
      <w:marLeft w:val="0"/>
      <w:marRight w:val="0"/>
      <w:marTop w:val="0"/>
      <w:marBottom w:val="0"/>
      <w:divBdr>
        <w:top w:val="none" w:sz="0" w:space="0" w:color="auto"/>
        <w:left w:val="none" w:sz="0" w:space="0" w:color="auto"/>
        <w:bottom w:val="none" w:sz="0" w:space="0" w:color="auto"/>
        <w:right w:val="none" w:sz="0" w:space="0" w:color="auto"/>
      </w:divBdr>
    </w:div>
    <w:div w:id="99297750">
      <w:bodyDiv w:val="1"/>
      <w:marLeft w:val="0"/>
      <w:marRight w:val="0"/>
      <w:marTop w:val="0"/>
      <w:marBottom w:val="0"/>
      <w:divBdr>
        <w:top w:val="none" w:sz="0" w:space="0" w:color="auto"/>
        <w:left w:val="none" w:sz="0" w:space="0" w:color="auto"/>
        <w:bottom w:val="none" w:sz="0" w:space="0" w:color="auto"/>
        <w:right w:val="none" w:sz="0" w:space="0" w:color="auto"/>
      </w:divBdr>
    </w:div>
    <w:div w:id="115560564">
      <w:bodyDiv w:val="1"/>
      <w:marLeft w:val="0"/>
      <w:marRight w:val="0"/>
      <w:marTop w:val="0"/>
      <w:marBottom w:val="0"/>
      <w:divBdr>
        <w:top w:val="none" w:sz="0" w:space="0" w:color="auto"/>
        <w:left w:val="none" w:sz="0" w:space="0" w:color="auto"/>
        <w:bottom w:val="none" w:sz="0" w:space="0" w:color="auto"/>
        <w:right w:val="none" w:sz="0" w:space="0" w:color="auto"/>
      </w:divBdr>
    </w:div>
    <w:div w:id="124200126">
      <w:bodyDiv w:val="1"/>
      <w:marLeft w:val="0"/>
      <w:marRight w:val="0"/>
      <w:marTop w:val="0"/>
      <w:marBottom w:val="0"/>
      <w:divBdr>
        <w:top w:val="none" w:sz="0" w:space="0" w:color="auto"/>
        <w:left w:val="none" w:sz="0" w:space="0" w:color="auto"/>
        <w:bottom w:val="none" w:sz="0" w:space="0" w:color="auto"/>
        <w:right w:val="none" w:sz="0" w:space="0" w:color="auto"/>
      </w:divBdr>
      <w:divsChild>
        <w:div w:id="203175883">
          <w:marLeft w:val="0"/>
          <w:marRight w:val="0"/>
          <w:marTop w:val="0"/>
          <w:marBottom w:val="0"/>
          <w:divBdr>
            <w:top w:val="none" w:sz="0" w:space="0" w:color="auto"/>
            <w:left w:val="none" w:sz="0" w:space="0" w:color="auto"/>
            <w:bottom w:val="none" w:sz="0" w:space="0" w:color="auto"/>
            <w:right w:val="none" w:sz="0" w:space="0" w:color="auto"/>
          </w:divBdr>
        </w:div>
      </w:divsChild>
    </w:div>
    <w:div w:id="126553077">
      <w:bodyDiv w:val="1"/>
      <w:marLeft w:val="0"/>
      <w:marRight w:val="0"/>
      <w:marTop w:val="0"/>
      <w:marBottom w:val="0"/>
      <w:divBdr>
        <w:top w:val="none" w:sz="0" w:space="0" w:color="auto"/>
        <w:left w:val="none" w:sz="0" w:space="0" w:color="auto"/>
        <w:bottom w:val="none" w:sz="0" w:space="0" w:color="auto"/>
        <w:right w:val="none" w:sz="0" w:space="0" w:color="auto"/>
      </w:divBdr>
    </w:div>
    <w:div w:id="137655628">
      <w:bodyDiv w:val="1"/>
      <w:marLeft w:val="0"/>
      <w:marRight w:val="0"/>
      <w:marTop w:val="0"/>
      <w:marBottom w:val="0"/>
      <w:divBdr>
        <w:top w:val="none" w:sz="0" w:space="0" w:color="auto"/>
        <w:left w:val="none" w:sz="0" w:space="0" w:color="auto"/>
        <w:bottom w:val="none" w:sz="0" w:space="0" w:color="auto"/>
        <w:right w:val="none" w:sz="0" w:space="0" w:color="auto"/>
      </w:divBdr>
    </w:div>
    <w:div w:id="138427514">
      <w:bodyDiv w:val="1"/>
      <w:marLeft w:val="0"/>
      <w:marRight w:val="0"/>
      <w:marTop w:val="0"/>
      <w:marBottom w:val="0"/>
      <w:divBdr>
        <w:top w:val="none" w:sz="0" w:space="0" w:color="auto"/>
        <w:left w:val="none" w:sz="0" w:space="0" w:color="auto"/>
        <w:bottom w:val="none" w:sz="0" w:space="0" w:color="auto"/>
        <w:right w:val="none" w:sz="0" w:space="0" w:color="auto"/>
      </w:divBdr>
    </w:div>
    <w:div w:id="141311669">
      <w:bodyDiv w:val="1"/>
      <w:marLeft w:val="0"/>
      <w:marRight w:val="0"/>
      <w:marTop w:val="0"/>
      <w:marBottom w:val="0"/>
      <w:divBdr>
        <w:top w:val="none" w:sz="0" w:space="0" w:color="auto"/>
        <w:left w:val="none" w:sz="0" w:space="0" w:color="auto"/>
        <w:bottom w:val="none" w:sz="0" w:space="0" w:color="auto"/>
        <w:right w:val="none" w:sz="0" w:space="0" w:color="auto"/>
      </w:divBdr>
    </w:div>
    <w:div w:id="151680730">
      <w:bodyDiv w:val="1"/>
      <w:marLeft w:val="0"/>
      <w:marRight w:val="0"/>
      <w:marTop w:val="0"/>
      <w:marBottom w:val="0"/>
      <w:divBdr>
        <w:top w:val="none" w:sz="0" w:space="0" w:color="auto"/>
        <w:left w:val="none" w:sz="0" w:space="0" w:color="auto"/>
        <w:bottom w:val="none" w:sz="0" w:space="0" w:color="auto"/>
        <w:right w:val="none" w:sz="0" w:space="0" w:color="auto"/>
      </w:divBdr>
    </w:div>
    <w:div w:id="152911050">
      <w:bodyDiv w:val="1"/>
      <w:marLeft w:val="0"/>
      <w:marRight w:val="0"/>
      <w:marTop w:val="0"/>
      <w:marBottom w:val="0"/>
      <w:divBdr>
        <w:top w:val="none" w:sz="0" w:space="0" w:color="auto"/>
        <w:left w:val="none" w:sz="0" w:space="0" w:color="auto"/>
        <w:bottom w:val="none" w:sz="0" w:space="0" w:color="auto"/>
        <w:right w:val="none" w:sz="0" w:space="0" w:color="auto"/>
      </w:divBdr>
    </w:div>
    <w:div w:id="158926362">
      <w:bodyDiv w:val="1"/>
      <w:marLeft w:val="0"/>
      <w:marRight w:val="0"/>
      <w:marTop w:val="0"/>
      <w:marBottom w:val="0"/>
      <w:divBdr>
        <w:top w:val="none" w:sz="0" w:space="0" w:color="auto"/>
        <w:left w:val="none" w:sz="0" w:space="0" w:color="auto"/>
        <w:bottom w:val="none" w:sz="0" w:space="0" w:color="auto"/>
        <w:right w:val="none" w:sz="0" w:space="0" w:color="auto"/>
      </w:divBdr>
    </w:div>
    <w:div w:id="172379431">
      <w:bodyDiv w:val="1"/>
      <w:marLeft w:val="0"/>
      <w:marRight w:val="0"/>
      <w:marTop w:val="0"/>
      <w:marBottom w:val="0"/>
      <w:divBdr>
        <w:top w:val="none" w:sz="0" w:space="0" w:color="auto"/>
        <w:left w:val="none" w:sz="0" w:space="0" w:color="auto"/>
        <w:bottom w:val="none" w:sz="0" w:space="0" w:color="auto"/>
        <w:right w:val="none" w:sz="0" w:space="0" w:color="auto"/>
      </w:divBdr>
    </w:div>
    <w:div w:id="174811193">
      <w:bodyDiv w:val="1"/>
      <w:marLeft w:val="0"/>
      <w:marRight w:val="0"/>
      <w:marTop w:val="0"/>
      <w:marBottom w:val="0"/>
      <w:divBdr>
        <w:top w:val="none" w:sz="0" w:space="0" w:color="auto"/>
        <w:left w:val="none" w:sz="0" w:space="0" w:color="auto"/>
        <w:bottom w:val="none" w:sz="0" w:space="0" w:color="auto"/>
        <w:right w:val="none" w:sz="0" w:space="0" w:color="auto"/>
      </w:divBdr>
    </w:div>
    <w:div w:id="175460687">
      <w:bodyDiv w:val="1"/>
      <w:marLeft w:val="0"/>
      <w:marRight w:val="0"/>
      <w:marTop w:val="0"/>
      <w:marBottom w:val="0"/>
      <w:divBdr>
        <w:top w:val="none" w:sz="0" w:space="0" w:color="auto"/>
        <w:left w:val="none" w:sz="0" w:space="0" w:color="auto"/>
        <w:bottom w:val="none" w:sz="0" w:space="0" w:color="auto"/>
        <w:right w:val="none" w:sz="0" w:space="0" w:color="auto"/>
      </w:divBdr>
    </w:div>
    <w:div w:id="185753094">
      <w:bodyDiv w:val="1"/>
      <w:marLeft w:val="0"/>
      <w:marRight w:val="0"/>
      <w:marTop w:val="0"/>
      <w:marBottom w:val="0"/>
      <w:divBdr>
        <w:top w:val="none" w:sz="0" w:space="0" w:color="auto"/>
        <w:left w:val="none" w:sz="0" w:space="0" w:color="auto"/>
        <w:bottom w:val="none" w:sz="0" w:space="0" w:color="auto"/>
        <w:right w:val="none" w:sz="0" w:space="0" w:color="auto"/>
      </w:divBdr>
    </w:div>
    <w:div w:id="188952828">
      <w:bodyDiv w:val="1"/>
      <w:marLeft w:val="0"/>
      <w:marRight w:val="0"/>
      <w:marTop w:val="0"/>
      <w:marBottom w:val="0"/>
      <w:divBdr>
        <w:top w:val="none" w:sz="0" w:space="0" w:color="auto"/>
        <w:left w:val="none" w:sz="0" w:space="0" w:color="auto"/>
        <w:bottom w:val="none" w:sz="0" w:space="0" w:color="auto"/>
        <w:right w:val="none" w:sz="0" w:space="0" w:color="auto"/>
      </w:divBdr>
    </w:div>
    <w:div w:id="198864365">
      <w:bodyDiv w:val="1"/>
      <w:marLeft w:val="0"/>
      <w:marRight w:val="0"/>
      <w:marTop w:val="0"/>
      <w:marBottom w:val="0"/>
      <w:divBdr>
        <w:top w:val="none" w:sz="0" w:space="0" w:color="auto"/>
        <w:left w:val="none" w:sz="0" w:space="0" w:color="auto"/>
        <w:bottom w:val="none" w:sz="0" w:space="0" w:color="auto"/>
        <w:right w:val="none" w:sz="0" w:space="0" w:color="auto"/>
      </w:divBdr>
    </w:div>
    <w:div w:id="206841743">
      <w:bodyDiv w:val="1"/>
      <w:marLeft w:val="0"/>
      <w:marRight w:val="0"/>
      <w:marTop w:val="0"/>
      <w:marBottom w:val="0"/>
      <w:divBdr>
        <w:top w:val="none" w:sz="0" w:space="0" w:color="auto"/>
        <w:left w:val="none" w:sz="0" w:space="0" w:color="auto"/>
        <w:bottom w:val="none" w:sz="0" w:space="0" w:color="auto"/>
        <w:right w:val="none" w:sz="0" w:space="0" w:color="auto"/>
      </w:divBdr>
    </w:div>
    <w:div w:id="208878603">
      <w:bodyDiv w:val="1"/>
      <w:marLeft w:val="0"/>
      <w:marRight w:val="0"/>
      <w:marTop w:val="0"/>
      <w:marBottom w:val="0"/>
      <w:divBdr>
        <w:top w:val="none" w:sz="0" w:space="0" w:color="auto"/>
        <w:left w:val="none" w:sz="0" w:space="0" w:color="auto"/>
        <w:bottom w:val="none" w:sz="0" w:space="0" w:color="auto"/>
        <w:right w:val="none" w:sz="0" w:space="0" w:color="auto"/>
      </w:divBdr>
    </w:div>
    <w:div w:id="216160731">
      <w:bodyDiv w:val="1"/>
      <w:marLeft w:val="0"/>
      <w:marRight w:val="0"/>
      <w:marTop w:val="0"/>
      <w:marBottom w:val="0"/>
      <w:divBdr>
        <w:top w:val="none" w:sz="0" w:space="0" w:color="auto"/>
        <w:left w:val="none" w:sz="0" w:space="0" w:color="auto"/>
        <w:bottom w:val="none" w:sz="0" w:space="0" w:color="auto"/>
        <w:right w:val="none" w:sz="0" w:space="0" w:color="auto"/>
      </w:divBdr>
    </w:div>
    <w:div w:id="275912722">
      <w:bodyDiv w:val="1"/>
      <w:marLeft w:val="0"/>
      <w:marRight w:val="0"/>
      <w:marTop w:val="0"/>
      <w:marBottom w:val="0"/>
      <w:divBdr>
        <w:top w:val="none" w:sz="0" w:space="0" w:color="auto"/>
        <w:left w:val="none" w:sz="0" w:space="0" w:color="auto"/>
        <w:bottom w:val="none" w:sz="0" w:space="0" w:color="auto"/>
        <w:right w:val="none" w:sz="0" w:space="0" w:color="auto"/>
      </w:divBdr>
      <w:divsChild>
        <w:div w:id="152189616">
          <w:marLeft w:val="0"/>
          <w:marRight w:val="0"/>
          <w:marTop w:val="0"/>
          <w:marBottom w:val="0"/>
          <w:divBdr>
            <w:top w:val="none" w:sz="0" w:space="0" w:color="auto"/>
            <w:left w:val="none" w:sz="0" w:space="0" w:color="auto"/>
            <w:bottom w:val="none" w:sz="0" w:space="0" w:color="auto"/>
            <w:right w:val="none" w:sz="0" w:space="0" w:color="auto"/>
          </w:divBdr>
        </w:div>
      </w:divsChild>
    </w:div>
    <w:div w:id="280647867">
      <w:bodyDiv w:val="1"/>
      <w:marLeft w:val="0"/>
      <w:marRight w:val="0"/>
      <w:marTop w:val="0"/>
      <w:marBottom w:val="0"/>
      <w:divBdr>
        <w:top w:val="none" w:sz="0" w:space="0" w:color="auto"/>
        <w:left w:val="none" w:sz="0" w:space="0" w:color="auto"/>
        <w:bottom w:val="none" w:sz="0" w:space="0" w:color="auto"/>
        <w:right w:val="none" w:sz="0" w:space="0" w:color="auto"/>
      </w:divBdr>
    </w:div>
    <w:div w:id="302269854">
      <w:bodyDiv w:val="1"/>
      <w:marLeft w:val="0"/>
      <w:marRight w:val="0"/>
      <w:marTop w:val="0"/>
      <w:marBottom w:val="0"/>
      <w:divBdr>
        <w:top w:val="none" w:sz="0" w:space="0" w:color="auto"/>
        <w:left w:val="none" w:sz="0" w:space="0" w:color="auto"/>
        <w:bottom w:val="none" w:sz="0" w:space="0" w:color="auto"/>
        <w:right w:val="none" w:sz="0" w:space="0" w:color="auto"/>
      </w:divBdr>
    </w:div>
    <w:div w:id="316955453">
      <w:bodyDiv w:val="1"/>
      <w:marLeft w:val="0"/>
      <w:marRight w:val="0"/>
      <w:marTop w:val="0"/>
      <w:marBottom w:val="0"/>
      <w:divBdr>
        <w:top w:val="none" w:sz="0" w:space="0" w:color="auto"/>
        <w:left w:val="none" w:sz="0" w:space="0" w:color="auto"/>
        <w:bottom w:val="none" w:sz="0" w:space="0" w:color="auto"/>
        <w:right w:val="none" w:sz="0" w:space="0" w:color="auto"/>
      </w:divBdr>
    </w:div>
    <w:div w:id="323168948">
      <w:bodyDiv w:val="1"/>
      <w:marLeft w:val="0"/>
      <w:marRight w:val="0"/>
      <w:marTop w:val="0"/>
      <w:marBottom w:val="0"/>
      <w:divBdr>
        <w:top w:val="none" w:sz="0" w:space="0" w:color="auto"/>
        <w:left w:val="none" w:sz="0" w:space="0" w:color="auto"/>
        <w:bottom w:val="none" w:sz="0" w:space="0" w:color="auto"/>
        <w:right w:val="none" w:sz="0" w:space="0" w:color="auto"/>
      </w:divBdr>
    </w:div>
    <w:div w:id="333916247">
      <w:bodyDiv w:val="1"/>
      <w:marLeft w:val="0"/>
      <w:marRight w:val="0"/>
      <w:marTop w:val="0"/>
      <w:marBottom w:val="0"/>
      <w:divBdr>
        <w:top w:val="none" w:sz="0" w:space="0" w:color="auto"/>
        <w:left w:val="none" w:sz="0" w:space="0" w:color="auto"/>
        <w:bottom w:val="none" w:sz="0" w:space="0" w:color="auto"/>
        <w:right w:val="none" w:sz="0" w:space="0" w:color="auto"/>
      </w:divBdr>
    </w:div>
    <w:div w:id="335235093">
      <w:bodyDiv w:val="1"/>
      <w:marLeft w:val="0"/>
      <w:marRight w:val="0"/>
      <w:marTop w:val="0"/>
      <w:marBottom w:val="0"/>
      <w:divBdr>
        <w:top w:val="none" w:sz="0" w:space="0" w:color="auto"/>
        <w:left w:val="none" w:sz="0" w:space="0" w:color="auto"/>
        <w:bottom w:val="none" w:sz="0" w:space="0" w:color="auto"/>
        <w:right w:val="none" w:sz="0" w:space="0" w:color="auto"/>
      </w:divBdr>
    </w:div>
    <w:div w:id="341665081">
      <w:bodyDiv w:val="1"/>
      <w:marLeft w:val="0"/>
      <w:marRight w:val="0"/>
      <w:marTop w:val="0"/>
      <w:marBottom w:val="0"/>
      <w:divBdr>
        <w:top w:val="none" w:sz="0" w:space="0" w:color="auto"/>
        <w:left w:val="none" w:sz="0" w:space="0" w:color="auto"/>
        <w:bottom w:val="none" w:sz="0" w:space="0" w:color="auto"/>
        <w:right w:val="none" w:sz="0" w:space="0" w:color="auto"/>
      </w:divBdr>
    </w:div>
    <w:div w:id="342516579">
      <w:bodyDiv w:val="1"/>
      <w:marLeft w:val="0"/>
      <w:marRight w:val="0"/>
      <w:marTop w:val="0"/>
      <w:marBottom w:val="0"/>
      <w:divBdr>
        <w:top w:val="none" w:sz="0" w:space="0" w:color="auto"/>
        <w:left w:val="none" w:sz="0" w:space="0" w:color="auto"/>
        <w:bottom w:val="none" w:sz="0" w:space="0" w:color="auto"/>
        <w:right w:val="none" w:sz="0" w:space="0" w:color="auto"/>
      </w:divBdr>
    </w:div>
    <w:div w:id="354961118">
      <w:bodyDiv w:val="1"/>
      <w:marLeft w:val="0"/>
      <w:marRight w:val="0"/>
      <w:marTop w:val="0"/>
      <w:marBottom w:val="0"/>
      <w:divBdr>
        <w:top w:val="none" w:sz="0" w:space="0" w:color="auto"/>
        <w:left w:val="none" w:sz="0" w:space="0" w:color="auto"/>
        <w:bottom w:val="none" w:sz="0" w:space="0" w:color="auto"/>
        <w:right w:val="none" w:sz="0" w:space="0" w:color="auto"/>
      </w:divBdr>
    </w:div>
    <w:div w:id="360670182">
      <w:bodyDiv w:val="1"/>
      <w:marLeft w:val="0"/>
      <w:marRight w:val="0"/>
      <w:marTop w:val="0"/>
      <w:marBottom w:val="0"/>
      <w:divBdr>
        <w:top w:val="none" w:sz="0" w:space="0" w:color="auto"/>
        <w:left w:val="none" w:sz="0" w:space="0" w:color="auto"/>
        <w:bottom w:val="none" w:sz="0" w:space="0" w:color="auto"/>
        <w:right w:val="none" w:sz="0" w:space="0" w:color="auto"/>
      </w:divBdr>
    </w:div>
    <w:div w:id="366369959">
      <w:bodyDiv w:val="1"/>
      <w:marLeft w:val="0"/>
      <w:marRight w:val="0"/>
      <w:marTop w:val="0"/>
      <w:marBottom w:val="0"/>
      <w:divBdr>
        <w:top w:val="none" w:sz="0" w:space="0" w:color="auto"/>
        <w:left w:val="none" w:sz="0" w:space="0" w:color="auto"/>
        <w:bottom w:val="none" w:sz="0" w:space="0" w:color="auto"/>
        <w:right w:val="none" w:sz="0" w:space="0" w:color="auto"/>
      </w:divBdr>
    </w:div>
    <w:div w:id="369035094">
      <w:bodyDiv w:val="1"/>
      <w:marLeft w:val="0"/>
      <w:marRight w:val="0"/>
      <w:marTop w:val="0"/>
      <w:marBottom w:val="0"/>
      <w:divBdr>
        <w:top w:val="none" w:sz="0" w:space="0" w:color="auto"/>
        <w:left w:val="none" w:sz="0" w:space="0" w:color="auto"/>
        <w:bottom w:val="none" w:sz="0" w:space="0" w:color="auto"/>
        <w:right w:val="none" w:sz="0" w:space="0" w:color="auto"/>
      </w:divBdr>
    </w:div>
    <w:div w:id="376974227">
      <w:bodyDiv w:val="1"/>
      <w:marLeft w:val="0"/>
      <w:marRight w:val="0"/>
      <w:marTop w:val="0"/>
      <w:marBottom w:val="0"/>
      <w:divBdr>
        <w:top w:val="none" w:sz="0" w:space="0" w:color="auto"/>
        <w:left w:val="none" w:sz="0" w:space="0" w:color="auto"/>
        <w:bottom w:val="none" w:sz="0" w:space="0" w:color="auto"/>
        <w:right w:val="none" w:sz="0" w:space="0" w:color="auto"/>
      </w:divBdr>
    </w:div>
    <w:div w:id="388235326">
      <w:bodyDiv w:val="1"/>
      <w:marLeft w:val="0"/>
      <w:marRight w:val="0"/>
      <w:marTop w:val="0"/>
      <w:marBottom w:val="0"/>
      <w:divBdr>
        <w:top w:val="none" w:sz="0" w:space="0" w:color="auto"/>
        <w:left w:val="none" w:sz="0" w:space="0" w:color="auto"/>
        <w:bottom w:val="none" w:sz="0" w:space="0" w:color="auto"/>
        <w:right w:val="none" w:sz="0" w:space="0" w:color="auto"/>
      </w:divBdr>
    </w:div>
    <w:div w:id="394860327">
      <w:bodyDiv w:val="1"/>
      <w:marLeft w:val="0"/>
      <w:marRight w:val="0"/>
      <w:marTop w:val="0"/>
      <w:marBottom w:val="0"/>
      <w:divBdr>
        <w:top w:val="none" w:sz="0" w:space="0" w:color="auto"/>
        <w:left w:val="none" w:sz="0" w:space="0" w:color="auto"/>
        <w:bottom w:val="none" w:sz="0" w:space="0" w:color="auto"/>
        <w:right w:val="none" w:sz="0" w:space="0" w:color="auto"/>
      </w:divBdr>
    </w:div>
    <w:div w:id="399865610">
      <w:bodyDiv w:val="1"/>
      <w:marLeft w:val="0"/>
      <w:marRight w:val="0"/>
      <w:marTop w:val="0"/>
      <w:marBottom w:val="0"/>
      <w:divBdr>
        <w:top w:val="none" w:sz="0" w:space="0" w:color="auto"/>
        <w:left w:val="none" w:sz="0" w:space="0" w:color="auto"/>
        <w:bottom w:val="none" w:sz="0" w:space="0" w:color="auto"/>
        <w:right w:val="none" w:sz="0" w:space="0" w:color="auto"/>
      </w:divBdr>
    </w:div>
    <w:div w:id="405996825">
      <w:bodyDiv w:val="1"/>
      <w:marLeft w:val="0"/>
      <w:marRight w:val="0"/>
      <w:marTop w:val="0"/>
      <w:marBottom w:val="0"/>
      <w:divBdr>
        <w:top w:val="none" w:sz="0" w:space="0" w:color="auto"/>
        <w:left w:val="none" w:sz="0" w:space="0" w:color="auto"/>
        <w:bottom w:val="none" w:sz="0" w:space="0" w:color="auto"/>
        <w:right w:val="none" w:sz="0" w:space="0" w:color="auto"/>
      </w:divBdr>
    </w:div>
    <w:div w:id="408576853">
      <w:bodyDiv w:val="1"/>
      <w:marLeft w:val="0"/>
      <w:marRight w:val="0"/>
      <w:marTop w:val="0"/>
      <w:marBottom w:val="0"/>
      <w:divBdr>
        <w:top w:val="none" w:sz="0" w:space="0" w:color="auto"/>
        <w:left w:val="none" w:sz="0" w:space="0" w:color="auto"/>
        <w:bottom w:val="none" w:sz="0" w:space="0" w:color="auto"/>
        <w:right w:val="none" w:sz="0" w:space="0" w:color="auto"/>
      </w:divBdr>
    </w:div>
    <w:div w:id="414015424">
      <w:bodyDiv w:val="1"/>
      <w:marLeft w:val="0"/>
      <w:marRight w:val="0"/>
      <w:marTop w:val="0"/>
      <w:marBottom w:val="0"/>
      <w:divBdr>
        <w:top w:val="none" w:sz="0" w:space="0" w:color="auto"/>
        <w:left w:val="none" w:sz="0" w:space="0" w:color="auto"/>
        <w:bottom w:val="none" w:sz="0" w:space="0" w:color="auto"/>
        <w:right w:val="none" w:sz="0" w:space="0" w:color="auto"/>
      </w:divBdr>
    </w:div>
    <w:div w:id="416369824">
      <w:bodyDiv w:val="1"/>
      <w:marLeft w:val="0"/>
      <w:marRight w:val="0"/>
      <w:marTop w:val="0"/>
      <w:marBottom w:val="0"/>
      <w:divBdr>
        <w:top w:val="none" w:sz="0" w:space="0" w:color="auto"/>
        <w:left w:val="none" w:sz="0" w:space="0" w:color="auto"/>
        <w:bottom w:val="none" w:sz="0" w:space="0" w:color="auto"/>
        <w:right w:val="none" w:sz="0" w:space="0" w:color="auto"/>
      </w:divBdr>
    </w:div>
    <w:div w:id="422843678">
      <w:bodyDiv w:val="1"/>
      <w:marLeft w:val="0"/>
      <w:marRight w:val="0"/>
      <w:marTop w:val="0"/>
      <w:marBottom w:val="0"/>
      <w:divBdr>
        <w:top w:val="none" w:sz="0" w:space="0" w:color="auto"/>
        <w:left w:val="none" w:sz="0" w:space="0" w:color="auto"/>
        <w:bottom w:val="none" w:sz="0" w:space="0" w:color="auto"/>
        <w:right w:val="none" w:sz="0" w:space="0" w:color="auto"/>
      </w:divBdr>
    </w:div>
    <w:div w:id="435370300">
      <w:bodyDiv w:val="1"/>
      <w:marLeft w:val="0"/>
      <w:marRight w:val="0"/>
      <w:marTop w:val="0"/>
      <w:marBottom w:val="0"/>
      <w:divBdr>
        <w:top w:val="none" w:sz="0" w:space="0" w:color="auto"/>
        <w:left w:val="none" w:sz="0" w:space="0" w:color="auto"/>
        <w:bottom w:val="none" w:sz="0" w:space="0" w:color="auto"/>
        <w:right w:val="none" w:sz="0" w:space="0" w:color="auto"/>
      </w:divBdr>
    </w:div>
    <w:div w:id="450514570">
      <w:bodyDiv w:val="1"/>
      <w:marLeft w:val="0"/>
      <w:marRight w:val="0"/>
      <w:marTop w:val="0"/>
      <w:marBottom w:val="0"/>
      <w:divBdr>
        <w:top w:val="none" w:sz="0" w:space="0" w:color="auto"/>
        <w:left w:val="none" w:sz="0" w:space="0" w:color="auto"/>
        <w:bottom w:val="none" w:sz="0" w:space="0" w:color="auto"/>
        <w:right w:val="none" w:sz="0" w:space="0" w:color="auto"/>
      </w:divBdr>
    </w:div>
    <w:div w:id="457185263">
      <w:bodyDiv w:val="1"/>
      <w:marLeft w:val="0"/>
      <w:marRight w:val="0"/>
      <w:marTop w:val="0"/>
      <w:marBottom w:val="0"/>
      <w:divBdr>
        <w:top w:val="none" w:sz="0" w:space="0" w:color="auto"/>
        <w:left w:val="none" w:sz="0" w:space="0" w:color="auto"/>
        <w:bottom w:val="none" w:sz="0" w:space="0" w:color="auto"/>
        <w:right w:val="none" w:sz="0" w:space="0" w:color="auto"/>
      </w:divBdr>
    </w:div>
    <w:div w:id="462161782">
      <w:bodyDiv w:val="1"/>
      <w:marLeft w:val="0"/>
      <w:marRight w:val="0"/>
      <w:marTop w:val="0"/>
      <w:marBottom w:val="0"/>
      <w:divBdr>
        <w:top w:val="none" w:sz="0" w:space="0" w:color="auto"/>
        <w:left w:val="none" w:sz="0" w:space="0" w:color="auto"/>
        <w:bottom w:val="none" w:sz="0" w:space="0" w:color="auto"/>
        <w:right w:val="none" w:sz="0" w:space="0" w:color="auto"/>
      </w:divBdr>
    </w:div>
    <w:div w:id="465513988">
      <w:bodyDiv w:val="1"/>
      <w:marLeft w:val="0"/>
      <w:marRight w:val="0"/>
      <w:marTop w:val="0"/>
      <w:marBottom w:val="0"/>
      <w:divBdr>
        <w:top w:val="none" w:sz="0" w:space="0" w:color="auto"/>
        <w:left w:val="none" w:sz="0" w:space="0" w:color="auto"/>
        <w:bottom w:val="none" w:sz="0" w:space="0" w:color="auto"/>
        <w:right w:val="none" w:sz="0" w:space="0" w:color="auto"/>
      </w:divBdr>
    </w:div>
    <w:div w:id="480191791">
      <w:bodyDiv w:val="1"/>
      <w:marLeft w:val="0"/>
      <w:marRight w:val="0"/>
      <w:marTop w:val="0"/>
      <w:marBottom w:val="0"/>
      <w:divBdr>
        <w:top w:val="none" w:sz="0" w:space="0" w:color="auto"/>
        <w:left w:val="none" w:sz="0" w:space="0" w:color="auto"/>
        <w:bottom w:val="none" w:sz="0" w:space="0" w:color="auto"/>
        <w:right w:val="none" w:sz="0" w:space="0" w:color="auto"/>
      </w:divBdr>
    </w:div>
    <w:div w:id="485173547">
      <w:bodyDiv w:val="1"/>
      <w:marLeft w:val="0"/>
      <w:marRight w:val="0"/>
      <w:marTop w:val="0"/>
      <w:marBottom w:val="0"/>
      <w:divBdr>
        <w:top w:val="none" w:sz="0" w:space="0" w:color="auto"/>
        <w:left w:val="none" w:sz="0" w:space="0" w:color="auto"/>
        <w:bottom w:val="none" w:sz="0" w:space="0" w:color="auto"/>
        <w:right w:val="none" w:sz="0" w:space="0" w:color="auto"/>
      </w:divBdr>
    </w:div>
    <w:div w:id="492330989">
      <w:bodyDiv w:val="1"/>
      <w:marLeft w:val="0"/>
      <w:marRight w:val="0"/>
      <w:marTop w:val="0"/>
      <w:marBottom w:val="0"/>
      <w:divBdr>
        <w:top w:val="none" w:sz="0" w:space="0" w:color="auto"/>
        <w:left w:val="none" w:sz="0" w:space="0" w:color="auto"/>
        <w:bottom w:val="none" w:sz="0" w:space="0" w:color="auto"/>
        <w:right w:val="none" w:sz="0" w:space="0" w:color="auto"/>
      </w:divBdr>
    </w:div>
    <w:div w:id="499278711">
      <w:bodyDiv w:val="1"/>
      <w:marLeft w:val="0"/>
      <w:marRight w:val="0"/>
      <w:marTop w:val="0"/>
      <w:marBottom w:val="0"/>
      <w:divBdr>
        <w:top w:val="none" w:sz="0" w:space="0" w:color="auto"/>
        <w:left w:val="none" w:sz="0" w:space="0" w:color="auto"/>
        <w:bottom w:val="none" w:sz="0" w:space="0" w:color="auto"/>
        <w:right w:val="none" w:sz="0" w:space="0" w:color="auto"/>
      </w:divBdr>
    </w:div>
    <w:div w:id="502862032">
      <w:bodyDiv w:val="1"/>
      <w:marLeft w:val="0"/>
      <w:marRight w:val="0"/>
      <w:marTop w:val="0"/>
      <w:marBottom w:val="0"/>
      <w:divBdr>
        <w:top w:val="none" w:sz="0" w:space="0" w:color="auto"/>
        <w:left w:val="none" w:sz="0" w:space="0" w:color="auto"/>
        <w:bottom w:val="none" w:sz="0" w:space="0" w:color="auto"/>
        <w:right w:val="none" w:sz="0" w:space="0" w:color="auto"/>
      </w:divBdr>
    </w:div>
    <w:div w:id="509762826">
      <w:bodyDiv w:val="1"/>
      <w:marLeft w:val="0"/>
      <w:marRight w:val="0"/>
      <w:marTop w:val="0"/>
      <w:marBottom w:val="0"/>
      <w:divBdr>
        <w:top w:val="none" w:sz="0" w:space="0" w:color="auto"/>
        <w:left w:val="none" w:sz="0" w:space="0" w:color="auto"/>
        <w:bottom w:val="none" w:sz="0" w:space="0" w:color="auto"/>
        <w:right w:val="none" w:sz="0" w:space="0" w:color="auto"/>
      </w:divBdr>
    </w:div>
    <w:div w:id="519198794">
      <w:bodyDiv w:val="1"/>
      <w:marLeft w:val="0"/>
      <w:marRight w:val="0"/>
      <w:marTop w:val="0"/>
      <w:marBottom w:val="0"/>
      <w:divBdr>
        <w:top w:val="none" w:sz="0" w:space="0" w:color="auto"/>
        <w:left w:val="none" w:sz="0" w:space="0" w:color="auto"/>
        <w:bottom w:val="none" w:sz="0" w:space="0" w:color="auto"/>
        <w:right w:val="none" w:sz="0" w:space="0" w:color="auto"/>
      </w:divBdr>
    </w:div>
    <w:div w:id="519591277">
      <w:bodyDiv w:val="1"/>
      <w:marLeft w:val="0"/>
      <w:marRight w:val="0"/>
      <w:marTop w:val="0"/>
      <w:marBottom w:val="0"/>
      <w:divBdr>
        <w:top w:val="none" w:sz="0" w:space="0" w:color="auto"/>
        <w:left w:val="none" w:sz="0" w:space="0" w:color="auto"/>
        <w:bottom w:val="none" w:sz="0" w:space="0" w:color="auto"/>
        <w:right w:val="none" w:sz="0" w:space="0" w:color="auto"/>
      </w:divBdr>
    </w:div>
    <w:div w:id="525487078">
      <w:bodyDiv w:val="1"/>
      <w:marLeft w:val="0"/>
      <w:marRight w:val="0"/>
      <w:marTop w:val="0"/>
      <w:marBottom w:val="0"/>
      <w:divBdr>
        <w:top w:val="none" w:sz="0" w:space="0" w:color="auto"/>
        <w:left w:val="none" w:sz="0" w:space="0" w:color="auto"/>
        <w:bottom w:val="none" w:sz="0" w:space="0" w:color="auto"/>
        <w:right w:val="none" w:sz="0" w:space="0" w:color="auto"/>
      </w:divBdr>
    </w:div>
    <w:div w:id="548616395">
      <w:bodyDiv w:val="1"/>
      <w:marLeft w:val="0"/>
      <w:marRight w:val="0"/>
      <w:marTop w:val="0"/>
      <w:marBottom w:val="0"/>
      <w:divBdr>
        <w:top w:val="none" w:sz="0" w:space="0" w:color="auto"/>
        <w:left w:val="none" w:sz="0" w:space="0" w:color="auto"/>
        <w:bottom w:val="none" w:sz="0" w:space="0" w:color="auto"/>
        <w:right w:val="none" w:sz="0" w:space="0" w:color="auto"/>
      </w:divBdr>
    </w:div>
    <w:div w:id="550118524">
      <w:bodyDiv w:val="1"/>
      <w:marLeft w:val="0"/>
      <w:marRight w:val="0"/>
      <w:marTop w:val="0"/>
      <w:marBottom w:val="0"/>
      <w:divBdr>
        <w:top w:val="none" w:sz="0" w:space="0" w:color="auto"/>
        <w:left w:val="none" w:sz="0" w:space="0" w:color="auto"/>
        <w:bottom w:val="none" w:sz="0" w:space="0" w:color="auto"/>
        <w:right w:val="none" w:sz="0" w:space="0" w:color="auto"/>
      </w:divBdr>
    </w:div>
    <w:div w:id="589780852">
      <w:bodyDiv w:val="1"/>
      <w:marLeft w:val="0"/>
      <w:marRight w:val="0"/>
      <w:marTop w:val="0"/>
      <w:marBottom w:val="0"/>
      <w:divBdr>
        <w:top w:val="none" w:sz="0" w:space="0" w:color="auto"/>
        <w:left w:val="none" w:sz="0" w:space="0" w:color="auto"/>
        <w:bottom w:val="none" w:sz="0" w:space="0" w:color="auto"/>
        <w:right w:val="none" w:sz="0" w:space="0" w:color="auto"/>
      </w:divBdr>
    </w:div>
    <w:div w:id="589973193">
      <w:bodyDiv w:val="1"/>
      <w:marLeft w:val="0"/>
      <w:marRight w:val="0"/>
      <w:marTop w:val="0"/>
      <w:marBottom w:val="0"/>
      <w:divBdr>
        <w:top w:val="none" w:sz="0" w:space="0" w:color="auto"/>
        <w:left w:val="none" w:sz="0" w:space="0" w:color="auto"/>
        <w:bottom w:val="none" w:sz="0" w:space="0" w:color="auto"/>
        <w:right w:val="none" w:sz="0" w:space="0" w:color="auto"/>
      </w:divBdr>
    </w:div>
    <w:div w:id="598610863">
      <w:bodyDiv w:val="1"/>
      <w:marLeft w:val="0"/>
      <w:marRight w:val="0"/>
      <w:marTop w:val="0"/>
      <w:marBottom w:val="0"/>
      <w:divBdr>
        <w:top w:val="none" w:sz="0" w:space="0" w:color="auto"/>
        <w:left w:val="none" w:sz="0" w:space="0" w:color="auto"/>
        <w:bottom w:val="none" w:sz="0" w:space="0" w:color="auto"/>
        <w:right w:val="none" w:sz="0" w:space="0" w:color="auto"/>
      </w:divBdr>
    </w:div>
    <w:div w:id="605698642">
      <w:bodyDiv w:val="1"/>
      <w:marLeft w:val="0"/>
      <w:marRight w:val="0"/>
      <w:marTop w:val="0"/>
      <w:marBottom w:val="0"/>
      <w:divBdr>
        <w:top w:val="none" w:sz="0" w:space="0" w:color="auto"/>
        <w:left w:val="none" w:sz="0" w:space="0" w:color="auto"/>
        <w:bottom w:val="none" w:sz="0" w:space="0" w:color="auto"/>
        <w:right w:val="none" w:sz="0" w:space="0" w:color="auto"/>
      </w:divBdr>
    </w:div>
    <w:div w:id="608467345">
      <w:bodyDiv w:val="1"/>
      <w:marLeft w:val="0"/>
      <w:marRight w:val="0"/>
      <w:marTop w:val="0"/>
      <w:marBottom w:val="0"/>
      <w:divBdr>
        <w:top w:val="none" w:sz="0" w:space="0" w:color="auto"/>
        <w:left w:val="none" w:sz="0" w:space="0" w:color="auto"/>
        <w:bottom w:val="none" w:sz="0" w:space="0" w:color="auto"/>
        <w:right w:val="none" w:sz="0" w:space="0" w:color="auto"/>
      </w:divBdr>
    </w:div>
    <w:div w:id="612710708">
      <w:bodyDiv w:val="1"/>
      <w:marLeft w:val="0"/>
      <w:marRight w:val="0"/>
      <w:marTop w:val="0"/>
      <w:marBottom w:val="0"/>
      <w:divBdr>
        <w:top w:val="none" w:sz="0" w:space="0" w:color="auto"/>
        <w:left w:val="none" w:sz="0" w:space="0" w:color="auto"/>
        <w:bottom w:val="none" w:sz="0" w:space="0" w:color="auto"/>
        <w:right w:val="none" w:sz="0" w:space="0" w:color="auto"/>
      </w:divBdr>
    </w:div>
    <w:div w:id="618226818">
      <w:bodyDiv w:val="1"/>
      <w:marLeft w:val="0"/>
      <w:marRight w:val="0"/>
      <w:marTop w:val="0"/>
      <w:marBottom w:val="0"/>
      <w:divBdr>
        <w:top w:val="none" w:sz="0" w:space="0" w:color="auto"/>
        <w:left w:val="none" w:sz="0" w:space="0" w:color="auto"/>
        <w:bottom w:val="none" w:sz="0" w:space="0" w:color="auto"/>
        <w:right w:val="none" w:sz="0" w:space="0" w:color="auto"/>
      </w:divBdr>
    </w:div>
    <w:div w:id="643395395">
      <w:bodyDiv w:val="1"/>
      <w:marLeft w:val="0"/>
      <w:marRight w:val="0"/>
      <w:marTop w:val="0"/>
      <w:marBottom w:val="0"/>
      <w:divBdr>
        <w:top w:val="none" w:sz="0" w:space="0" w:color="auto"/>
        <w:left w:val="none" w:sz="0" w:space="0" w:color="auto"/>
        <w:bottom w:val="none" w:sz="0" w:space="0" w:color="auto"/>
        <w:right w:val="none" w:sz="0" w:space="0" w:color="auto"/>
      </w:divBdr>
    </w:div>
    <w:div w:id="657271814">
      <w:bodyDiv w:val="1"/>
      <w:marLeft w:val="0"/>
      <w:marRight w:val="0"/>
      <w:marTop w:val="0"/>
      <w:marBottom w:val="0"/>
      <w:divBdr>
        <w:top w:val="none" w:sz="0" w:space="0" w:color="auto"/>
        <w:left w:val="none" w:sz="0" w:space="0" w:color="auto"/>
        <w:bottom w:val="none" w:sz="0" w:space="0" w:color="auto"/>
        <w:right w:val="none" w:sz="0" w:space="0" w:color="auto"/>
      </w:divBdr>
    </w:div>
    <w:div w:id="664555757">
      <w:bodyDiv w:val="1"/>
      <w:marLeft w:val="0"/>
      <w:marRight w:val="0"/>
      <w:marTop w:val="0"/>
      <w:marBottom w:val="0"/>
      <w:divBdr>
        <w:top w:val="none" w:sz="0" w:space="0" w:color="auto"/>
        <w:left w:val="none" w:sz="0" w:space="0" w:color="auto"/>
        <w:bottom w:val="none" w:sz="0" w:space="0" w:color="auto"/>
        <w:right w:val="none" w:sz="0" w:space="0" w:color="auto"/>
      </w:divBdr>
    </w:div>
    <w:div w:id="670834011">
      <w:bodyDiv w:val="1"/>
      <w:marLeft w:val="0"/>
      <w:marRight w:val="0"/>
      <w:marTop w:val="0"/>
      <w:marBottom w:val="0"/>
      <w:divBdr>
        <w:top w:val="none" w:sz="0" w:space="0" w:color="auto"/>
        <w:left w:val="none" w:sz="0" w:space="0" w:color="auto"/>
        <w:bottom w:val="none" w:sz="0" w:space="0" w:color="auto"/>
        <w:right w:val="none" w:sz="0" w:space="0" w:color="auto"/>
      </w:divBdr>
    </w:div>
    <w:div w:id="671682890">
      <w:bodyDiv w:val="1"/>
      <w:marLeft w:val="0"/>
      <w:marRight w:val="0"/>
      <w:marTop w:val="0"/>
      <w:marBottom w:val="0"/>
      <w:divBdr>
        <w:top w:val="none" w:sz="0" w:space="0" w:color="auto"/>
        <w:left w:val="none" w:sz="0" w:space="0" w:color="auto"/>
        <w:bottom w:val="none" w:sz="0" w:space="0" w:color="auto"/>
        <w:right w:val="none" w:sz="0" w:space="0" w:color="auto"/>
      </w:divBdr>
    </w:div>
    <w:div w:id="678971699">
      <w:bodyDiv w:val="1"/>
      <w:marLeft w:val="0"/>
      <w:marRight w:val="0"/>
      <w:marTop w:val="0"/>
      <w:marBottom w:val="0"/>
      <w:divBdr>
        <w:top w:val="none" w:sz="0" w:space="0" w:color="auto"/>
        <w:left w:val="none" w:sz="0" w:space="0" w:color="auto"/>
        <w:bottom w:val="none" w:sz="0" w:space="0" w:color="auto"/>
        <w:right w:val="none" w:sz="0" w:space="0" w:color="auto"/>
      </w:divBdr>
    </w:div>
    <w:div w:id="681008594">
      <w:bodyDiv w:val="1"/>
      <w:marLeft w:val="0"/>
      <w:marRight w:val="0"/>
      <w:marTop w:val="0"/>
      <w:marBottom w:val="0"/>
      <w:divBdr>
        <w:top w:val="none" w:sz="0" w:space="0" w:color="auto"/>
        <w:left w:val="none" w:sz="0" w:space="0" w:color="auto"/>
        <w:bottom w:val="none" w:sz="0" w:space="0" w:color="auto"/>
        <w:right w:val="none" w:sz="0" w:space="0" w:color="auto"/>
      </w:divBdr>
    </w:div>
    <w:div w:id="684791683">
      <w:bodyDiv w:val="1"/>
      <w:marLeft w:val="0"/>
      <w:marRight w:val="0"/>
      <w:marTop w:val="0"/>
      <w:marBottom w:val="0"/>
      <w:divBdr>
        <w:top w:val="none" w:sz="0" w:space="0" w:color="auto"/>
        <w:left w:val="none" w:sz="0" w:space="0" w:color="auto"/>
        <w:bottom w:val="none" w:sz="0" w:space="0" w:color="auto"/>
        <w:right w:val="none" w:sz="0" w:space="0" w:color="auto"/>
      </w:divBdr>
    </w:div>
    <w:div w:id="688915141">
      <w:bodyDiv w:val="1"/>
      <w:marLeft w:val="0"/>
      <w:marRight w:val="0"/>
      <w:marTop w:val="0"/>
      <w:marBottom w:val="0"/>
      <w:divBdr>
        <w:top w:val="none" w:sz="0" w:space="0" w:color="auto"/>
        <w:left w:val="none" w:sz="0" w:space="0" w:color="auto"/>
        <w:bottom w:val="none" w:sz="0" w:space="0" w:color="auto"/>
        <w:right w:val="none" w:sz="0" w:space="0" w:color="auto"/>
      </w:divBdr>
    </w:div>
    <w:div w:id="691997834">
      <w:bodyDiv w:val="1"/>
      <w:marLeft w:val="0"/>
      <w:marRight w:val="0"/>
      <w:marTop w:val="0"/>
      <w:marBottom w:val="0"/>
      <w:divBdr>
        <w:top w:val="none" w:sz="0" w:space="0" w:color="auto"/>
        <w:left w:val="none" w:sz="0" w:space="0" w:color="auto"/>
        <w:bottom w:val="none" w:sz="0" w:space="0" w:color="auto"/>
        <w:right w:val="none" w:sz="0" w:space="0" w:color="auto"/>
      </w:divBdr>
    </w:div>
    <w:div w:id="739594864">
      <w:bodyDiv w:val="1"/>
      <w:marLeft w:val="0"/>
      <w:marRight w:val="0"/>
      <w:marTop w:val="0"/>
      <w:marBottom w:val="0"/>
      <w:divBdr>
        <w:top w:val="none" w:sz="0" w:space="0" w:color="auto"/>
        <w:left w:val="none" w:sz="0" w:space="0" w:color="auto"/>
        <w:bottom w:val="none" w:sz="0" w:space="0" w:color="auto"/>
        <w:right w:val="none" w:sz="0" w:space="0" w:color="auto"/>
      </w:divBdr>
    </w:div>
    <w:div w:id="751581753">
      <w:bodyDiv w:val="1"/>
      <w:marLeft w:val="0"/>
      <w:marRight w:val="0"/>
      <w:marTop w:val="0"/>
      <w:marBottom w:val="0"/>
      <w:divBdr>
        <w:top w:val="none" w:sz="0" w:space="0" w:color="auto"/>
        <w:left w:val="none" w:sz="0" w:space="0" w:color="auto"/>
        <w:bottom w:val="none" w:sz="0" w:space="0" w:color="auto"/>
        <w:right w:val="none" w:sz="0" w:space="0" w:color="auto"/>
      </w:divBdr>
    </w:div>
    <w:div w:id="781152264">
      <w:bodyDiv w:val="1"/>
      <w:marLeft w:val="0"/>
      <w:marRight w:val="0"/>
      <w:marTop w:val="0"/>
      <w:marBottom w:val="0"/>
      <w:divBdr>
        <w:top w:val="none" w:sz="0" w:space="0" w:color="auto"/>
        <w:left w:val="none" w:sz="0" w:space="0" w:color="auto"/>
        <w:bottom w:val="none" w:sz="0" w:space="0" w:color="auto"/>
        <w:right w:val="none" w:sz="0" w:space="0" w:color="auto"/>
      </w:divBdr>
    </w:div>
    <w:div w:id="790364787">
      <w:bodyDiv w:val="1"/>
      <w:marLeft w:val="0"/>
      <w:marRight w:val="0"/>
      <w:marTop w:val="0"/>
      <w:marBottom w:val="0"/>
      <w:divBdr>
        <w:top w:val="none" w:sz="0" w:space="0" w:color="auto"/>
        <w:left w:val="none" w:sz="0" w:space="0" w:color="auto"/>
        <w:bottom w:val="none" w:sz="0" w:space="0" w:color="auto"/>
        <w:right w:val="none" w:sz="0" w:space="0" w:color="auto"/>
      </w:divBdr>
    </w:div>
    <w:div w:id="794107258">
      <w:bodyDiv w:val="1"/>
      <w:marLeft w:val="0"/>
      <w:marRight w:val="0"/>
      <w:marTop w:val="0"/>
      <w:marBottom w:val="0"/>
      <w:divBdr>
        <w:top w:val="none" w:sz="0" w:space="0" w:color="auto"/>
        <w:left w:val="none" w:sz="0" w:space="0" w:color="auto"/>
        <w:bottom w:val="none" w:sz="0" w:space="0" w:color="auto"/>
        <w:right w:val="none" w:sz="0" w:space="0" w:color="auto"/>
      </w:divBdr>
    </w:div>
    <w:div w:id="802969968">
      <w:bodyDiv w:val="1"/>
      <w:marLeft w:val="0"/>
      <w:marRight w:val="0"/>
      <w:marTop w:val="0"/>
      <w:marBottom w:val="0"/>
      <w:divBdr>
        <w:top w:val="none" w:sz="0" w:space="0" w:color="auto"/>
        <w:left w:val="none" w:sz="0" w:space="0" w:color="auto"/>
        <w:bottom w:val="none" w:sz="0" w:space="0" w:color="auto"/>
        <w:right w:val="none" w:sz="0" w:space="0" w:color="auto"/>
      </w:divBdr>
    </w:div>
    <w:div w:id="813303776">
      <w:bodyDiv w:val="1"/>
      <w:marLeft w:val="0"/>
      <w:marRight w:val="0"/>
      <w:marTop w:val="0"/>
      <w:marBottom w:val="0"/>
      <w:divBdr>
        <w:top w:val="none" w:sz="0" w:space="0" w:color="auto"/>
        <w:left w:val="none" w:sz="0" w:space="0" w:color="auto"/>
        <w:bottom w:val="none" w:sz="0" w:space="0" w:color="auto"/>
        <w:right w:val="none" w:sz="0" w:space="0" w:color="auto"/>
      </w:divBdr>
    </w:div>
    <w:div w:id="821308574">
      <w:bodyDiv w:val="1"/>
      <w:marLeft w:val="0"/>
      <w:marRight w:val="0"/>
      <w:marTop w:val="0"/>
      <w:marBottom w:val="0"/>
      <w:divBdr>
        <w:top w:val="none" w:sz="0" w:space="0" w:color="auto"/>
        <w:left w:val="none" w:sz="0" w:space="0" w:color="auto"/>
        <w:bottom w:val="none" w:sz="0" w:space="0" w:color="auto"/>
        <w:right w:val="none" w:sz="0" w:space="0" w:color="auto"/>
      </w:divBdr>
    </w:div>
    <w:div w:id="823277030">
      <w:bodyDiv w:val="1"/>
      <w:marLeft w:val="0"/>
      <w:marRight w:val="0"/>
      <w:marTop w:val="0"/>
      <w:marBottom w:val="0"/>
      <w:divBdr>
        <w:top w:val="none" w:sz="0" w:space="0" w:color="auto"/>
        <w:left w:val="none" w:sz="0" w:space="0" w:color="auto"/>
        <w:bottom w:val="none" w:sz="0" w:space="0" w:color="auto"/>
        <w:right w:val="none" w:sz="0" w:space="0" w:color="auto"/>
      </w:divBdr>
    </w:div>
    <w:div w:id="839780460">
      <w:bodyDiv w:val="1"/>
      <w:marLeft w:val="0"/>
      <w:marRight w:val="0"/>
      <w:marTop w:val="0"/>
      <w:marBottom w:val="0"/>
      <w:divBdr>
        <w:top w:val="none" w:sz="0" w:space="0" w:color="auto"/>
        <w:left w:val="none" w:sz="0" w:space="0" w:color="auto"/>
        <w:bottom w:val="none" w:sz="0" w:space="0" w:color="auto"/>
        <w:right w:val="none" w:sz="0" w:space="0" w:color="auto"/>
      </w:divBdr>
    </w:div>
    <w:div w:id="840512593">
      <w:bodyDiv w:val="1"/>
      <w:marLeft w:val="0"/>
      <w:marRight w:val="0"/>
      <w:marTop w:val="0"/>
      <w:marBottom w:val="0"/>
      <w:divBdr>
        <w:top w:val="none" w:sz="0" w:space="0" w:color="auto"/>
        <w:left w:val="none" w:sz="0" w:space="0" w:color="auto"/>
        <w:bottom w:val="none" w:sz="0" w:space="0" w:color="auto"/>
        <w:right w:val="none" w:sz="0" w:space="0" w:color="auto"/>
      </w:divBdr>
    </w:div>
    <w:div w:id="841048943">
      <w:bodyDiv w:val="1"/>
      <w:marLeft w:val="0"/>
      <w:marRight w:val="0"/>
      <w:marTop w:val="0"/>
      <w:marBottom w:val="0"/>
      <w:divBdr>
        <w:top w:val="none" w:sz="0" w:space="0" w:color="auto"/>
        <w:left w:val="none" w:sz="0" w:space="0" w:color="auto"/>
        <w:bottom w:val="none" w:sz="0" w:space="0" w:color="auto"/>
        <w:right w:val="none" w:sz="0" w:space="0" w:color="auto"/>
      </w:divBdr>
    </w:div>
    <w:div w:id="844518770">
      <w:bodyDiv w:val="1"/>
      <w:marLeft w:val="0"/>
      <w:marRight w:val="0"/>
      <w:marTop w:val="0"/>
      <w:marBottom w:val="0"/>
      <w:divBdr>
        <w:top w:val="none" w:sz="0" w:space="0" w:color="auto"/>
        <w:left w:val="none" w:sz="0" w:space="0" w:color="auto"/>
        <w:bottom w:val="none" w:sz="0" w:space="0" w:color="auto"/>
        <w:right w:val="none" w:sz="0" w:space="0" w:color="auto"/>
      </w:divBdr>
    </w:div>
    <w:div w:id="847251331">
      <w:bodyDiv w:val="1"/>
      <w:marLeft w:val="0"/>
      <w:marRight w:val="0"/>
      <w:marTop w:val="0"/>
      <w:marBottom w:val="0"/>
      <w:divBdr>
        <w:top w:val="none" w:sz="0" w:space="0" w:color="auto"/>
        <w:left w:val="none" w:sz="0" w:space="0" w:color="auto"/>
        <w:bottom w:val="none" w:sz="0" w:space="0" w:color="auto"/>
        <w:right w:val="none" w:sz="0" w:space="0" w:color="auto"/>
      </w:divBdr>
    </w:div>
    <w:div w:id="858659108">
      <w:bodyDiv w:val="1"/>
      <w:marLeft w:val="0"/>
      <w:marRight w:val="0"/>
      <w:marTop w:val="0"/>
      <w:marBottom w:val="0"/>
      <w:divBdr>
        <w:top w:val="none" w:sz="0" w:space="0" w:color="auto"/>
        <w:left w:val="none" w:sz="0" w:space="0" w:color="auto"/>
        <w:bottom w:val="none" w:sz="0" w:space="0" w:color="auto"/>
        <w:right w:val="none" w:sz="0" w:space="0" w:color="auto"/>
      </w:divBdr>
    </w:div>
    <w:div w:id="863129470">
      <w:bodyDiv w:val="1"/>
      <w:marLeft w:val="0"/>
      <w:marRight w:val="0"/>
      <w:marTop w:val="0"/>
      <w:marBottom w:val="0"/>
      <w:divBdr>
        <w:top w:val="none" w:sz="0" w:space="0" w:color="auto"/>
        <w:left w:val="none" w:sz="0" w:space="0" w:color="auto"/>
        <w:bottom w:val="none" w:sz="0" w:space="0" w:color="auto"/>
        <w:right w:val="none" w:sz="0" w:space="0" w:color="auto"/>
      </w:divBdr>
    </w:div>
    <w:div w:id="865213848">
      <w:bodyDiv w:val="1"/>
      <w:marLeft w:val="0"/>
      <w:marRight w:val="0"/>
      <w:marTop w:val="0"/>
      <w:marBottom w:val="0"/>
      <w:divBdr>
        <w:top w:val="none" w:sz="0" w:space="0" w:color="auto"/>
        <w:left w:val="none" w:sz="0" w:space="0" w:color="auto"/>
        <w:bottom w:val="none" w:sz="0" w:space="0" w:color="auto"/>
        <w:right w:val="none" w:sz="0" w:space="0" w:color="auto"/>
      </w:divBdr>
    </w:div>
    <w:div w:id="869881148">
      <w:bodyDiv w:val="1"/>
      <w:marLeft w:val="0"/>
      <w:marRight w:val="0"/>
      <w:marTop w:val="0"/>
      <w:marBottom w:val="0"/>
      <w:divBdr>
        <w:top w:val="none" w:sz="0" w:space="0" w:color="auto"/>
        <w:left w:val="none" w:sz="0" w:space="0" w:color="auto"/>
        <w:bottom w:val="none" w:sz="0" w:space="0" w:color="auto"/>
        <w:right w:val="none" w:sz="0" w:space="0" w:color="auto"/>
      </w:divBdr>
    </w:div>
    <w:div w:id="875003056">
      <w:bodyDiv w:val="1"/>
      <w:marLeft w:val="0"/>
      <w:marRight w:val="0"/>
      <w:marTop w:val="0"/>
      <w:marBottom w:val="0"/>
      <w:divBdr>
        <w:top w:val="none" w:sz="0" w:space="0" w:color="auto"/>
        <w:left w:val="none" w:sz="0" w:space="0" w:color="auto"/>
        <w:bottom w:val="none" w:sz="0" w:space="0" w:color="auto"/>
        <w:right w:val="none" w:sz="0" w:space="0" w:color="auto"/>
      </w:divBdr>
    </w:div>
    <w:div w:id="894895233">
      <w:bodyDiv w:val="1"/>
      <w:marLeft w:val="0"/>
      <w:marRight w:val="0"/>
      <w:marTop w:val="0"/>
      <w:marBottom w:val="0"/>
      <w:divBdr>
        <w:top w:val="none" w:sz="0" w:space="0" w:color="auto"/>
        <w:left w:val="none" w:sz="0" w:space="0" w:color="auto"/>
        <w:bottom w:val="none" w:sz="0" w:space="0" w:color="auto"/>
        <w:right w:val="none" w:sz="0" w:space="0" w:color="auto"/>
      </w:divBdr>
    </w:div>
    <w:div w:id="897866144">
      <w:bodyDiv w:val="1"/>
      <w:marLeft w:val="0"/>
      <w:marRight w:val="0"/>
      <w:marTop w:val="0"/>
      <w:marBottom w:val="0"/>
      <w:divBdr>
        <w:top w:val="none" w:sz="0" w:space="0" w:color="auto"/>
        <w:left w:val="none" w:sz="0" w:space="0" w:color="auto"/>
        <w:bottom w:val="none" w:sz="0" w:space="0" w:color="auto"/>
        <w:right w:val="none" w:sz="0" w:space="0" w:color="auto"/>
      </w:divBdr>
    </w:div>
    <w:div w:id="900168418">
      <w:bodyDiv w:val="1"/>
      <w:marLeft w:val="0"/>
      <w:marRight w:val="0"/>
      <w:marTop w:val="0"/>
      <w:marBottom w:val="0"/>
      <w:divBdr>
        <w:top w:val="none" w:sz="0" w:space="0" w:color="auto"/>
        <w:left w:val="none" w:sz="0" w:space="0" w:color="auto"/>
        <w:bottom w:val="none" w:sz="0" w:space="0" w:color="auto"/>
        <w:right w:val="none" w:sz="0" w:space="0" w:color="auto"/>
      </w:divBdr>
    </w:div>
    <w:div w:id="906190222">
      <w:bodyDiv w:val="1"/>
      <w:marLeft w:val="0"/>
      <w:marRight w:val="0"/>
      <w:marTop w:val="0"/>
      <w:marBottom w:val="0"/>
      <w:divBdr>
        <w:top w:val="none" w:sz="0" w:space="0" w:color="auto"/>
        <w:left w:val="none" w:sz="0" w:space="0" w:color="auto"/>
        <w:bottom w:val="none" w:sz="0" w:space="0" w:color="auto"/>
        <w:right w:val="none" w:sz="0" w:space="0" w:color="auto"/>
      </w:divBdr>
    </w:div>
    <w:div w:id="907881255">
      <w:bodyDiv w:val="1"/>
      <w:marLeft w:val="0"/>
      <w:marRight w:val="0"/>
      <w:marTop w:val="0"/>
      <w:marBottom w:val="0"/>
      <w:divBdr>
        <w:top w:val="none" w:sz="0" w:space="0" w:color="auto"/>
        <w:left w:val="none" w:sz="0" w:space="0" w:color="auto"/>
        <w:bottom w:val="none" w:sz="0" w:space="0" w:color="auto"/>
        <w:right w:val="none" w:sz="0" w:space="0" w:color="auto"/>
      </w:divBdr>
    </w:div>
    <w:div w:id="913585528">
      <w:bodyDiv w:val="1"/>
      <w:marLeft w:val="0"/>
      <w:marRight w:val="0"/>
      <w:marTop w:val="0"/>
      <w:marBottom w:val="0"/>
      <w:divBdr>
        <w:top w:val="none" w:sz="0" w:space="0" w:color="auto"/>
        <w:left w:val="none" w:sz="0" w:space="0" w:color="auto"/>
        <w:bottom w:val="none" w:sz="0" w:space="0" w:color="auto"/>
        <w:right w:val="none" w:sz="0" w:space="0" w:color="auto"/>
      </w:divBdr>
    </w:div>
    <w:div w:id="922835492">
      <w:bodyDiv w:val="1"/>
      <w:marLeft w:val="0"/>
      <w:marRight w:val="0"/>
      <w:marTop w:val="0"/>
      <w:marBottom w:val="0"/>
      <w:divBdr>
        <w:top w:val="none" w:sz="0" w:space="0" w:color="auto"/>
        <w:left w:val="none" w:sz="0" w:space="0" w:color="auto"/>
        <w:bottom w:val="none" w:sz="0" w:space="0" w:color="auto"/>
        <w:right w:val="none" w:sz="0" w:space="0" w:color="auto"/>
      </w:divBdr>
    </w:div>
    <w:div w:id="936055864">
      <w:bodyDiv w:val="1"/>
      <w:marLeft w:val="0"/>
      <w:marRight w:val="0"/>
      <w:marTop w:val="0"/>
      <w:marBottom w:val="0"/>
      <w:divBdr>
        <w:top w:val="none" w:sz="0" w:space="0" w:color="auto"/>
        <w:left w:val="none" w:sz="0" w:space="0" w:color="auto"/>
        <w:bottom w:val="none" w:sz="0" w:space="0" w:color="auto"/>
        <w:right w:val="none" w:sz="0" w:space="0" w:color="auto"/>
      </w:divBdr>
    </w:div>
    <w:div w:id="943077902">
      <w:bodyDiv w:val="1"/>
      <w:marLeft w:val="0"/>
      <w:marRight w:val="0"/>
      <w:marTop w:val="0"/>
      <w:marBottom w:val="0"/>
      <w:divBdr>
        <w:top w:val="none" w:sz="0" w:space="0" w:color="auto"/>
        <w:left w:val="none" w:sz="0" w:space="0" w:color="auto"/>
        <w:bottom w:val="none" w:sz="0" w:space="0" w:color="auto"/>
        <w:right w:val="none" w:sz="0" w:space="0" w:color="auto"/>
      </w:divBdr>
    </w:div>
    <w:div w:id="965087069">
      <w:bodyDiv w:val="1"/>
      <w:marLeft w:val="0"/>
      <w:marRight w:val="0"/>
      <w:marTop w:val="0"/>
      <w:marBottom w:val="0"/>
      <w:divBdr>
        <w:top w:val="none" w:sz="0" w:space="0" w:color="auto"/>
        <w:left w:val="none" w:sz="0" w:space="0" w:color="auto"/>
        <w:bottom w:val="none" w:sz="0" w:space="0" w:color="auto"/>
        <w:right w:val="none" w:sz="0" w:space="0" w:color="auto"/>
      </w:divBdr>
    </w:div>
    <w:div w:id="970093883">
      <w:bodyDiv w:val="1"/>
      <w:marLeft w:val="0"/>
      <w:marRight w:val="0"/>
      <w:marTop w:val="0"/>
      <w:marBottom w:val="0"/>
      <w:divBdr>
        <w:top w:val="none" w:sz="0" w:space="0" w:color="auto"/>
        <w:left w:val="none" w:sz="0" w:space="0" w:color="auto"/>
        <w:bottom w:val="none" w:sz="0" w:space="0" w:color="auto"/>
        <w:right w:val="none" w:sz="0" w:space="0" w:color="auto"/>
      </w:divBdr>
    </w:div>
    <w:div w:id="972369665">
      <w:bodyDiv w:val="1"/>
      <w:marLeft w:val="0"/>
      <w:marRight w:val="0"/>
      <w:marTop w:val="0"/>
      <w:marBottom w:val="0"/>
      <w:divBdr>
        <w:top w:val="none" w:sz="0" w:space="0" w:color="auto"/>
        <w:left w:val="none" w:sz="0" w:space="0" w:color="auto"/>
        <w:bottom w:val="none" w:sz="0" w:space="0" w:color="auto"/>
        <w:right w:val="none" w:sz="0" w:space="0" w:color="auto"/>
      </w:divBdr>
    </w:div>
    <w:div w:id="981621497">
      <w:bodyDiv w:val="1"/>
      <w:marLeft w:val="0"/>
      <w:marRight w:val="0"/>
      <w:marTop w:val="0"/>
      <w:marBottom w:val="0"/>
      <w:divBdr>
        <w:top w:val="none" w:sz="0" w:space="0" w:color="auto"/>
        <w:left w:val="none" w:sz="0" w:space="0" w:color="auto"/>
        <w:bottom w:val="none" w:sz="0" w:space="0" w:color="auto"/>
        <w:right w:val="none" w:sz="0" w:space="0" w:color="auto"/>
      </w:divBdr>
    </w:div>
    <w:div w:id="1005328437">
      <w:bodyDiv w:val="1"/>
      <w:marLeft w:val="0"/>
      <w:marRight w:val="0"/>
      <w:marTop w:val="0"/>
      <w:marBottom w:val="0"/>
      <w:divBdr>
        <w:top w:val="none" w:sz="0" w:space="0" w:color="auto"/>
        <w:left w:val="none" w:sz="0" w:space="0" w:color="auto"/>
        <w:bottom w:val="none" w:sz="0" w:space="0" w:color="auto"/>
        <w:right w:val="none" w:sz="0" w:space="0" w:color="auto"/>
      </w:divBdr>
    </w:div>
    <w:div w:id="1007176728">
      <w:bodyDiv w:val="1"/>
      <w:marLeft w:val="0"/>
      <w:marRight w:val="0"/>
      <w:marTop w:val="0"/>
      <w:marBottom w:val="0"/>
      <w:divBdr>
        <w:top w:val="none" w:sz="0" w:space="0" w:color="auto"/>
        <w:left w:val="none" w:sz="0" w:space="0" w:color="auto"/>
        <w:bottom w:val="none" w:sz="0" w:space="0" w:color="auto"/>
        <w:right w:val="none" w:sz="0" w:space="0" w:color="auto"/>
      </w:divBdr>
    </w:div>
    <w:div w:id="1013919267">
      <w:bodyDiv w:val="1"/>
      <w:marLeft w:val="0"/>
      <w:marRight w:val="0"/>
      <w:marTop w:val="0"/>
      <w:marBottom w:val="0"/>
      <w:divBdr>
        <w:top w:val="none" w:sz="0" w:space="0" w:color="auto"/>
        <w:left w:val="none" w:sz="0" w:space="0" w:color="auto"/>
        <w:bottom w:val="none" w:sz="0" w:space="0" w:color="auto"/>
        <w:right w:val="none" w:sz="0" w:space="0" w:color="auto"/>
      </w:divBdr>
    </w:div>
    <w:div w:id="1035429820">
      <w:bodyDiv w:val="1"/>
      <w:marLeft w:val="0"/>
      <w:marRight w:val="0"/>
      <w:marTop w:val="0"/>
      <w:marBottom w:val="0"/>
      <w:divBdr>
        <w:top w:val="none" w:sz="0" w:space="0" w:color="auto"/>
        <w:left w:val="none" w:sz="0" w:space="0" w:color="auto"/>
        <w:bottom w:val="none" w:sz="0" w:space="0" w:color="auto"/>
        <w:right w:val="none" w:sz="0" w:space="0" w:color="auto"/>
      </w:divBdr>
    </w:div>
    <w:div w:id="1052189184">
      <w:bodyDiv w:val="1"/>
      <w:marLeft w:val="0"/>
      <w:marRight w:val="0"/>
      <w:marTop w:val="0"/>
      <w:marBottom w:val="0"/>
      <w:divBdr>
        <w:top w:val="none" w:sz="0" w:space="0" w:color="auto"/>
        <w:left w:val="none" w:sz="0" w:space="0" w:color="auto"/>
        <w:bottom w:val="none" w:sz="0" w:space="0" w:color="auto"/>
        <w:right w:val="none" w:sz="0" w:space="0" w:color="auto"/>
      </w:divBdr>
    </w:div>
    <w:div w:id="1052465415">
      <w:bodyDiv w:val="1"/>
      <w:marLeft w:val="0"/>
      <w:marRight w:val="0"/>
      <w:marTop w:val="0"/>
      <w:marBottom w:val="0"/>
      <w:divBdr>
        <w:top w:val="none" w:sz="0" w:space="0" w:color="auto"/>
        <w:left w:val="none" w:sz="0" w:space="0" w:color="auto"/>
        <w:bottom w:val="none" w:sz="0" w:space="0" w:color="auto"/>
        <w:right w:val="none" w:sz="0" w:space="0" w:color="auto"/>
      </w:divBdr>
    </w:div>
    <w:div w:id="1056859702">
      <w:bodyDiv w:val="1"/>
      <w:marLeft w:val="0"/>
      <w:marRight w:val="0"/>
      <w:marTop w:val="0"/>
      <w:marBottom w:val="0"/>
      <w:divBdr>
        <w:top w:val="none" w:sz="0" w:space="0" w:color="auto"/>
        <w:left w:val="none" w:sz="0" w:space="0" w:color="auto"/>
        <w:bottom w:val="none" w:sz="0" w:space="0" w:color="auto"/>
        <w:right w:val="none" w:sz="0" w:space="0" w:color="auto"/>
      </w:divBdr>
    </w:div>
    <w:div w:id="1062602393">
      <w:bodyDiv w:val="1"/>
      <w:marLeft w:val="0"/>
      <w:marRight w:val="0"/>
      <w:marTop w:val="0"/>
      <w:marBottom w:val="0"/>
      <w:divBdr>
        <w:top w:val="none" w:sz="0" w:space="0" w:color="auto"/>
        <w:left w:val="none" w:sz="0" w:space="0" w:color="auto"/>
        <w:bottom w:val="none" w:sz="0" w:space="0" w:color="auto"/>
        <w:right w:val="none" w:sz="0" w:space="0" w:color="auto"/>
      </w:divBdr>
    </w:div>
    <w:div w:id="1071738282">
      <w:bodyDiv w:val="1"/>
      <w:marLeft w:val="0"/>
      <w:marRight w:val="0"/>
      <w:marTop w:val="0"/>
      <w:marBottom w:val="0"/>
      <w:divBdr>
        <w:top w:val="none" w:sz="0" w:space="0" w:color="auto"/>
        <w:left w:val="none" w:sz="0" w:space="0" w:color="auto"/>
        <w:bottom w:val="none" w:sz="0" w:space="0" w:color="auto"/>
        <w:right w:val="none" w:sz="0" w:space="0" w:color="auto"/>
      </w:divBdr>
    </w:div>
    <w:div w:id="1088965131">
      <w:bodyDiv w:val="1"/>
      <w:marLeft w:val="0"/>
      <w:marRight w:val="0"/>
      <w:marTop w:val="0"/>
      <w:marBottom w:val="0"/>
      <w:divBdr>
        <w:top w:val="none" w:sz="0" w:space="0" w:color="auto"/>
        <w:left w:val="none" w:sz="0" w:space="0" w:color="auto"/>
        <w:bottom w:val="none" w:sz="0" w:space="0" w:color="auto"/>
        <w:right w:val="none" w:sz="0" w:space="0" w:color="auto"/>
      </w:divBdr>
    </w:div>
    <w:div w:id="1092507369">
      <w:bodyDiv w:val="1"/>
      <w:marLeft w:val="0"/>
      <w:marRight w:val="0"/>
      <w:marTop w:val="0"/>
      <w:marBottom w:val="0"/>
      <w:divBdr>
        <w:top w:val="none" w:sz="0" w:space="0" w:color="auto"/>
        <w:left w:val="none" w:sz="0" w:space="0" w:color="auto"/>
        <w:bottom w:val="none" w:sz="0" w:space="0" w:color="auto"/>
        <w:right w:val="none" w:sz="0" w:space="0" w:color="auto"/>
      </w:divBdr>
    </w:div>
    <w:div w:id="1096292528">
      <w:bodyDiv w:val="1"/>
      <w:marLeft w:val="0"/>
      <w:marRight w:val="0"/>
      <w:marTop w:val="0"/>
      <w:marBottom w:val="0"/>
      <w:divBdr>
        <w:top w:val="none" w:sz="0" w:space="0" w:color="auto"/>
        <w:left w:val="none" w:sz="0" w:space="0" w:color="auto"/>
        <w:bottom w:val="none" w:sz="0" w:space="0" w:color="auto"/>
        <w:right w:val="none" w:sz="0" w:space="0" w:color="auto"/>
      </w:divBdr>
    </w:div>
    <w:div w:id="1101484972">
      <w:bodyDiv w:val="1"/>
      <w:marLeft w:val="0"/>
      <w:marRight w:val="0"/>
      <w:marTop w:val="0"/>
      <w:marBottom w:val="0"/>
      <w:divBdr>
        <w:top w:val="none" w:sz="0" w:space="0" w:color="auto"/>
        <w:left w:val="none" w:sz="0" w:space="0" w:color="auto"/>
        <w:bottom w:val="none" w:sz="0" w:space="0" w:color="auto"/>
        <w:right w:val="none" w:sz="0" w:space="0" w:color="auto"/>
      </w:divBdr>
    </w:div>
    <w:div w:id="1102265513">
      <w:bodyDiv w:val="1"/>
      <w:marLeft w:val="0"/>
      <w:marRight w:val="0"/>
      <w:marTop w:val="0"/>
      <w:marBottom w:val="0"/>
      <w:divBdr>
        <w:top w:val="none" w:sz="0" w:space="0" w:color="auto"/>
        <w:left w:val="none" w:sz="0" w:space="0" w:color="auto"/>
        <w:bottom w:val="none" w:sz="0" w:space="0" w:color="auto"/>
        <w:right w:val="none" w:sz="0" w:space="0" w:color="auto"/>
      </w:divBdr>
    </w:div>
    <w:div w:id="1110321204">
      <w:bodyDiv w:val="1"/>
      <w:marLeft w:val="0"/>
      <w:marRight w:val="0"/>
      <w:marTop w:val="0"/>
      <w:marBottom w:val="0"/>
      <w:divBdr>
        <w:top w:val="none" w:sz="0" w:space="0" w:color="auto"/>
        <w:left w:val="none" w:sz="0" w:space="0" w:color="auto"/>
        <w:bottom w:val="none" w:sz="0" w:space="0" w:color="auto"/>
        <w:right w:val="none" w:sz="0" w:space="0" w:color="auto"/>
      </w:divBdr>
    </w:div>
    <w:div w:id="1113478018">
      <w:bodyDiv w:val="1"/>
      <w:marLeft w:val="0"/>
      <w:marRight w:val="0"/>
      <w:marTop w:val="0"/>
      <w:marBottom w:val="0"/>
      <w:divBdr>
        <w:top w:val="none" w:sz="0" w:space="0" w:color="auto"/>
        <w:left w:val="none" w:sz="0" w:space="0" w:color="auto"/>
        <w:bottom w:val="none" w:sz="0" w:space="0" w:color="auto"/>
        <w:right w:val="none" w:sz="0" w:space="0" w:color="auto"/>
      </w:divBdr>
    </w:div>
    <w:div w:id="1121000732">
      <w:bodyDiv w:val="1"/>
      <w:marLeft w:val="0"/>
      <w:marRight w:val="0"/>
      <w:marTop w:val="0"/>
      <w:marBottom w:val="0"/>
      <w:divBdr>
        <w:top w:val="none" w:sz="0" w:space="0" w:color="auto"/>
        <w:left w:val="none" w:sz="0" w:space="0" w:color="auto"/>
        <w:bottom w:val="none" w:sz="0" w:space="0" w:color="auto"/>
        <w:right w:val="none" w:sz="0" w:space="0" w:color="auto"/>
      </w:divBdr>
    </w:div>
    <w:div w:id="1126704885">
      <w:bodyDiv w:val="1"/>
      <w:marLeft w:val="0"/>
      <w:marRight w:val="0"/>
      <w:marTop w:val="0"/>
      <w:marBottom w:val="0"/>
      <w:divBdr>
        <w:top w:val="none" w:sz="0" w:space="0" w:color="auto"/>
        <w:left w:val="none" w:sz="0" w:space="0" w:color="auto"/>
        <w:bottom w:val="none" w:sz="0" w:space="0" w:color="auto"/>
        <w:right w:val="none" w:sz="0" w:space="0" w:color="auto"/>
      </w:divBdr>
    </w:div>
    <w:div w:id="1136684809">
      <w:bodyDiv w:val="1"/>
      <w:marLeft w:val="0"/>
      <w:marRight w:val="0"/>
      <w:marTop w:val="0"/>
      <w:marBottom w:val="0"/>
      <w:divBdr>
        <w:top w:val="none" w:sz="0" w:space="0" w:color="auto"/>
        <w:left w:val="none" w:sz="0" w:space="0" w:color="auto"/>
        <w:bottom w:val="none" w:sz="0" w:space="0" w:color="auto"/>
        <w:right w:val="none" w:sz="0" w:space="0" w:color="auto"/>
      </w:divBdr>
    </w:div>
    <w:div w:id="1159810588">
      <w:bodyDiv w:val="1"/>
      <w:marLeft w:val="0"/>
      <w:marRight w:val="0"/>
      <w:marTop w:val="0"/>
      <w:marBottom w:val="0"/>
      <w:divBdr>
        <w:top w:val="none" w:sz="0" w:space="0" w:color="auto"/>
        <w:left w:val="none" w:sz="0" w:space="0" w:color="auto"/>
        <w:bottom w:val="none" w:sz="0" w:space="0" w:color="auto"/>
        <w:right w:val="none" w:sz="0" w:space="0" w:color="auto"/>
      </w:divBdr>
    </w:div>
    <w:div w:id="1177572607">
      <w:bodyDiv w:val="1"/>
      <w:marLeft w:val="0"/>
      <w:marRight w:val="0"/>
      <w:marTop w:val="0"/>
      <w:marBottom w:val="0"/>
      <w:divBdr>
        <w:top w:val="none" w:sz="0" w:space="0" w:color="auto"/>
        <w:left w:val="none" w:sz="0" w:space="0" w:color="auto"/>
        <w:bottom w:val="none" w:sz="0" w:space="0" w:color="auto"/>
        <w:right w:val="none" w:sz="0" w:space="0" w:color="auto"/>
      </w:divBdr>
    </w:div>
    <w:div w:id="1185631566">
      <w:bodyDiv w:val="1"/>
      <w:marLeft w:val="0"/>
      <w:marRight w:val="0"/>
      <w:marTop w:val="0"/>
      <w:marBottom w:val="0"/>
      <w:divBdr>
        <w:top w:val="none" w:sz="0" w:space="0" w:color="auto"/>
        <w:left w:val="none" w:sz="0" w:space="0" w:color="auto"/>
        <w:bottom w:val="none" w:sz="0" w:space="0" w:color="auto"/>
        <w:right w:val="none" w:sz="0" w:space="0" w:color="auto"/>
      </w:divBdr>
    </w:div>
    <w:div w:id="1187905864">
      <w:bodyDiv w:val="1"/>
      <w:marLeft w:val="0"/>
      <w:marRight w:val="0"/>
      <w:marTop w:val="0"/>
      <w:marBottom w:val="0"/>
      <w:divBdr>
        <w:top w:val="none" w:sz="0" w:space="0" w:color="auto"/>
        <w:left w:val="none" w:sz="0" w:space="0" w:color="auto"/>
        <w:bottom w:val="none" w:sz="0" w:space="0" w:color="auto"/>
        <w:right w:val="none" w:sz="0" w:space="0" w:color="auto"/>
      </w:divBdr>
    </w:div>
    <w:div w:id="1191534398">
      <w:bodyDiv w:val="1"/>
      <w:marLeft w:val="0"/>
      <w:marRight w:val="0"/>
      <w:marTop w:val="0"/>
      <w:marBottom w:val="0"/>
      <w:divBdr>
        <w:top w:val="none" w:sz="0" w:space="0" w:color="auto"/>
        <w:left w:val="none" w:sz="0" w:space="0" w:color="auto"/>
        <w:bottom w:val="none" w:sz="0" w:space="0" w:color="auto"/>
        <w:right w:val="none" w:sz="0" w:space="0" w:color="auto"/>
      </w:divBdr>
    </w:div>
    <w:div w:id="1223171942">
      <w:bodyDiv w:val="1"/>
      <w:marLeft w:val="0"/>
      <w:marRight w:val="0"/>
      <w:marTop w:val="0"/>
      <w:marBottom w:val="0"/>
      <w:divBdr>
        <w:top w:val="none" w:sz="0" w:space="0" w:color="auto"/>
        <w:left w:val="none" w:sz="0" w:space="0" w:color="auto"/>
        <w:bottom w:val="none" w:sz="0" w:space="0" w:color="auto"/>
        <w:right w:val="none" w:sz="0" w:space="0" w:color="auto"/>
      </w:divBdr>
    </w:div>
    <w:div w:id="1246184967">
      <w:bodyDiv w:val="1"/>
      <w:marLeft w:val="0"/>
      <w:marRight w:val="0"/>
      <w:marTop w:val="0"/>
      <w:marBottom w:val="0"/>
      <w:divBdr>
        <w:top w:val="none" w:sz="0" w:space="0" w:color="auto"/>
        <w:left w:val="none" w:sz="0" w:space="0" w:color="auto"/>
        <w:bottom w:val="none" w:sz="0" w:space="0" w:color="auto"/>
        <w:right w:val="none" w:sz="0" w:space="0" w:color="auto"/>
      </w:divBdr>
    </w:div>
    <w:div w:id="1250579347">
      <w:bodyDiv w:val="1"/>
      <w:marLeft w:val="0"/>
      <w:marRight w:val="0"/>
      <w:marTop w:val="0"/>
      <w:marBottom w:val="0"/>
      <w:divBdr>
        <w:top w:val="none" w:sz="0" w:space="0" w:color="auto"/>
        <w:left w:val="none" w:sz="0" w:space="0" w:color="auto"/>
        <w:bottom w:val="none" w:sz="0" w:space="0" w:color="auto"/>
        <w:right w:val="none" w:sz="0" w:space="0" w:color="auto"/>
      </w:divBdr>
    </w:div>
    <w:div w:id="1256479655">
      <w:bodyDiv w:val="1"/>
      <w:marLeft w:val="0"/>
      <w:marRight w:val="0"/>
      <w:marTop w:val="0"/>
      <w:marBottom w:val="0"/>
      <w:divBdr>
        <w:top w:val="none" w:sz="0" w:space="0" w:color="auto"/>
        <w:left w:val="none" w:sz="0" w:space="0" w:color="auto"/>
        <w:bottom w:val="none" w:sz="0" w:space="0" w:color="auto"/>
        <w:right w:val="none" w:sz="0" w:space="0" w:color="auto"/>
      </w:divBdr>
    </w:div>
    <w:div w:id="1260526672">
      <w:bodyDiv w:val="1"/>
      <w:marLeft w:val="0"/>
      <w:marRight w:val="0"/>
      <w:marTop w:val="0"/>
      <w:marBottom w:val="0"/>
      <w:divBdr>
        <w:top w:val="none" w:sz="0" w:space="0" w:color="auto"/>
        <w:left w:val="none" w:sz="0" w:space="0" w:color="auto"/>
        <w:bottom w:val="none" w:sz="0" w:space="0" w:color="auto"/>
        <w:right w:val="none" w:sz="0" w:space="0" w:color="auto"/>
      </w:divBdr>
    </w:div>
    <w:div w:id="1266378736">
      <w:bodyDiv w:val="1"/>
      <w:marLeft w:val="0"/>
      <w:marRight w:val="0"/>
      <w:marTop w:val="0"/>
      <w:marBottom w:val="0"/>
      <w:divBdr>
        <w:top w:val="none" w:sz="0" w:space="0" w:color="auto"/>
        <w:left w:val="none" w:sz="0" w:space="0" w:color="auto"/>
        <w:bottom w:val="none" w:sz="0" w:space="0" w:color="auto"/>
        <w:right w:val="none" w:sz="0" w:space="0" w:color="auto"/>
      </w:divBdr>
    </w:div>
    <w:div w:id="1268079662">
      <w:bodyDiv w:val="1"/>
      <w:marLeft w:val="0"/>
      <w:marRight w:val="0"/>
      <w:marTop w:val="0"/>
      <w:marBottom w:val="0"/>
      <w:divBdr>
        <w:top w:val="none" w:sz="0" w:space="0" w:color="auto"/>
        <w:left w:val="none" w:sz="0" w:space="0" w:color="auto"/>
        <w:bottom w:val="none" w:sz="0" w:space="0" w:color="auto"/>
        <w:right w:val="none" w:sz="0" w:space="0" w:color="auto"/>
      </w:divBdr>
    </w:div>
    <w:div w:id="1272856661">
      <w:bodyDiv w:val="1"/>
      <w:marLeft w:val="0"/>
      <w:marRight w:val="0"/>
      <w:marTop w:val="0"/>
      <w:marBottom w:val="0"/>
      <w:divBdr>
        <w:top w:val="none" w:sz="0" w:space="0" w:color="auto"/>
        <w:left w:val="none" w:sz="0" w:space="0" w:color="auto"/>
        <w:bottom w:val="none" w:sz="0" w:space="0" w:color="auto"/>
        <w:right w:val="none" w:sz="0" w:space="0" w:color="auto"/>
      </w:divBdr>
    </w:div>
    <w:div w:id="1276448045">
      <w:bodyDiv w:val="1"/>
      <w:marLeft w:val="0"/>
      <w:marRight w:val="0"/>
      <w:marTop w:val="0"/>
      <w:marBottom w:val="0"/>
      <w:divBdr>
        <w:top w:val="none" w:sz="0" w:space="0" w:color="auto"/>
        <w:left w:val="none" w:sz="0" w:space="0" w:color="auto"/>
        <w:bottom w:val="none" w:sz="0" w:space="0" w:color="auto"/>
        <w:right w:val="none" w:sz="0" w:space="0" w:color="auto"/>
      </w:divBdr>
    </w:div>
    <w:div w:id="1282616790">
      <w:bodyDiv w:val="1"/>
      <w:marLeft w:val="0"/>
      <w:marRight w:val="0"/>
      <w:marTop w:val="0"/>
      <w:marBottom w:val="0"/>
      <w:divBdr>
        <w:top w:val="none" w:sz="0" w:space="0" w:color="auto"/>
        <w:left w:val="none" w:sz="0" w:space="0" w:color="auto"/>
        <w:bottom w:val="none" w:sz="0" w:space="0" w:color="auto"/>
        <w:right w:val="none" w:sz="0" w:space="0" w:color="auto"/>
      </w:divBdr>
    </w:div>
    <w:div w:id="1304500608">
      <w:bodyDiv w:val="1"/>
      <w:marLeft w:val="0"/>
      <w:marRight w:val="0"/>
      <w:marTop w:val="0"/>
      <w:marBottom w:val="0"/>
      <w:divBdr>
        <w:top w:val="none" w:sz="0" w:space="0" w:color="auto"/>
        <w:left w:val="none" w:sz="0" w:space="0" w:color="auto"/>
        <w:bottom w:val="none" w:sz="0" w:space="0" w:color="auto"/>
        <w:right w:val="none" w:sz="0" w:space="0" w:color="auto"/>
      </w:divBdr>
    </w:div>
    <w:div w:id="1321737862">
      <w:bodyDiv w:val="1"/>
      <w:marLeft w:val="0"/>
      <w:marRight w:val="0"/>
      <w:marTop w:val="0"/>
      <w:marBottom w:val="0"/>
      <w:divBdr>
        <w:top w:val="none" w:sz="0" w:space="0" w:color="auto"/>
        <w:left w:val="none" w:sz="0" w:space="0" w:color="auto"/>
        <w:bottom w:val="none" w:sz="0" w:space="0" w:color="auto"/>
        <w:right w:val="none" w:sz="0" w:space="0" w:color="auto"/>
      </w:divBdr>
    </w:div>
    <w:div w:id="1331985334">
      <w:bodyDiv w:val="1"/>
      <w:marLeft w:val="0"/>
      <w:marRight w:val="0"/>
      <w:marTop w:val="0"/>
      <w:marBottom w:val="0"/>
      <w:divBdr>
        <w:top w:val="none" w:sz="0" w:space="0" w:color="auto"/>
        <w:left w:val="none" w:sz="0" w:space="0" w:color="auto"/>
        <w:bottom w:val="none" w:sz="0" w:space="0" w:color="auto"/>
        <w:right w:val="none" w:sz="0" w:space="0" w:color="auto"/>
      </w:divBdr>
    </w:div>
    <w:div w:id="1344087701">
      <w:bodyDiv w:val="1"/>
      <w:marLeft w:val="0"/>
      <w:marRight w:val="0"/>
      <w:marTop w:val="0"/>
      <w:marBottom w:val="0"/>
      <w:divBdr>
        <w:top w:val="none" w:sz="0" w:space="0" w:color="auto"/>
        <w:left w:val="none" w:sz="0" w:space="0" w:color="auto"/>
        <w:bottom w:val="none" w:sz="0" w:space="0" w:color="auto"/>
        <w:right w:val="none" w:sz="0" w:space="0" w:color="auto"/>
      </w:divBdr>
    </w:div>
    <w:div w:id="1346978287">
      <w:bodyDiv w:val="1"/>
      <w:marLeft w:val="0"/>
      <w:marRight w:val="0"/>
      <w:marTop w:val="0"/>
      <w:marBottom w:val="0"/>
      <w:divBdr>
        <w:top w:val="none" w:sz="0" w:space="0" w:color="auto"/>
        <w:left w:val="none" w:sz="0" w:space="0" w:color="auto"/>
        <w:bottom w:val="none" w:sz="0" w:space="0" w:color="auto"/>
        <w:right w:val="none" w:sz="0" w:space="0" w:color="auto"/>
      </w:divBdr>
    </w:div>
    <w:div w:id="1357266140">
      <w:bodyDiv w:val="1"/>
      <w:marLeft w:val="0"/>
      <w:marRight w:val="0"/>
      <w:marTop w:val="0"/>
      <w:marBottom w:val="0"/>
      <w:divBdr>
        <w:top w:val="none" w:sz="0" w:space="0" w:color="auto"/>
        <w:left w:val="none" w:sz="0" w:space="0" w:color="auto"/>
        <w:bottom w:val="none" w:sz="0" w:space="0" w:color="auto"/>
        <w:right w:val="none" w:sz="0" w:space="0" w:color="auto"/>
      </w:divBdr>
    </w:div>
    <w:div w:id="1361854396">
      <w:bodyDiv w:val="1"/>
      <w:marLeft w:val="0"/>
      <w:marRight w:val="0"/>
      <w:marTop w:val="0"/>
      <w:marBottom w:val="0"/>
      <w:divBdr>
        <w:top w:val="none" w:sz="0" w:space="0" w:color="auto"/>
        <w:left w:val="none" w:sz="0" w:space="0" w:color="auto"/>
        <w:bottom w:val="none" w:sz="0" w:space="0" w:color="auto"/>
        <w:right w:val="none" w:sz="0" w:space="0" w:color="auto"/>
      </w:divBdr>
    </w:div>
    <w:div w:id="1368725689">
      <w:bodyDiv w:val="1"/>
      <w:marLeft w:val="0"/>
      <w:marRight w:val="0"/>
      <w:marTop w:val="0"/>
      <w:marBottom w:val="0"/>
      <w:divBdr>
        <w:top w:val="none" w:sz="0" w:space="0" w:color="auto"/>
        <w:left w:val="none" w:sz="0" w:space="0" w:color="auto"/>
        <w:bottom w:val="none" w:sz="0" w:space="0" w:color="auto"/>
        <w:right w:val="none" w:sz="0" w:space="0" w:color="auto"/>
      </w:divBdr>
    </w:div>
    <w:div w:id="1399858266">
      <w:bodyDiv w:val="1"/>
      <w:marLeft w:val="0"/>
      <w:marRight w:val="0"/>
      <w:marTop w:val="0"/>
      <w:marBottom w:val="0"/>
      <w:divBdr>
        <w:top w:val="none" w:sz="0" w:space="0" w:color="auto"/>
        <w:left w:val="none" w:sz="0" w:space="0" w:color="auto"/>
        <w:bottom w:val="none" w:sz="0" w:space="0" w:color="auto"/>
        <w:right w:val="none" w:sz="0" w:space="0" w:color="auto"/>
      </w:divBdr>
    </w:div>
    <w:div w:id="1414202950">
      <w:bodyDiv w:val="1"/>
      <w:marLeft w:val="0"/>
      <w:marRight w:val="0"/>
      <w:marTop w:val="0"/>
      <w:marBottom w:val="0"/>
      <w:divBdr>
        <w:top w:val="none" w:sz="0" w:space="0" w:color="auto"/>
        <w:left w:val="none" w:sz="0" w:space="0" w:color="auto"/>
        <w:bottom w:val="none" w:sz="0" w:space="0" w:color="auto"/>
        <w:right w:val="none" w:sz="0" w:space="0" w:color="auto"/>
      </w:divBdr>
    </w:div>
    <w:div w:id="1420832759">
      <w:bodyDiv w:val="1"/>
      <w:marLeft w:val="0"/>
      <w:marRight w:val="0"/>
      <w:marTop w:val="0"/>
      <w:marBottom w:val="0"/>
      <w:divBdr>
        <w:top w:val="none" w:sz="0" w:space="0" w:color="auto"/>
        <w:left w:val="none" w:sz="0" w:space="0" w:color="auto"/>
        <w:bottom w:val="none" w:sz="0" w:space="0" w:color="auto"/>
        <w:right w:val="none" w:sz="0" w:space="0" w:color="auto"/>
      </w:divBdr>
    </w:div>
    <w:div w:id="1434939080">
      <w:bodyDiv w:val="1"/>
      <w:marLeft w:val="0"/>
      <w:marRight w:val="0"/>
      <w:marTop w:val="0"/>
      <w:marBottom w:val="0"/>
      <w:divBdr>
        <w:top w:val="none" w:sz="0" w:space="0" w:color="auto"/>
        <w:left w:val="none" w:sz="0" w:space="0" w:color="auto"/>
        <w:bottom w:val="none" w:sz="0" w:space="0" w:color="auto"/>
        <w:right w:val="none" w:sz="0" w:space="0" w:color="auto"/>
      </w:divBdr>
    </w:div>
    <w:div w:id="1442996149">
      <w:bodyDiv w:val="1"/>
      <w:marLeft w:val="0"/>
      <w:marRight w:val="0"/>
      <w:marTop w:val="0"/>
      <w:marBottom w:val="0"/>
      <w:divBdr>
        <w:top w:val="none" w:sz="0" w:space="0" w:color="auto"/>
        <w:left w:val="none" w:sz="0" w:space="0" w:color="auto"/>
        <w:bottom w:val="none" w:sz="0" w:space="0" w:color="auto"/>
        <w:right w:val="none" w:sz="0" w:space="0" w:color="auto"/>
      </w:divBdr>
    </w:div>
    <w:div w:id="1452555825">
      <w:bodyDiv w:val="1"/>
      <w:marLeft w:val="0"/>
      <w:marRight w:val="0"/>
      <w:marTop w:val="0"/>
      <w:marBottom w:val="0"/>
      <w:divBdr>
        <w:top w:val="none" w:sz="0" w:space="0" w:color="auto"/>
        <w:left w:val="none" w:sz="0" w:space="0" w:color="auto"/>
        <w:bottom w:val="none" w:sz="0" w:space="0" w:color="auto"/>
        <w:right w:val="none" w:sz="0" w:space="0" w:color="auto"/>
      </w:divBdr>
    </w:div>
    <w:div w:id="1453474341">
      <w:bodyDiv w:val="1"/>
      <w:marLeft w:val="0"/>
      <w:marRight w:val="0"/>
      <w:marTop w:val="0"/>
      <w:marBottom w:val="0"/>
      <w:divBdr>
        <w:top w:val="none" w:sz="0" w:space="0" w:color="auto"/>
        <w:left w:val="none" w:sz="0" w:space="0" w:color="auto"/>
        <w:bottom w:val="none" w:sz="0" w:space="0" w:color="auto"/>
        <w:right w:val="none" w:sz="0" w:space="0" w:color="auto"/>
      </w:divBdr>
    </w:div>
    <w:div w:id="1455783571">
      <w:bodyDiv w:val="1"/>
      <w:marLeft w:val="0"/>
      <w:marRight w:val="0"/>
      <w:marTop w:val="0"/>
      <w:marBottom w:val="0"/>
      <w:divBdr>
        <w:top w:val="none" w:sz="0" w:space="0" w:color="auto"/>
        <w:left w:val="none" w:sz="0" w:space="0" w:color="auto"/>
        <w:bottom w:val="none" w:sz="0" w:space="0" w:color="auto"/>
        <w:right w:val="none" w:sz="0" w:space="0" w:color="auto"/>
      </w:divBdr>
    </w:div>
    <w:div w:id="1455900381">
      <w:bodyDiv w:val="1"/>
      <w:marLeft w:val="0"/>
      <w:marRight w:val="0"/>
      <w:marTop w:val="0"/>
      <w:marBottom w:val="0"/>
      <w:divBdr>
        <w:top w:val="none" w:sz="0" w:space="0" w:color="auto"/>
        <w:left w:val="none" w:sz="0" w:space="0" w:color="auto"/>
        <w:bottom w:val="none" w:sz="0" w:space="0" w:color="auto"/>
        <w:right w:val="none" w:sz="0" w:space="0" w:color="auto"/>
      </w:divBdr>
    </w:div>
    <w:div w:id="1461342188">
      <w:bodyDiv w:val="1"/>
      <w:marLeft w:val="0"/>
      <w:marRight w:val="0"/>
      <w:marTop w:val="0"/>
      <w:marBottom w:val="0"/>
      <w:divBdr>
        <w:top w:val="none" w:sz="0" w:space="0" w:color="auto"/>
        <w:left w:val="none" w:sz="0" w:space="0" w:color="auto"/>
        <w:bottom w:val="none" w:sz="0" w:space="0" w:color="auto"/>
        <w:right w:val="none" w:sz="0" w:space="0" w:color="auto"/>
      </w:divBdr>
    </w:div>
    <w:div w:id="1472821903">
      <w:bodyDiv w:val="1"/>
      <w:marLeft w:val="0"/>
      <w:marRight w:val="0"/>
      <w:marTop w:val="0"/>
      <w:marBottom w:val="0"/>
      <w:divBdr>
        <w:top w:val="none" w:sz="0" w:space="0" w:color="auto"/>
        <w:left w:val="none" w:sz="0" w:space="0" w:color="auto"/>
        <w:bottom w:val="none" w:sz="0" w:space="0" w:color="auto"/>
        <w:right w:val="none" w:sz="0" w:space="0" w:color="auto"/>
      </w:divBdr>
    </w:div>
    <w:div w:id="1474520797">
      <w:bodyDiv w:val="1"/>
      <w:marLeft w:val="0"/>
      <w:marRight w:val="0"/>
      <w:marTop w:val="0"/>
      <w:marBottom w:val="0"/>
      <w:divBdr>
        <w:top w:val="none" w:sz="0" w:space="0" w:color="auto"/>
        <w:left w:val="none" w:sz="0" w:space="0" w:color="auto"/>
        <w:bottom w:val="none" w:sz="0" w:space="0" w:color="auto"/>
        <w:right w:val="none" w:sz="0" w:space="0" w:color="auto"/>
      </w:divBdr>
    </w:div>
    <w:div w:id="1477143502">
      <w:bodyDiv w:val="1"/>
      <w:marLeft w:val="0"/>
      <w:marRight w:val="0"/>
      <w:marTop w:val="0"/>
      <w:marBottom w:val="0"/>
      <w:divBdr>
        <w:top w:val="none" w:sz="0" w:space="0" w:color="auto"/>
        <w:left w:val="none" w:sz="0" w:space="0" w:color="auto"/>
        <w:bottom w:val="none" w:sz="0" w:space="0" w:color="auto"/>
        <w:right w:val="none" w:sz="0" w:space="0" w:color="auto"/>
      </w:divBdr>
    </w:div>
    <w:div w:id="1477575912">
      <w:bodyDiv w:val="1"/>
      <w:marLeft w:val="0"/>
      <w:marRight w:val="0"/>
      <w:marTop w:val="0"/>
      <w:marBottom w:val="0"/>
      <w:divBdr>
        <w:top w:val="none" w:sz="0" w:space="0" w:color="auto"/>
        <w:left w:val="none" w:sz="0" w:space="0" w:color="auto"/>
        <w:bottom w:val="none" w:sz="0" w:space="0" w:color="auto"/>
        <w:right w:val="none" w:sz="0" w:space="0" w:color="auto"/>
      </w:divBdr>
    </w:div>
    <w:div w:id="1482775724">
      <w:bodyDiv w:val="1"/>
      <w:marLeft w:val="0"/>
      <w:marRight w:val="0"/>
      <w:marTop w:val="0"/>
      <w:marBottom w:val="0"/>
      <w:divBdr>
        <w:top w:val="none" w:sz="0" w:space="0" w:color="auto"/>
        <w:left w:val="none" w:sz="0" w:space="0" w:color="auto"/>
        <w:bottom w:val="none" w:sz="0" w:space="0" w:color="auto"/>
        <w:right w:val="none" w:sz="0" w:space="0" w:color="auto"/>
      </w:divBdr>
    </w:div>
    <w:div w:id="1500730337">
      <w:bodyDiv w:val="1"/>
      <w:marLeft w:val="0"/>
      <w:marRight w:val="0"/>
      <w:marTop w:val="0"/>
      <w:marBottom w:val="0"/>
      <w:divBdr>
        <w:top w:val="none" w:sz="0" w:space="0" w:color="auto"/>
        <w:left w:val="none" w:sz="0" w:space="0" w:color="auto"/>
        <w:bottom w:val="none" w:sz="0" w:space="0" w:color="auto"/>
        <w:right w:val="none" w:sz="0" w:space="0" w:color="auto"/>
      </w:divBdr>
      <w:divsChild>
        <w:div w:id="215051287">
          <w:marLeft w:val="0"/>
          <w:marRight w:val="0"/>
          <w:marTop w:val="100"/>
          <w:marBottom w:val="100"/>
          <w:divBdr>
            <w:top w:val="none" w:sz="0" w:space="0" w:color="auto"/>
            <w:left w:val="none" w:sz="0" w:space="0" w:color="auto"/>
            <w:bottom w:val="none" w:sz="0" w:space="0" w:color="auto"/>
            <w:right w:val="none" w:sz="0" w:space="0" w:color="auto"/>
          </w:divBdr>
        </w:div>
      </w:divsChild>
    </w:div>
    <w:div w:id="1501236636">
      <w:bodyDiv w:val="1"/>
      <w:marLeft w:val="0"/>
      <w:marRight w:val="0"/>
      <w:marTop w:val="0"/>
      <w:marBottom w:val="0"/>
      <w:divBdr>
        <w:top w:val="none" w:sz="0" w:space="0" w:color="auto"/>
        <w:left w:val="none" w:sz="0" w:space="0" w:color="auto"/>
        <w:bottom w:val="none" w:sz="0" w:space="0" w:color="auto"/>
        <w:right w:val="none" w:sz="0" w:space="0" w:color="auto"/>
      </w:divBdr>
    </w:div>
    <w:div w:id="1506018207">
      <w:bodyDiv w:val="1"/>
      <w:marLeft w:val="0"/>
      <w:marRight w:val="0"/>
      <w:marTop w:val="0"/>
      <w:marBottom w:val="0"/>
      <w:divBdr>
        <w:top w:val="none" w:sz="0" w:space="0" w:color="auto"/>
        <w:left w:val="none" w:sz="0" w:space="0" w:color="auto"/>
        <w:bottom w:val="none" w:sz="0" w:space="0" w:color="auto"/>
        <w:right w:val="none" w:sz="0" w:space="0" w:color="auto"/>
      </w:divBdr>
    </w:div>
    <w:div w:id="1510363854">
      <w:bodyDiv w:val="1"/>
      <w:marLeft w:val="0"/>
      <w:marRight w:val="0"/>
      <w:marTop w:val="0"/>
      <w:marBottom w:val="0"/>
      <w:divBdr>
        <w:top w:val="none" w:sz="0" w:space="0" w:color="auto"/>
        <w:left w:val="none" w:sz="0" w:space="0" w:color="auto"/>
        <w:bottom w:val="none" w:sz="0" w:space="0" w:color="auto"/>
        <w:right w:val="none" w:sz="0" w:space="0" w:color="auto"/>
      </w:divBdr>
    </w:div>
    <w:div w:id="1513185757">
      <w:bodyDiv w:val="1"/>
      <w:marLeft w:val="0"/>
      <w:marRight w:val="0"/>
      <w:marTop w:val="0"/>
      <w:marBottom w:val="0"/>
      <w:divBdr>
        <w:top w:val="none" w:sz="0" w:space="0" w:color="auto"/>
        <w:left w:val="none" w:sz="0" w:space="0" w:color="auto"/>
        <w:bottom w:val="none" w:sz="0" w:space="0" w:color="auto"/>
        <w:right w:val="none" w:sz="0" w:space="0" w:color="auto"/>
      </w:divBdr>
    </w:div>
    <w:div w:id="1515651691">
      <w:bodyDiv w:val="1"/>
      <w:marLeft w:val="0"/>
      <w:marRight w:val="0"/>
      <w:marTop w:val="0"/>
      <w:marBottom w:val="0"/>
      <w:divBdr>
        <w:top w:val="none" w:sz="0" w:space="0" w:color="auto"/>
        <w:left w:val="none" w:sz="0" w:space="0" w:color="auto"/>
        <w:bottom w:val="none" w:sz="0" w:space="0" w:color="auto"/>
        <w:right w:val="none" w:sz="0" w:space="0" w:color="auto"/>
      </w:divBdr>
    </w:div>
    <w:div w:id="1517504560">
      <w:bodyDiv w:val="1"/>
      <w:marLeft w:val="0"/>
      <w:marRight w:val="0"/>
      <w:marTop w:val="0"/>
      <w:marBottom w:val="0"/>
      <w:divBdr>
        <w:top w:val="none" w:sz="0" w:space="0" w:color="auto"/>
        <w:left w:val="none" w:sz="0" w:space="0" w:color="auto"/>
        <w:bottom w:val="none" w:sz="0" w:space="0" w:color="auto"/>
        <w:right w:val="none" w:sz="0" w:space="0" w:color="auto"/>
      </w:divBdr>
    </w:div>
    <w:div w:id="1526286322">
      <w:bodyDiv w:val="1"/>
      <w:marLeft w:val="0"/>
      <w:marRight w:val="0"/>
      <w:marTop w:val="0"/>
      <w:marBottom w:val="0"/>
      <w:divBdr>
        <w:top w:val="none" w:sz="0" w:space="0" w:color="auto"/>
        <w:left w:val="none" w:sz="0" w:space="0" w:color="auto"/>
        <w:bottom w:val="none" w:sz="0" w:space="0" w:color="auto"/>
        <w:right w:val="none" w:sz="0" w:space="0" w:color="auto"/>
      </w:divBdr>
    </w:div>
    <w:div w:id="1528175034">
      <w:bodyDiv w:val="1"/>
      <w:marLeft w:val="0"/>
      <w:marRight w:val="0"/>
      <w:marTop w:val="0"/>
      <w:marBottom w:val="0"/>
      <w:divBdr>
        <w:top w:val="none" w:sz="0" w:space="0" w:color="auto"/>
        <w:left w:val="none" w:sz="0" w:space="0" w:color="auto"/>
        <w:bottom w:val="none" w:sz="0" w:space="0" w:color="auto"/>
        <w:right w:val="none" w:sz="0" w:space="0" w:color="auto"/>
      </w:divBdr>
    </w:div>
    <w:div w:id="1532257855">
      <w:bodyDiv w:val="1"/>
      <w:marLeft w:val="0"/>
      <w:marRight w:val="0"/>
      <w:marTop w:val="0"/>
      <w:marBottom w:val="0"/>
      <w:divBdr>
        <w:top w:val="none" w:sz="0" w:space="0" w:color="auto"/>
        <w:left w:val="none" w:sz="0" w:space="0" w:color="auto"/>
        <w:bottom w:val="none" w:sz="0" w:space="0" w:color="auto"/>
        <w:right w:val="none" w:sz="0" w:space="0" w:color="auto"/>
      </w:divBdr>
    </w:div>
    <w:div w:id="1542550692">
      <w:bodyDiv w:val="1"/>
      <w:marLeft w:val="0"/>
      <w:marRight w:val="0"/>
      <w:marTop w:val="0"/>
      <w:marBottom w:val="0"/>
      <w:divBdr>
        <w:top w:val="none" w:sz="0" w:space="0" w:color="auto"/>
        <w:left w:val="none" w:sz="0" w:space="0" w:color="auto"/>
        <w:bottom w:val="none" w:sz="0" w:space="0" w:color="auto"/>
        <w:right w:val="none" w:sz="0" w:space="0" w:color="auto"/>
      </w:divBdr>
    </w:div>
    <w:div w:id="1545561378">
      <w:bodyDiv w:val="1"/>
      <w:marLeft w:val="0"/>
      <w:marRight w:val="0"/>
      <w:marTop w:val="0"/>
      <w:marBottom w:val="0"/>
      <w:divBdr>
        <w:top w:val="none" w:sz="0" w:space="0" w:color="auto"/>
        <w:left w:val="none" w:sz="0" w:space="0" w:color="auto"/>
        <w:bottom w:val="none" w:sz="0" w:space="0" w:color="auto"/>
        <w:right w:val="none" w:sz="0" w:space="0" w:color="auto"/>
      </w:divBdr>
    </w:div>
    <w:div w:id="1557160016">
      <w:bodyDiv w:val="1"/>
      <w:marLeft w:val="0"/>
      <w:marRight w:val="0"/>
      <w:marTop w:val="0"/>
      <w:marBottom w:val="0"/>
      <w:divBdr>
        <w:top w:val="none" w:sz="0" w:space="0" w:color="auto"/>
        <w:left w:val="none" w:sz="0" w:space="0" w:color="auto"/>
        <w:bottom w:val="none" w:sz="0" w:space="0" w:color="auto"/>
        <w:right w:val="none" w:sz="0" w:space="0" w:color="auto"/>
      </w:divBdr>
    </w:div>
    <w:div w:id="1586962578">
      <w:bodyDiv w:val="1"/>
      <w:marLeft w:val="0"/>
      <w:marRight w:val="0"/>
      <w:marTop w:val="0"/>
      <w:marBottom w:val="0"/>
      <w:divBdr>
        <w:top w:val="none" w:sz="0" w:space="0" w:color="auto"/>
        <w:left w:val="none" w:sz="0" w:space="0" w:color="auto"/>
        <w:bottom w:val="none" w:sz="0" w:space="0" w:color="auto"/>
        <w:right w:val="none" w:sz="0" w:space="0" w:color="auto"/>
      </w:divBdr>
    </w:div>
    <w:div w:id="1591229818">
      <w:bodyDiv w:val="1"/>
      <w:marLeft w:val="0"/>
      <w:marRight w:val="0"/>
      <w:marTop w:val="0"/>
      <w:marBottom w:val="0"/>
      <w:divBdr>
        <w:top w:val="none" w:sz="0" w:space="0" w:color="auto"/>
        <w:left w:val="none" w:sz="0" w:space="0" w:color="auto"/>
        <w:bottom w:val="none" w:sz="0" w:space="0" w:color="auto"/>
        <w:right w:val="none" w:sz="0" w:space="0" w:color="auto"/>
      </w:divBdr>
    </w:div>
    <w:div w:id="1591699801">
      <w:bodyDiv w:val="1"/>
      <w:marLeft w:val="0"/>
      <w:marRight w:val="0"/>
      <w:marTop w:val="0"/>
      <w:marBottom w:val="0"/>
      <w:divBdr>
        <w:top w:val="none" w:sz="0" w:space="0" w:color="auto"/>
        <w:left w:val="none" w:sz="0" w:space="0" w:color="auto"/>
        <w:bottom w:val="none" w:sz="0" w:space="0" w:color="auto"/>
        <w:right w:val="none" w:sz="0" w:space="0" w:color="auto"/>
      </w:divBdr>
    </w:div>
    <w:div w:id="1593777707">
      <w:bodyDiv w:val="1"/>
      <w:marLeft w:val="0"/>
      <w:marRight w:val="0"/>
      <w:marTop w:val="0"/>
      <w:marBottom w:val="0"/>
      <w:divBdr>
        <w:top w:val="none" w:sz="0" w:space="0" w:color="auto"/>
        <w:left w:val="none" w:sz="0" w:space="0" w:color="auto"/>
        <w:bottom w:val="none" w:sz="0" w:space="0" w:color="auto"/>
        <w:right w:val="none" w:sz="0" w:space="0" w:color="auto"/>
      </w:divBdr>
    </w:div>
    <w:div w:id="1599289323">
      <w:bodyDiv w:val="1"/>
      <w:marLeft w:val="0"/>
      <w:marRight w:val="0"/>
      <w:marTop w:val="0"/>
      <w:marBottom w:val="0"/>
      <w:divBdr>
        <w:top w:val="none" w:sz="0" w:space="0" w:color="auto"/>
        <w:left w:val="none" w:sz="0" w:space="0" w:color="auto"/>
        <w:bottom w:val="none" w:sz="0" w:space="0" w:color="auto"/>
        <w:right w:val="none" w:sz="0" w:space="0" w:color="auto"/>
      </w:divBdr>
    </w:div>
    <w:div w:id="1600261994">
      <w:bodyDiv w:val="1"/>
      <w:marLeft w:val="0"/>
      <w:marRight w:val="0"/>
      <w:marTop w:val="0"/>
      <w:marBottom w:val="0"/>
      <w:divBdr>
        <w:top w:val="none" w:sz="0" w:space="0" w:color="auto"/>
        <w:left w:val="none" w:sz="0" w:space="0" w:color="auto"/>
        <w:bottom w:val="none" w:sz="0" w:space="0" w:color="auto"/>
        <w:right w:val="none" w:sz="0" w:space="0" w:color="auto"/>
      </w:divBdr>
    </w:div>
    <w:div w:id="1604410566">
      <w:bodyDiv w:val="1"/>
      <w:marLeft w:val="0"/>
      <w:marRight w:val="0"/>
      <w:marTop w:val="0"/>
      <w:marBottom w:val="0"/>
      <w:divBdr>
        <w:top w:val="none" w:sz="0" w:space="0" w:color="auto"/>
        <w:left w:val="none" w:sz="0" w:space="0" w:color="auto"/>
        <w:bottom w:val="none" w:sz="0" w:space="0" w:color="auto"/>
        <w:right w:val="none" w:sz="0" w:space="0" w:color="auto"/>
      </w:divBdr>
    </w:div>
    <w:div w:id="1620794340">
      <w:bodyDiv w:val="1"/>
      <w:marLeft w:val="0"/>
      <w:marRight w:val="0"/>
      <w:marTop w:val="0"/>
      <w:marBottom w:val="0"/>
      <w:divBdr>
        <w:top w:val="none" w:sz="0" w:space="0" w:color="auto"/>
        <w:left w:val="none" w:sz="0" w:space="0" w:color="auto"/>
        <w:bottom w:val="none" w:sz="0" w:space="0" w:color="auto"/>
        <w:right w:val="none" w:sz="0" w:space="0" w:color="auto"/>
      </w:divBdr>
    </w:div>
    <w:div w:id="1632518578">
      <w:bodyDiv w:val="1"/>
      <w:marLeft w:val="0"/>
      <w:marRight w:val="0"/>
      <w:marTop w:val="0"/>
      <w:marBottom w:val="0"/>
      <w:divBdr>
        <w:top w:val="none" w:sz="0" w:space="0" w:color="auto"/>
        <w:left w:val="none" w:sz="0" w:space="0" w:color="auto"/>
        <w:bottom w:val="none" w:sz="0" w:space="0" w:color="auto"/>
        <w:right w:val="none" w:sz="0" w:space="0" w:color="auto"/>
      </w:divBdr>
    </w:div>
    <w:div w:id="1633516450">
      <w:bodyDiv w:val="1"/>
      <w:marLeft w:val="0"/>
      <w:marRight w:val="0"/>
      <w:marTop w:val="0"/>
      <w:marBottom w:val="0"/>
      <w:divBdr>
        <w:top w:val="none" w:sz="0" w:space="0" w:color="auto"/>
        <w:left w:val="none" w:sz="0" w:space="0" w:color="auto"/>
        <w:bottom w:val="none" w:sz="0" w:space="0" w:color="auto"/>
        <w:right w:val="none" w:sz="0" w:space="0" w:color="auto"/>
      </w:divBdr>
    </w:div>
    <w:div w:id="1644969120">
      <w:bodyDiv w:val="1"/>
      <w:marLeft w:val="0"/>
      <w:marRight w:val="0"/>
      <w:marTop w:val="0"/>
      <w:marBottom w:val="0"/>
      <w:divBdr>
        <w:top w:val="none" w:sz="0" w:space="0" w:color="auto"/>
        <w:left w:val="none" w:sz="0" w:space="0" w:color="auto"/>
        <w:bottom w:val="none" w:sz="0" w:space="0" w:color="auto"/>
        <w:right w:val="none" w:sz="0" w:space="0" w:color="auto"/>
      </w:divBdr>
    </w:div>
    <w:div w:id="1646854869">
      <w:bodyDiv w:val="1"/>
      <w:marLeft w:val="0"/>
      <w:marRight w:val="0"/>
      <w:marTop w:val="0"/>
      <w:marBottom w:val="0"/>
      <w:divBdr>
        <w:top w:val="none" w:sz="0" w:space="0" w:color="auto"/>
        <w:left w:val="none" w:sz="0" w:space="0" w:color="auto"/>
        <w:bottom w:val="none" w:sz="0" w:space="0" w:color="auto"/>
        <w:right w:val="none" w:sz="0" w:space="0" w:color="auto"/>
      </w:divBdr>
    </w:div>
    <w:div w:id="1647007431">
      <w:bodyDiv w:val="1"/>
      <w:marLeft w:val="0"/>
      <w:marRight w:val="0"/>
      <w:marTop w:val="0"/>
      <w:marBottom w:val="0"/>
      <w:divBdr>
        <w:top w:val="none" w:sz="0" w:space="0" w:color="auto"/>
        <w:left w:val="none" w:sz="0" w:space="0" w:color="auto"/>
        <w:bottom w:val="none" w:sz="0" w:space="0" w:color="auto"/>
        <w:right w:val="none" w:sz="0" w:space="0" w:color="auto"/>
      </w:divBdr>
    </w:div>
    <w:div w:id="1649554658">
      <w:bodyDiv w:val="1"/>
      <w:marLeft w:val="0"/>
      <w:marRight w:val="0"/>
      <w:marTop w:val="0"/>
      <w:marBottom w:val="0"/>
      <w:divBdr>
        <w:top w:val="none" w:sz="0" w:space="0" w:color="auto"/>
        <w:left w:val="none" w:sz="0" w:space="0" w:color="auto"/>
        <w:bottom w:val="none" w:sz="0" w:space="0" w:color="auto"/>
        <w:right w:val="none" w:sz="0" w:space="0" w:color="auto"/>
      </w:divBdr>
    </w:div>
    <w:div w:id="1653482314">
      <w:bodyDiv w:val="1"/>
      <w:marLeft w:val="0"/>
      <w:marRight w:val="0"/>
      <w:marTop w:val="0"/>
      <w:marBottom w:val="0"/>
      <w:divBdr>
        <w:top w:val="none" w:sz="0" w:space="0" w:color="auto"/>
        <w:left w:val="none" w:sz="0" w:space="0" w:color="auto"/>
        <w:bottom w:val="none" w:sz="0" w:space="0" w:color="auto"/>
        <w:right w:val="none" w:sz="0" w:space="0" w:color="auto"/>
      </w:divBdr>
    </w:div>
    <w:div w:id="1656061877">
      <w:bodyDiv w:val="1"/>
      <w:marLeft w:val="0"/>
      <w:marRight w:val="0"/>
      <w:marTop w:val="0"/>
      <w:marBottom w:val="0"/>
      <w:divBdr>
        <w:top w:val="none" w:sz="0" w:space="0" w:color="auto"/>
        <w:left w:val="none" w:sz="0" w:space="0" w:color="auto"/>
        <w:bottom w:val="none" w:sz="0" w:space="0" w:color="auto"/>
        <w:right w:val="none" w:sz="0" w:space="0" w:color="auto"/>
      </w:divBdr>
    </w:div>
    <w:div w:id="1657301508">
      <w:bodyDiv w:val="1"/>
      <w:marLeft w:val="0"/>
      <w:marRight w:val="0"/>
      <w:marTop w:val="0"/>
      <w:marBottom w:val="0"/>
      <w:divBdr>
        <w:top w:val="none" w:sz="0" w:space="0" w:color="auto"/>
        <w:left w:val="none" w:sz="0" w:space="0" w:color="auto"/>
        <w:bottom w:val="none" w:sz="0" w:space="0" w:color="auto"/>
        <w:right w:val="none" w:sz="0" w:space="0" w:color="auto"/>
      </w:divBdr>
    </w:div>
    <w:div w:id="1658537144">
      <w:bodyDiv w:val="1"/>
      <w:marLeft w:val="0"/>
      <w:marRight w:val="0"/>
      <w:marTop w:val="0"/>
      <w:marBottom w:val="0"/>
      <w:divBdr>
        <w:top w:val="none" w:sz="0" w:space="0" w:color="auto"/>
        <w:left w:val="none" w:sz="0" w:space="0" w:color="auto"/>
        <w:bottom w:val="none" w:sz="0" w:space="0" w:color="auto"/>
        <w:right w:val="none" w:sz="0" w:space="0" w:color="auto"/>
      </w:divBdr>
    </w:div>
    <w:div w:id="1689091494">
      <w:bodyDiv w:val="1"/>
      <w:marLeft w:val="0"/>
      <w:marRight w:val="0"/>
      <w:marTop w:val="0"/>
      <w:marBottom w:val="0"/>
      <w:divBdr>
        <w:top w:val="none" w:sz="0" w:space="0" w:color="auto"/>
        <w:left w:val="none" w:sz="0" w:space="0" w:color="auto"/>
        <w:bottom w:val="none" w:sz="0" w:space="0" w:color="auto"/>
        <w:right w:val="none" w:sz="0" w:space="0" w:color="auto"/>
      </w:divBdr>
    </w:div>
    <w:div w:id="1701055146">
      <w:bodyDiv w:val="1"/>
      <w:marLeft w:val="0"/>
      <w:marRight w:val="0"/>
      <w:marTop w:val="0"/>
      <w:marBottom w:val="0"/>
      <w:divBdr>
        <w:top w:val="none" w:sz="0" w:space="0" w:color="auto"/>
        <w:left w:val="none" w:sz="0" w:space="0" w:color="auto"/>
        <w:bottom w:val="none" w:sz="0" w:space="0" w:color="auto"/>
        <w:right w:val="none" w:sz="0" w:space="0" w:color="auto"/>
      </w:divBdr>
    </w:div>
    <w:div w:id="1736392063">
      <w:bodyDiv w:val="1"/>
      <w:marLeft w:val="0"/>
      <w:marRight w:val="0"/>
      <w:marTop w:val="0"/>
      <w:marBottom w:val="0"/>
      <w:divBdr>
        <w:top w:val="none" w:sz="0" w:space="0" w:color="auto"/>
        <w:left w:val="none" w:sz="0" w:space="0" w:color="auto"/>
        <w:bottom w:val="none" w:sz="0" w:space="0" w:color="auto"/>
        <w:right w:val="none" w:sz="0" w:space="0" w:color="auto"/>
      </w:divBdr>
    </w:div>
    <w:div w:id="1746610588">
      <w:bodyDiv w:val="1"/>
      <w:marLeft w:val="0"/>
      <w:marRight w:val="0"/>
      <w:marTop w:val="0"/>
      <w:marBottom w:val="0"/>
      <w:divBdr>
        <w:top w:val="none" w:sz="0" w:space="0" w:color="auto"/>
        <w:left w:val="none" w:sz="0" w:space="0" w:color="auto"/>
        <w:bottom w:val="none" w:sz="0" w:space="0" w:color="auto"/>
        <w:right w:val="none" w:sz="0" w:space="0" w:color="auto"/>
      </w:divBdr>
    </w:div>
    <w:div w:id="1746998522">
      <w:bodyDiv w:val="1"/>
      <w:marLeft w:val="0"/>
      <w:marRight w:val="0"/>
      <w:marTop w:val="0"/>
      <w:marBottom w:val="0"/>
      <w:divBdr>
        <w:top w:val="none" w:sz="0" w:space="0" w:color="auto"/>
        <w:left w:val="none" w:sz="0" w:space="0" w:color="auto"/>
        <w:bottom w:val="none" w:sz="0" w:space="0" w:color="auto"/>
        <w:right w:val="none" w:sz="0" w:space="0" w:color="auto"/>
      </w:divBdr>
    </w:div>
    <w:div w:id="1761947789">
      <w:bodyDiv w:val="1"/>
      <w:marLeft w:val="0"/>
      <w:marRight w:val="0"/>
      <w:marTop w:val="0"/>
      <w:marBottom w:val="0"/>
      <w:divBdr>
        <w:top w:val="none" w:sz="0" w:space="0" w:color="auto"/>
        <w:left w:val="none" w:sz="0" w:space="0" w:color="auto"/>
        <w:bottom w:val="none" w:sz="0" w:space="0" w:color="auto"/>
        <w:right w:val="none" w:sz="0" w:space="0" w:color="auto"/>
      </w:divBdr>
    </w:div>
    <w:div w:id="1791585859">
      <w:bodyDiv w:val="1"/>
      <w:marLeft w:val="0"/>
      <w:marRight w:val="0"/>
      <w:marTop w:val="0"/>
      <w:marBottom w:val="0"/>
      <w:divBdr>
        <w:top w:val="none" w:sz="0" w:space="0" w:color="auto"/>
        <w:left w:val="none" w:sz="0" w:space="0" w:color="auto"/>
        <w:bottom w:val="none" w:sz="0" w:space="0" w:color="auto"/>
        <w:right w:val="none" w:sz="0" w:space="0" w:color="auto"/>
      </w:divBdr>
    </w:div>
    <w:div w:id="1798907306">
      <w:bodyDiv w:val="1"/>
      <w:marLeft w:val="0"/>
      <w:marRight w:val="0"/>
      <w:marTop w:val="0"/>
      <w:marBottom w:val="0"/>
      <w:divBdr>
        <w:top w:val="none" w:sz="0" w:space="0" w:color="auto"/>
        <w:left w:val="none" w:sz="0" w:space="0" w:color="auto"/>
        <w:bottom w:val="none" w:sz="0" w:space="0" w:color="auto"/>
        <w:right w:val="none" w:sz="0" w:space="0" w:color="auto"/>
      </w:divBdr>
    </w:div>
    <w:div w:id="1819496593">
      <w:bodyDiv w:val="1"/>
      <w:marLeft w:val="0"/>
      <w:marRight w:val="0"/>
      <w:marTop w:val="0"/>
      <w:marBottom w:val="0"/>
      <w:divBdr>
        <w:top w:val="none" w:sz="0" w:space="0" w:color="auto"/>
        <w:left w:val="none" w:sz="0" w:space="0" w:color="auto"/>
        <w:bottom w:val="none" w:sz="0" w:space="0" w:color="auto"/>
        <w:right w:val="none" w:sz="0" w:space="0" w:color="auto"/>
      </w:divBdr>
    </w:div>
    <w:div w:id="1823160720">
      <w:bodyDiv w:val="1"/>
      <w:marLeft w:val="0"/>
      <w:marRight w:val="0"/>
      <w:marTop w:val="0"/>
      <w:marBottom w:val="0"/>
      <w:divBdr>
        <w:top w:val="none" w:sz="0" w:space="0" w:color="auto"/>
        <w:left w:val="none" w:sz="0" w:space="0" w:color="auto"/>
        <w:bottom w:val="none" w:sz="0" w:space="0" w:color="auto"/>
        <w:right w:val="none" w:sz="0" w:space="0" w:color="auto"/>
      </w:divBdr>
    </w:div>
    <w:div w:id="1833642446">
      <w:bodyDiv w:val="1"/>
      <w:marLeft w:val="0"/>
      <w:marRight w:val="0"/>
      <w:marTop w:val="0"/>
      <w:marBottom w:val="0"/>
      <w:divBdr>
        <w:top w:val="none" w:sz="0" w:space="0" w:color="auto"/>
        <w:left w:val="none" w:sz="0" w:space="0" w:color="auto"/>
        <w:bottom w:val="none" w:sz="0" w:space="0" w:color="auto"/>
        <w:right w:val="none" w:sz="0" w:space="0" w:color="auto"/>
      </w:divBdr>
    </w:div>
    <w:div w:id="1842116308">
      <w:bodyDiv w:val="1"/>
      <w:marLeft w:val="0"/>
      <w:marRight w:val="0"/>
      <w:marTop w:val="0"/>
      <w:marBottom w:val="0"/>
      <w:divBdr>
        <w:top w:val="none" w:sz="0" w:space="0" w:color="auto"/>
        <w:left w:val="none" w:sz="0" w:space="0" w:color="auto"/>
        <w:bottom w:val="none" w:sz="0" w:space="0" w:color="auto"/>
        <w:right w:val="none" w:sz="0" w:space="0" w:color="auto"/>
      </w:divBdr>
    </w:div>
    <w:div w:id="1856848308">
      <w:bodyDiv w:val="1"/>
      <w:marLeft w:val="0"/>
      <w:marRight w:val="0"/>
      <w:marTop w:val="0"/>
      <w:marBottom w:val="0"/>
      <w:divBdr>
        <w:top w:val="none" w:sz="0" w:space="0" w:color="auto"/>
        <w:left w:val="none" w:sz="0" w:space="0" w:color="auto"/>
        <w:bottom w:val="none" w:sz="0" w:space="0" w:color="auto"/>
        <w:right w:val="none" w:sz="0" w:space="0" w:color="auto"/>
      </w:divBdr>
    </w:div>
    <w:div w:id="1860468602">
      <w:bodyDiv w:val="1"/>
      <w:marLeft w:val="0"/>
      <w:marRight w:val="0"/>
      <w:marTop w:val="0"/>
      <w:marBottom w:val="0"/>
      <w:divBdr>
        <w:top w:val="none" w:sz="0" w:space="0" w:color="auto"/>
        <w:left w:val="none" w:sz="0" w:space="0" w:color="auto"/>
        <w:bottom w:val="none" w:sz="0" w:space="0" w:color="auto"/>
        <w:right w:val="none" w:sz="0" w:space="0" w:color="auto"/>
      </w:divBdr>
    </w:div>
    <w:div w:id="1864123474">
      <w:bodyDiv w:val="1"/>
      <w:marLeft w:val="0"/>
      <w:marRight w:val="0"/>
      <w:marTop w:val="0"/>
      <w:marBottom w:val="0"/>
      <w:divBdr>
        <w:top w:val="none" w:sz="0" w:space="0" w:color="auto"/>
        <w:left w:val="none" w:sz="0" w:space="0" w:color="auto"/>
        <w:bottom w:val="none" w:sz="0" w:space="0" w:color="auto"/>
        <w:right w:val="none" w:sz="0" w:space="0" w:color="auto"/>
      </w:divBdr>
    </w:div>
    <w:div w:id="1865363987">
      <w:bodyDiv w:val="1"/>
      <w:marLeft w:val="0"/>
      <w:marRight w:val="0"/>
      <w:marTop w:val="0"/>
      <w:marBottom w:val="0"/>
      <w:divBdr>
        <w:top w:val="none" w:sz="0" w:space="0" w:color="auto"/>
        <w:left w:val="none" w:sz="0" w:space="0" w:color="auto"/>
        <w:bottom w:val="none" w:sz="0" w:space="0" w:color="auto"/>
        <w:right w:val="none" w:sz="0" w:space="0" w:color="auto"/>
      </w:divBdr>
    </w:div>
    <w:div w:id="1879926413">
      <w:bodyDiv w:val="1"/>
      <w:marLeft w:val="0"/>
      <w:marRight w:val="0"/>
      <w:marTop w:val="0"/>
      <w:marBottom w:val="0"/>
      <w:divBdr>
        <w:top w:val="none" w:sz="0" w:space="0" w:color="auto"/>
        <w:left w:val="none" w:sz="0" w:space="0" w:color="auto"/>
        <w:bottom w:val="none" w:sz="0" w:space="0" w:color="auto"/>
        <w:right w:val="none" w:sz="0" w:space="0" w:color="auto"/>
      </w:divBdr>
    </w:div>
    <w:div w:id="1949190185">
      <w:bodyDiv w:val="1"/>
      <w:marLeft w:val="0"/>
      <w:marRight w:val="0"/>
      <w:marTop w:val="0"/>
      <w:marBottom w:val="0"/>
      <w:divBdr>
        <w:top w:val="none" w:sz="0" w:space="0" w:color="auto"/>
        <w:left w:val="none" w:sz="0" w:space="0" w:color="auto"/>
        <w:bottom w:val="none" w:sz="0" w:space="0" w:color="auto"/>
        <w:right w:val="none" w:sz="0" w:space="0" w:color="auto"/>
      </w:divBdr>
    </w:div>
    <w:div w:id="1988245117">
      <w:bodyDiv w:val="1"/>
      <w:marLeft w:val="0"/>
      <w:marRight w:val="0"/>
      <w:marTop w:val="0"/>
      <w:marBottom w:val="0"/>
      <w:divBdr>
        <w:top w:val="none" w:sz="0" w:space="0" w:color="auto"/>
        <w:left w:val="none" w:sz="0" w:space="0" w:color="auto"/>
        <w:bottom w:val="none" w:sz="0" w:space="0" w:color="auto"/>
        <w:right w:val="none" w:sz="0" w:space="0" w:color="auto"/>
      </w:divBdr>
    </w:div>
    <w:div w:id="1991858491">
      <w:bodyDiv w:val="1"/>
      <w:marLeft w:val="0"/>
      <w:marRight w:val="0"/>
      <w:marTop w:val="0"/>
      <w:marBottom w:val="0"/>
      <w:divBdr>
        <w:top w:val="none" w:sz="0" w:space="0" w:color="auto"/>
        <w:left w:val="none" w:sz="0" w:space="0" w:color="auto"/>
        <w:bottom w:val="none" w:sz="0" w:space="0" w:color="auto"/>
        <w:right w:val="none" w:sz="0" w:space="0" w:color="auto"/>
      </w:divBdr>
    </w:div>
    <w:div w:id="1997416321">
      <w:bodyDiv w:val="1"/>
      <w:marLeft w:val="0"/>
      <w:marRight w:val="0"/>
      <w:marTop w:val="0"/>
      <w:marBottom w:val="0"/>
      <w:divBdr>
        <w:top w:val="none" w:sz="0" w:space="0" w:color="auto"/>
        <w:left w:val="none" w:sz="0" w:space="0" w:color="auto"/>
        <w:bottom w:val="none" w:sz="0" w:space="0" w:color="auto"/>
        <w:right w:val="none" w:sz="0" w:space="0" w:color="auto"/>
      </w:divBdr>
    </w:div>
    <w:div w:id="1999845495">
      <w:bodyDiv w:val="1"/>
      <w:marLeft w:val="0"/>
      <w:marRight w:val="0"/>
      <w:marTop w:val="0"/>
      <w:marBottom w:val="0"/>
      <w:divBdr>
        <w:top w:val="none" w:sz="0" w:space="0" w:color="auto"/>
        <w:left w:val="none" w:sz="0" w:space="0" w:color="auto"/>
        <w:bottom w:val="none" w:sz="0" w:space="0" w:color="auto"/>
        <w:right w:val="none" w:sz="0" w:space="0" w:color="auto"/>
      </w:divBdr>
    </w:div>
    <w:div w:id="2003044303">
      <w:bodyDiv w:val="1"/>
      <w:marLeft w:val="0"/>
      <w:marRight w:val="0"/>
      <w:marTop w:val="0"/>
      <w:marBottom w:val="0"/>
      <w:divBdr>
        <w:top w:val="none" w:sz="0" w:space="0" w:color="auto"/>
        <w:left w:val="none" w:sz="0" w:space="0" w:color="auto"/>
        <w:bottom w:val="none" w:sz="0" w:space="0" w:color="auto"/>
        <w:right w:val="none" w:sz="0" w:space="0" w:color="auto"/>
      </w:divBdr>
    </w:div>
    <w:div w:id="2031099096">
      <w:bodyDiv w:val="1"/>
      <w:marLeft w:val="0"/>
      <w:marRight w:val="0"/>
      <w:marTop w:val="0"/>
      <w:marBottom w:val="0"/>
      <w:divBdr>
        <w:top w:val="none" w:sz="0" w:space="0" w:color="auto"/>
        <w:left w:val="none" w:sz="0" w:space="0" w:color="auto"/>
        <w:bottom w:val="none" w:sz="0" w:space="0" w:color="auto"/>
        <w:right w:val="none" w:sz="0" w:space="0" w:color="auto"/>
      </w:divBdr>
    </w:div>
    <w:div w:id="2035567715">
      <w:bodyDiv w:val="1"/>
      <w:marLeft w:val="0"/>
      <w:marRight w:val="0"/>
      <w:marTop w:val="0"/>
      <w:marBottom w:val="0"/>
      <w:divBdr>
        <w:top w:val="none" w:sz="0" w:space="0" w:color="auto"/>
        <w:left w:val="none" w:sz="0" w:space="0" w:color="auto"/>
        <w:bottom w:val="none" w:sz="0" w:space="0" w:color="auto"/>
        <w:right w:val="none" w:sz="0" w:space="0" w:color="auto"/>
      </w:divBdr>
    </w:div>
    <w:div w:id="2048292073">
      <w:bodyDiv w:val="1"/>
      <w:marLeft w:val="0"/>
      <w:marRight w:val="0"/>
      <w:marTop w:val="0"/>
      <w:marBottom w:val="0"/>
      <w:divBdr>
        <w:top w:val="none" w:sz="0" w:space="0" w:color="auto"/>
        <w:left w:val="none" w:sz="0" w:space="0" w:color="auto"/>
        <w:bottom w:val="none" w:sz="0" w:space="0" w:color="auto"/>
        <w:right w:val="none" w:sz="0" w:space="0" w:color="auto"/>
      </w:divBdr>
    </w:div>
    <w:div w:id="2052339156">
      <w:bodyDiv w:val="1"/>
      <w:marLeft w:val="0"/>
      <w:marRight w:val="0"/>
      <w:marTop w:val="0"/>
      <w:marBottom w:val="0"/>
      <w:divBdr>
        <w:top w:val="none" w:sz="0" w:space="0" w:color="auto"/>
        <w:left w:val="none" w:sz="0" w:space="0" w:color="auto"/>
        <w:bottom w:val="none" w:sz="0" w:space="0" w:color="auto"/>
        <w:right w:val="none" w:sz="0" w:space="0" w:color="auto"/>
      </w:divBdr>
    </w:div>
    <w:div w:id="2077628637">
      <w:bodyDiv w:val="1"/>
      <w:marLeft w:val="0"/>
      <w:marRight w:val="0"/>
      <w:marTop w:val="0"/>
      <w:marBottom w:val="0"/>
      <w:divBdr>
        <w:top w:val="none" w:sz="0" w:space="0" w:color="auto"/>
        <w:left w:val="none" w:sz="0" w:space="0" w:color="auto"/>
        <w:bottom w:val="none" w:sz="0" w:space="0" w:color="auto"/>
        <w:right w:val="none" w:sz="0" w:space="0" w:color="auto"/>
      </w:divBdr>
    </w:div>
    <w:div w:id="2082823082">
      <w:bodyDiv w:val="1"/>
      <w:marLeft w:val="0"/>
      <w:marRight w:val="0"/>
      <w:marTop w:val="0"/>
      <w:marBottom w:val="0"/>
      <w:divBdr>
        <w:top w:val="none" w:sz="0" w:space="0" w:color="auto"/>
        <w:left w:val="none" w:sz="0" w:space="0" w:color="auto"/>
        <w:bottom w:val="none" w:sz="0" w:space="0" w:color="auto"/>
        <w:right w:val="none" w:sz="0" w:space="0" w:color="auto"/>
      </w:divBdr>
    </w:div>
    <w:div w:id="2098551326">
      <w:bodyDiv w:val="1"/>
      <w:marLeft w:val="0"/>
      <w:marRight w:val="0"/>
      <w:marTop w:val="0"/>
      <w:marBottom w:val="0"/>
      <w:divBdr>
        <w:top w:val="none" w:sz="0" w:space="0" w:color="auto"/>
        <w:left w:val="none" w:sz="0" w:space="0" w:color="auto"/>
        <w:bottom w:val="none" w:sz="0" w:space="0" w:color="auto"/>
        <w:right w:val="none" w:sz="0" w:space="0" w:color="auto"/>
      </w:divBdr>
    </w:div>
    <w:div w:id="2098596565">
      <w:bodyDiv w:val="1"/>
      <w:marLeft w:val="0"/>
      <w:marRight w:val="0"/>
      <w:marTop w:val="0"/>
      <w:marBottom w:val="0"/>
      <w:divBdr>
        <w:top w:val="none" w:sz="0" w:space="0" w:color="auto"/>
        <w:left w:val="none" w:sz="0" w:space="0" w:color="auto"/>
        <w:bottom w:val="none" w:sz="0" w:space="0" w:color="auto"/>
        <w:right w:val="none" w:sz="0" w:space="0" w:color="auto"/>
      </w:divBdr>
    </w:div>
    <w:div w:id="2102602350">
      <w:bodyDiv w:val="1"/>
      <w:marLeft w:val="0"/>
      <w:marRight w:val="0"/>
      <w:marTop w:val="0"/>
      <w:marBottom w:val="0"/>
      <w:divBdr>
        <w:top w:val="none" w:sz="0" w:space="0" w:color="auto"/>
        <w:left w:val="none" w:sz="0" w:space="0" w:color="auto"/>
        <w:bottom w:val="none" w:sz="0" w:space="0" w:color="auto"/>
        <w:right w:val="none" w:sz="0" w:space="0" w:color="auto"/>
      </w:divBdr>
    </w:div>
    <w:div w:id="2111117101">
      <w:bodyDiv w:val="1"/>
      <w:marLeft w:val="0"/>
      <w:marRight w:val="0"/>
      <w:marTop w:val="0"/>
      <w:marBottom w:val="0"/>
      <w:divBdr>
        <w:top w:val="none" w:sz="0" w:space="0" w:color="auto"/>
        <w:left w:val="none" w:sz="0" w:space="0" w:color="auto"/>
        <w:bottom w:val="none" w:sz="0" w:space="0" w:color="auto"/>
        <w:right w:val="none" w:sz="0" w:space="0" w:color="auto"/>
      </w:divBdr>
    </w:div>
    <w:div w:id="2116945869">
      <w:bodyDiv w:val="1"/>
      <w:marLeft w:val="0"/>
      <w:marRight w:val="0"/>
      <w:marTop w:val="0"/>
      <w:marBottom w:val="0"/>
      <w:divBdr>
        <w:top w:val="none" w:sz="0" w:space="0" w:color="auto"/>
        <w:left w:val="none" w:sz="0" w:space="0" w:color="auto"/>
        <w:bottom w:val="none" w:sz="0" w:space="0" w:color="auto"/>
        <w:right w:val="none" w:sz="0" w:space="0" w:color="auto"/>
      </w:divBdr>
    </w:div>
    <w:div w:id="2117215200">
      <w:bodyDiv w:val="1"/>
      <w:marLeft w:val="0"/>
      <w:marRight w:val="0"/>
      <w:marTop w:val="0"/>
      <w:marBottom w:val="0"/>
      <w:divBdr>
        <w:top w:val="none" w:sz="0" w:space="0" w:color="auto"/>
        <w:left w:val="none" w:sz="0" w:space="0" w:color="auto"/>
        <w:bottom w:val="none" w:sz="0" w:space="0" w:color="auto"/>
        <w:right w:val="none" w:sz="0" w:space="0" w:color="auto"/>
      </w:divBdr>
    </w:div>
    <w:div w:id="2123839222">
      <w:bodyDiv w:val="1"/>
      <w:marLeft w:val="0"/>
      <w:marRight w:val="0"/>
      <w:marTop w:val="0"/>
      <w:marBottom w:val="0"/>
      <w:divBdr>
        <w:top w:val="none" w:sz="0" w:space="0" w:color="auto"/>
        <w:left w:val="none" w:sz="0" w:space="0" w:color="auto"/>
        <w:bottom w:val="none" w:sz="0" w:space="0" w:color="auto"/>
        <w:right w:val="none" w:sz="0" w:space="0" w:color="auto"/>
      </w:divBdr>
    </w:div>
    <w:div w:id="2131121071">
      <w:bodyDiv w:val="1"/>
      <w:marLeft w:val="0"/>
      <w:marRight w:val="0"/>
      <w:marTop w:val="0"/>
      <w:marBottom w:val="0"/>
      <w:divBdr>
        <w:top w:val="none" w:sz="0" w:space="0" w:color="auto"/>
        <w:left w:val="none" w:sz="0" w:space="0" w:color="auto"/>
        <w:bottom w:val="none" w:sz="0" w:space="0" w:color="auto"/>
        <w:right w:val="none" w:sz="0" w:space="0" w:color="auto"/>
      </w:divBdr>
    </w:div>
    <w:div w:id="2146115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1F1D8-B8DE-4785-8B3B-7F9AE2CD3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22630</Words>
  <Characters>128992</Characters>
  <Application>Microsoft Office Word</Application>
  <DocSecurity>0</DocSecurity>
  <Lines>1074</Lines>
  <Paragraphs>302</Paragraphs>
  <ScaleCrop>false</ScaleCrop>
  <Company>Microsoft</Company>
  <LinksUpToDate>false</LinksUpToDate>
  <CharactersWithSpaces>151320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294</cp:revision>
  <cp:lastPrinted>2026-08-28T03:21:00Z</cp:lastPrinted>
  <dcterms:created xsi:type="dcterms:W3CDTF">2026-08-27T10:08:00Z</dcterms:created>
  <dcterms:modified xsi:type="dcterms:W3CDTF">2026-09-04T08:57:00Z</dcterms:modified>
</cp:coreProperties>
</file>