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AA0B3">
      <w:pPr>
        <w:adjustRightInd w:val="0"/>
        <w:snapToGrid w:val="0"/>
        <w:spacing w:after="360" w:afterLines="150" w:line="240" w:lineRule="auto"/>
        <w:jc w:val="center"/>
        <w:rPr>
          <w:rFonts w:ascii="Times New Roman" w:hAnsi="Times New Roman" w:cs="Times New Roman" w:eastAsiaTheme="majorEastAsia"/>
          <w:b/>
          <w:sz w:val="36"/>
          <w:szCs w:val="36"/>
          <w:lang w:eastAsia="zh-CN"/>
        </w:rPr>
      </w:pPr>
      <w:bookmarkStart w:id="8" w:name="_GoBack"/>
      <w:bookmarkEnd w:id="8"/>
    </w:p>
    <w:p w14:paraId="389916AB">
      <w:pPr>
        <w:adjustRightInd w:val="0"/>
        <w:snapToGrid w:val="0"/>
        <w:spacing w:after="360" w:afterLines="150" w:line="240" w:lineRule="auto"/>
        <w:jc w:val="center"/>
        <w:rPr>
          <w:rFonts w:ascii="Times New Roman" w:hAnsi="Times New Roman" w:cs="Times New Roman" w:eastAsiaTheme="majorEastAsia"/>
          <w:b/>
          <w:sz w:val="36"/>
          <w:szCs w:val="36"/>
          <w:lang w:eastAsia="zh-CN"/>
        </w:rPr>
      </w:pPr>
    </w:p>
    <w:p w14:paraId="2C2D80AA">
      <w:pPr>
        <w:adjustRightInd w:val="0"/>
        <w:snapToGrid w:val="0"/>
        <w:spacing w:after="360" w:afterLines="150" w:line="240" w:lineRule="auto"/>
        <w:jc w:val="center"/>
        <w:rPr>
          <w:rFonts w:ascii="Times New Roman" w:hAnsi="Times New Roman" w:cs="Times New Roman" w:eastAsiaTheme="majorEastAsia"/>
          <w:b/>
          <w:sz w:val="36"/>
          <w:szCs w:val="36"/>
          <w:lang w:eastAsia="zh-CN"/>
        </w:rPr>
      </w:pPr>
    </w:p>
    <w:p w14:paraId="31163E80">
      <w:pPr>
        <w:adjustRightInd w:val="0"/>
        <w:snapToGrid w:val="0"/>
        <w:spacing w:after="360" w:afterLines="150" w:line="240" w:lineRule="auto"/>
        <w:jc w:val="center"/>
        <w:rPr>
          <w:rFonts w:ascii="Times New Roman" w:hAnsi="Times New Roman" w:cs="Times New Roman" w:eastAsiaTheme="majorEastAsia"/>
          <w:b/>
          <w:sz w:val="36"/>
          <w:szCs w:val="36"/>
          <w:lang w:eastAsia="zh-CN"/>
        </w:rPr>
      </w:pPr>
    </w:p>
    <w:p w14:paraId="28317C09">
      <w:pPr>
        <w:adjustRightInd w:val="0"/>
        <w:snapToGrid w:val="0"/>
        <w:spacing w:after="360" w:afterLines="150" w:line="240" w:lineRule="auto"/>
        <w:jc w:val="center"/>
        <w:rPr>
          <w:rFonts w:ascii="Times New Roman" w:hAnsi="Times New Roman" w:cs="Times New Roman" w:eastAsiaTheme="majorEastAsia"/>
          <w:b/>
          <w:sz w:val="36"/>
          <w:szCs w:val="36"/>
          <w:lang w:eastAsia="zh-CN"/>
        </w:rPr>
      </w:pPr>
      <w:r>
        <w:rPr>
          <w:rFonts w:hint="eastAsia" w:ascii="Times New Roman" w:hAnsi="Times New Roman" w:cs="Times New Roman" w:eastAsiaTheme="majorEastAsia"/>
          <w:b/>
          <w:sz w:val="36"/>
          <w:szCs w:val="36"/>
          <w:lang w:eastAsia="zh-CN"/>
        </w:rPr>
        <w:t>上海</w:t>
      </w:r>
      <w:r>
        <w:rPr>
          <w:rFonts w:ascii="Times New Roman" w:hAnsi="Times New Roman" w:cs="Times New Roman" w:eastAsiaTheme="majorEastAsia"/>
          <w:b/>
          <w:sz w:val="36"/>
          <w:szCs w:val="36"/>
          <w:lang w:eastAsia="zh-CN"/>
        </w:rPr>
        <w:t>君澜律师事务所</w:t>
      </w:r>
    </w:p>
    <w:p w14:paraId="351E5746">
      <w:pPr>
        <w:adjustRightInd w:val="0"/>
        <w:snapToGrid w:val="0"/>
        <w:spacing w:before="360" w:beforeLines="150" w:after="360" w:afterLines="150" w:line="240" w:lineRule="auto"/>
        <w:jc w:val="center"/>
        <w:rPr>
          <w:rFonts w:ascii="Times New Roman" w:hAnsi="Times New Roman" w:cs="Times New Roman" w:eastAsiaTheme="majorEastAsia"/>
          <w:b/>
          <w:sz w:val="36"/>
          <w:szCs w:val="36"/>
          <w:lang w:eastAsia="zh-CN"/>
        </w:rPr>
      </w:pPr>
      <w:r>
        <w:rPr>
          <w:rFonts w:ascii="Times New Roman" w:hAnsi="Times New Roman" w:cs="Times New Roman" w:eastAsiaTheme="majorEastAsia"/>
          <w:b/>
          <w:sz w:val="36"/>
          <w:szCs w:val="36"/>
          <w:lang w:eastAsia="zh-CN"/>
        </w:rPr>
        <w:t>关于</w:t>
      </w:r>
    </w:p>
    <w:p w14:paraId="161EE356">
      <w:pPr>
        <w:adjustRightInd w:val="0"/>
        <w:snapToGrid w:val="0"/>
        <w:spacing w:before="360" w:beforeLines="150" w:after="360" w:afterLines="150" w:line="240" w:lineRule="auto"/>
        <w:jc w:val="center"/>
        <w:rPr>
          <w:rFonts w:ascii="Times New Roman" w:hAnsi="Times New Roman" w:cs="Times New Roman" w:eastAsiaTheme="majorEastAsia"/>
          <w:b/>
          <w:sz w:val="36"/>
          <w:szCs w:val="36"/>
          <w:lang w:eastAsia="zh-CN"/>
        </w:rPr>
      </w:pPr>
      <w:bookmarkStart w:id="0" w:name="_Hlk33609023"/>
      <w:r>
        <w:rPr>
          <w:rFonts w:hint="eastAsia" w:ascii="Times New Roman" w:hAnsi="Times New Roman" w:cs="Times New Roman" w:eastAsiaTheme="majorEastAsia"/>
          <w:b/>
          <w:sz w:val="36"/>
          <w:szCs w:val="36"/>
          <w:lang w:eastAsia="zh-CN"/>
        </w:rPr>
        <w:t>广东天亿马信息产业股份有限公司</w:t>
      </w:r>
    </w:p>
    <w:p w14:paraId="7A602903">
      <w:pPr>
        <w:adjustRightInd w:val="0"/>
        <w:snapToGrid w:val="0"/>
        <w:spacing w:before="360" w:beforeLines="150" w:after="360" w:afterLines="150" w:line="240" w:lineRule="auto"/>
        <w:jc w:val="center"/>
        <w:rPr>
          <w:rFonts w:ascii="Times New Roman" w:hAnsi="Times New Roman" w:cs="Times New Roman" w:eastAsiaTheme="majorEastAsia"/>
          <w:b/>
          <w:sz w:val="36"/>
          <w:szCs w:val="36"/>
          <w:lang w:eastAsia="zh-CN"/>
        </w:rPr>
      </w:pPr>
      <w:r>
        <w:rPr>
          <w:rFonts w:hint="eastAsia" w:ascii="Times New Roman" w:hAnsi="Times New Roman" w:cs="Times New Roman" w:eastAsiaTheme="majorEastAsia"/>
          <w:b/>
          <w:sz w:val="36"/>
          <w:szCs w:val="36"/>
          <w:lang w:eastAsia="zh-CN"/>
        </w:rPr>
        <w:t>2026年员工持股计划（草案）</w:t>
      </w:r>
    </w:p>
    <w:bookmarkEnd w:id="0"/>
    <w:p w14:paraId="7210261A">
      <w:pPr>
        <w:adjustRightInd w:val="0"/>
        <w:snapToGrid w:val="0"/>
        <w:spacing w:before="360" w:beforeLines="150" w:after="360" w:afterLines="150" w:line="240" w:lineRule="auto"/>
        <w:jc w:val="center"/>
        <w:rPr>
          <w:rFonts w:ascii="Times New Roman" w:hAnsi="Times New Roman" w:cs="Times New Roman" w:eastAsiaTheme="majorEastAsia"/>
          <w:b/>
          <w:sz w:val="36"/>
          <w:szCs w:val="36"/>
          <w:lang w:eastAsia="zh-CN"/>
        </w:rPr>
      </w:pPr>
      <w:r>
        <w:rPr>
          <w:rFonts w:ascii="Times New Roman" w:hAnsi="Times New Roman" w:cs="Times New Roman" w:eastAsiaTheme="majorEastAsia"/>
          <w:b/>
          <w:sz w:val="36"/>
          <w:szCs w:val="36"/>
          <w:lang w:eastAsia="zh-CN"/>
        </w:rPr>
        <w:t>之</w:t>
      </w:r>
    </w:p>
    <w:p w14:paraId="3FA71296">
      <w:pPr>
        <w:adjustRightInd w:val="0"/>
        <w:snapToGrid w:val="0"/>
        <w:spacing w:before="360" w:beforeLines="150" w:after="360" w:afterLines="150" w:line="240" w:lineRule="auto"/>
        <w:jc w:val="center"/>
        <w:rPr>
          <w:rFonts w:ascii="Times New Roman" w:hAnsi="Times New Roman" w:cs="Times New Roman" w:eastAsiaTheme="majorEastAsia"/>
          <w:b/>
          <w:sz w:val="36"/>
          <w:szCs w:val="36"/>
          <w:lang w:eastAsia="zh-CN"/>
        </w:rPr>
      </w:pPr>
    </w:p>
    <w:p w14:paraId="346D149F">
      <w:pPr>
        <w:adjustRightInd w:val="0"/>
        <w:snapToGrid w:val="0"/>
        <w:spacing w:after="0" w:line="240" w:lineRule="auto"/>
        <w:jc w:val="center"/>
        <w:rPr>
          <w:rFonts w:ascii="Times New Roman" w:hAnsi="Times New Roman" w:cs="Times New Roman" w:eastAsiaTheme="majorEastAsia"/>
          <w:b/>
          <w:sz w:val="36"/>
          <w:szCs w:val="36"/>
          <w:lang w:eastAsia="zh-CN"/>
        </w:rPr>
      </w:pPr>
      <w:r>
        <w:rPr>
          <w:rFonts w:ascii="Times New Roman" w:hAnsi="Times New Roman" w:cs="Times New Roman" w:eastAsiaTheme="majorEastAsia"/>
          <w:b/>
          <w:sz w:val="36"/>
          <w:szCs w:val="36"/>
          <w:lang w:eastAsia="zh-CN"/>
        </w:rPr>
        <w:t>法律意见书</w:t>
      </w:r>
    </w:p>
    <w:p w14:paraId="41D36E0F">
      <w:pPr>
        <w:spacing w:after="0" w:line="360" w:lineRule="auto"/>
        <w:jc w:val="center"/>
        <w:rPr>
          <w:rFonts w:ascii="Times New Roman" w:hAnsi="Times New Roman" w:cs="Times New Roman"/>
          <w:b/>
          <w:sz w:val="36"/>
          <w:lang w:eastAsia="zh-CN"/>
        </w:rPr>
      </w:pPr>
      <w:r>
        <w:rPr>
          <w:rFonts w:ascii="Times New Roman" w:hAnsi="Times New Roman" w:cs="Times New Roman"/>
          <w:b/>
          <w:sz w:val="36"/>
          <w:lang w:eastAsia="zh-CN"/>
        </w:rPr>
        <w:tab/>
      </w:r>
    </w:p>
    <w:p w14:paraId="2277CD5E">
      <w:pPr>
        <w:spacing w:after="0" w:line="360" w:lineRule="auto"/>
        <w:jc w:val="center"/>
        <w:rPr>
          <w:rFonts w:ascii="Times New Roman" w:hAnsi="Times New Roman" w:cs="Times New Roman"/>
          <w:b/>
          <w:sz w:val="36"/>
          <w:lang w:eastAsia="zh-CN"/>
        </w:rPr>
      </w:pPr>
    </w:p>
    <w:p w14:paraId="48E4880B">
      <w:pPr>
        <w:spacing w:after="0" w:line="360" w:lineRule="auto"/>
        <w:jc w:val="center"/>
        <w:rPr>
          <w:rFonts w:ascii="Times New Roman" w:hAnsi="Times New Roman" w:cs="Times New Roman"/>
          <w:b/>
          <w:sz w:val="36"/>
          <w:lang w:eastAsia="zh-CN"/>
        </w:rPr>
      </w:pPr>
    </w:p>
    <w:p w14:paraId="573DC678">
      <w:pPr>
        <w:tabs>
          <w:tab w:val="left" w:pos="1060"/>
          <w:tab w:val="left" w:pos="1310"/>
          <w:tab w:val="center" w:pos="4150"/>
          <w:tab w:val="right" w:pos="8306"/>
        </w:tabs>
        <w:snapToGrid w:val="0"/>
        <w:spacing w:before="360" w:beforeLines="150" w:after="360" w:afterLines="150" w:line="240" w:lineRule="auto"/>
        <w:jc w:val="center"/>
        <w:rPr>
          <w:rFonts w:ascii="Times New Roman" w:hAnsi="Times New Roman" w:eastAsia="等线" w:cs="Times New Roman"/>
          <w:sz w:val="18"/>
          <w:szCs w:val="18"/>
          <w:lang w:eastAsia="zh-CN"/>
        </w:rPr>
      </w:pPr>
      <w:r>
        <w:rPr>
          <w:rFonts w:ascii="Times New Roman" w:hAnsi="Times New Roman" w:eastAsia="等线" w:cs="Times New Roman"/>
          <w:sz w:val="18"/>
          <w:szCs w:val="18"/>
          <w:lang w:eastAsia="zh-CN"/>
        </w:rPr>
        <w:drawing>
          <wp:inline distT="0" distB="0" distL="0" distR="0">
            <wp:extent cx="2481580" cy="609600"/>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481580" cy="609600"/>
                    </a:xfrm>
                    <a:prstGeom prst="rect">
                      <a:avLst/>
                    </a:prstGeom>
                    <a:noFill/>
                  </pic:spPr>
                </pic:pic>
              </a:graphicData>
            </a:graphic>
          </wp:inline>
        </w:drawing>
      </w:r>
    </w:p>
    <w:p w14:paraId="0D1D29E6">
      <w:pPr>
        <w:pStyle w:val="2"/>
        <w:ind w:right="220" w:firstLine="0" w:firstLineChars="0"/>
        <w:jc w:val="center"/>
        <w:rPr>
          <w:b w:val="0"/>
        </w:rPr>
        <w:sectPr>
          <w:headerReference r:id="rId5" w:type="default"/>
          <w:footerReference r:id="rId6" w:type="default"/>
          <w:footerReference r:id="rId7" w:type="even"/>
          <w:pgSz w:w="11920" w:h="16860"/>
          <w:pgMar w:top="1440" w:right="1800" w:bottom="1440" w:left="1800" w:header="880" w:footer="0" w:gutter="0"/>
          <w:cols w:space="720" w:num="1"/>
          <w:titlePg/>
          <w:docGrid w:linePitch="299" w:charSpace="0"/>
        </w:sectPr>
      </w:pPr>
      <w:r>
        <w:rPr>
          <w:rFonts w:hint="eastAsia" w:ascii="Times New Roman" w:hAnsi="Times New Roman" w:cs="Times New Roman" w:eastAsiaTheme="majorEastAsia"/>
          <w:b w:val="0"/>
          <w:color w:val="auto"/>
          <w:sz w:val="21"/>
          <w:szCs w:val="21"/>
        </w:rPr>
        <w:t xml:space="preserve"> </w:t>
      </w:r>
      <w:r>
        <w:rPr>
          <w:rFonts w:ascii="Times New Roman" w:hAnsi="Times New Roman" w:cs="Times New Roman" w:eastAsiaTheme="majorEastAsia"/>
          <w:b w:val="0"/>
          <w:color w:val="auto"/>
          <w:sz w:val="21"/>
          <w:szCs w:val="21"/>
        </w:rPr>
        <w:t xml:space="preserve">    二〇</w:t>
      </w:r>
      <w:r>
        <w:rPr>
          <w:rFonts w:hint="eastAsia" w:ascii="Times New Roman" w:hAnsi="Times New Roman" w:cs="Times New Roman" w:eastAsiaTheme="majorEastAsia"/>
          <w:b w:val="0"/>
          <w:color w:val="auto"/>
          <w:sz w:val="21"/>
          <w:szCs w:val="21"/>
        </w:rPr>
        <w:t>二六</w:t>
      </w:r>
      <w:r>
        <w:rPr>
          <w:rFonts w:ascii="Times New Roman" w:hAnsi="Times New Roman" w:cs="Times New Roman" w:eastAsiaTheme="majorEastAsia"/>
          <w:b w:val="0"/>
          <w:color w:val="auto"/>
          <w:sz w:val="21"/>
          <w:szCs w:val="21"/>
        </w:rPr>
        <w:t>年</w:t>
      </w:r>
      <w:r>
        <w:rPr>
          <w:rFonts w:hint="eastAsia" w:ascii="Times New Roman" w:hAnsi="Times New Roman" w:cs="Times New Roman" w:eastAsiaTheme="majorEastAsia"/>
          <w:b w:val="0"/>
          <w:color w:val="auto"/>
          <w:sz w:val="21"/>
          <w:szCs w:val="21"/>
        </w:rPr>
        <w:t>九</w:t>
      </w:r>
      <w:r>
        <w:rPr>
          <w:rFonts w:ascii="Times New Roman" w:hAnsi="Times New Roman" w:cs="Times New Roman" w:eastAsiaTheme="majorEastAsia"/>
          <w:b w:val="0"/>
          <w:color w:val="auto"/>
          <w:sz w:val="21"/>
          <w:szCs w:val="21"/>
        </w:rPr>
        <w:t>月</w:t>
      </w:r>
    </w:p>
    <w:p w14:paraId="13FC50AD">
      <w:pPr>
        <w:adjustRightInd w:val="0"/>
        <w:snapToGrid w:val="0"/>
        <w:spacing w:after="0" w:line="360" w:lineRule="auto"/>
        <w:jc w:val="center"/>
        <w:rPr>
          <w:rFonts w:ascii="Times New Roman" w:hAnsi="Times New Roman" w:eastAsia="宋体" w:cs="Times New Roman"/>
          <w:b/>
          <w:kern w:val="2"/>
          <w:sz w:val="30"/>
          <w:szCs w:val="30"/>
          <w:lang w:eastAsia="zh-CN"/>
        </w:rPr>
      </w:pPr>
      <w:r>
        <w:rPr>
          <w:rFonts w:ascii="Times New Roman" w:hAnsi="Times New Roman" w:eastAsia="宋体" w:cs="Times New Roman"/>
          <w:b/>
          <w:kern w:val="2"/>
          <w:sz w:val="30"/>
          <w:szCs w:val="30"/>
          <w:lang w:eastAsia="zh-CN"/>
        </w:rPr>
        <w:t>上海君澜律师事务所</w:t>
      </w:r>
    </w:p>
    <w:p w14:paraId="75E7D3AC">
      <w:pPr>
        <w:adjustRightInd w:val="0"/>
        <w:snapToGrid w:val="0"/>
        <w:spacing w:after="0" w:line="360" w:lineRule="auto"/>
        <w:jc w:val="center"/>
        <w:rPr>
          <w:rFonts w:ascii="Times New Roman" w:hAnsi="Times New Roman" w:eastAsia="宋体" w:cs="Times New Roman"/>
          <w:b/>
          <w:kern w:val="2"/>
          <w:sz w:val="30"/>
          <w:szCs w:val="30"/>
          <w:lang w:eastAsia="zh-CN"/>
        </w:rPr>
      </w:pPr>
      <w:r>
        <w:rPr>
          <w:rFonts w:ascii="Times New Roman" w:hAnsi="Times New Roman" w:eastAsia="宋体" w:cs="Times New Roman"/>
          <w:b/>
          <w:kern w:val="2"/>
          <w:sz w:val="30"/>
          <w:szCs w:val="30"/>
          <w:lang w:eastAsia="zh-CN"/>
        </w:rPr>
        <w:t>关于</w:t>
      </w:r>
      <w:r>
        <w:rPr>
          <w:rFonts w:hint="eastAsia" w:ascii="Times New Roman" w:hAnsi="Times New Roman" w:eastAsia="宋体" w:cs="Times New Roman"/>
          <w:b/>
          <w:kern w:val="2"/>
          <w:sz w:val="30"/>
          <w:szCs w:val="30"/>
          <w:lang w:eastAsia="zh-CN"/>
        </w:rPr>
        <w:t>广东天亿马信息产业股份有限公司</w:t>
      </w:r>
    </w:p>
    <w:p w14:paraId="3200AE09">
      <w:pPr>
        <w:adjustRightInd w:val="0"/>
        <w:snapToGrid w:val="0"/>
        <w:spacing w:after="0" w:line="360" w:lineRule="auto"/>
        <w:jc w:val="center"/>
        <w:rPr>
          <w:rFonts w:ascii="Times New Roman" w:hAnsi="Times New Roman" w:eastAsia="宋体" w:cs="Times New Roman"/>
          <w:b/>
          <w:kern w:val="2"/>
          <w:sz w:val="30"/>
          <w:szCs w:val="30"/>
          <w:lang w:eastAsia="zh-CN"/>
        </w:rPr>
      </w:pPr>
      <w:r>
        <w:rPr>
          <w:rFonts w:hint="eastAsia" w:ascii="Times New Roman" w:hAnsi="Times New Roman" w:eastAsia="宋体" w:cs="Times New Roman"/>
          <w:b/>
          <w:kern w:val="2"/>
          <w:sz w:val="30"/>
          <w:szCs w:val="30"/>
          <w:lang w:eastAsia="zh-CN"/>
        </w:rPr>
        <w:t>2026年员工持股计划（草案）之</w:t>
      </w:r>
    </w:p>
    <w:p w14:paraId="63041152">
      <w:pPr>
        <w:adjustRightInd w:val="0"/>
        <w:snapToGrid w:val="0"/>
        <w:spacing w:after="240" w:afterLines="100" w:line="360" w:lineRule="auto"/>
        <w:jc w:val="center"/>
        <w:rPr>
          <w:rFonts w:ascii="Times New Roman" w:hAnsi="Times New Roman" w:eastAsia="宋体" w:cs="Times New Roman"/>
          <w:b/>
          <w:color w:val="000000"/>
          <w:kern w:val="2"/>
          <w:sz w:val="24"/>
          <w:lang w:eastAsia="zh-CN"/>
        </w:rPr>
      </w:pPr>
      <w:r>
        <w:rPr>
          <w:rFonts w:ascii="Times New Roman" w:hAnsi="Times New Roman" w:eastAsia="宋体" w:cs="Times New Roman"/>
          <w:b/>
          <w:kern w:val="2"/>
          <w:sz w:val="30"/>
          <w:szCs w:val="30"/>
          <w:lang w:eastAsia="zh-CN"/>
        </w:rPr>
        <w:t>法律意见书</w:t>
      </w:r>
    </w:p>
    <w:p w14:paraId="4B478EDB">
      <w:pPr>
        <w:widowControl/>
        <w:spacing w:after="240" w:afterLines="100" w:line="360" w:lineRule="auto"/>
        <w:rPr>
          <w:rFonts w:ascii="Times New Roman" w:hAnsi="Times New Roman" w:eastAsia="宋体" w:cs="Times New Roman"/>
          <w:b/>
          <w:color w:val="000000"/>
          <w:kern w:val="2"/>
          <w:sz w:val="24"/>
          <w:szCs w:val="24"/>
          <w:lang w:eastAsia="zh-CN"/>
        </w:rPr>
      </w:pPr>
      <w:r>
        <w:rPr>
          <w:rFonts w:ascii="Times New Roman" w:hAnsi="Times New Roman" w:eastAsia="宋体" w:cs="Times New Roman"/>
          <w:b/>
          <w:color w:val="000000"/>
          <w:kern w:val="2"/>
          <w:sz w:val="24"/>
          <w:lang w:eastAsia="zh-CN"/>
        </w:rPr>
        <w:t>致：</w:t>
      </w:r>
      <w:r>
        <w:rPr>
          <w:rFonts w:hint="eastAsia" w:ascii="Times New Roman" w:hAnsi="Times New Roman" w:eastAsia="宋体" w:cs="Times New Roman"/>
          <w:b/>
          <w:color w:val="000000"/>
          <w:kern w:val="2"/>
          <w:sz w:val="24"/>
          <w:szCs w:val="24"/>
          <w:lang w:eastAsia="zh-CN"/>
        </w:rPr>
        <w:t>广东天亿马信息产业股份有限公司</w:t>
      </w:r>
    </w:p>
    <w:p w14:paraId="372F9706">
      <w:pPr>
        <w:widowControl/>
        <w:spacing w:before="240" w:beforeLines="100" w:after="240" w:afterLines="100" w:line="360" w:lineRule="auto"/>
        <w:ind w:firstLine="480" w:firstLineChars="200"/>
        <w:jc w:val="both"/>
        <w:rPr>
          <w:rFonts w:ascii="Times New Roman" w:hAnsi="Times New Roman" w:eastAsia="宋体" w:cs="Times New Roman"/>
          <w:color w:val="000000"/>
          <w:kern w:val="2"/>
          <w:sz w:val="24"/>
          <w:szCs w:val="24"/>
          <w:lang w:eastAsia="zh-CN"/>
        </w:rPr>
      </w:pPr>
      <w:r>
        <w:rPr>
          <w:rFonts w:ascii="Times New Roman" w:hAnsi="Times New Roman" w:eastAsia="宋体" w:cs="Times New Roman"/>
          <w:color w:val="000000"/>
          <w:sz w:val="24"/>
          <w:szCs w:val="24"/>
          <w:lang w:eastAsia="zh-CN"/>
        </w:rPr>
        <w:t>上海君澜律师事务所（以下简称</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本所</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w:t>
      </w:r>
      <w:r>
        <w:rPr>
          <w:rFonts w:ascii="Times New Roman" w:hAnsi="Times New Roman" w:eastAsia="宋体" w:cs="Times New Roman"/>
          <w:color w:val="000000"/>
          <w:kern w:val="2"/>
          <w:sz w:val="24"/>
          <w:szCs w:val="24"/>
          <w:lang w:eastAsia="zh-CN"/>
        </w:rPr>
        <w:t>接受</w:t>
      </w:r>
      <w:r>
        <w:rPr>
          <w:rFonts w:hint="eastAsia" w:ascii="Times New Roman" w:hAnsi="Times New Roman" w:eastAsia="宋体" w:cs="Times New Roman"/>
          <w:bCs/>
          <w:color w:val="000000"/>
          <w:kern w:val="2"/>
          <w:sz w:val="24"/>
          <w:szCs w:val="24"/>
          <w:lang w:eastAsia="zh-CN"/>
        </w:rPr>
        <w:t>广东天亿马信息产业股份有限公司</w:t>
      </w:r>
      <w:r>
        <w:rPr>
          <w:rFonts w:ascii="Times New Roman" w:hAnsi="Times New Roman" w:eastAsia="宋体" w:cs="Times New Roman"/>
          <w:color w:val="000000"/>
          <w:kern w:val="2"/>
          <w:sz w:val="24"/>
          <w:szCs w:val="24"/>
          <w:lang w:eastAsia="zh-CN"/>
        </w:rPr>
        <w:t>（以下简称</w:t>
      </w:r>
      <w:r>
        <w:rPr>
          <w:rFonts w:hint="eastAsia" w:ascii="Times New Roman" w:hAnsi="Times New Roman" w:eastAsia="宋体" w:cs="Times New Roman"/>
          <w:color w:val="000000"/>
          <w:kern w:val="2"/>
          <w:sz w:val="24"/>
          <w:szCs w:val="24"/>
          <w:lang w:eastAsia="zh-CN"/>
        </w:rPr>
        <w:t>“</w:t>
      </w:r>
      <w:r>
        <w:rPr>
          <w:rFonts w:hint="eastAsia" w:ascii="Times New Roman" w:hAnsi="Times New Roman" w:eastAsia="宋体" w:cs="Times New Roman"/>
          <w:bCs/>
          <w:color w:val="000000"/>
          <w:kern w:val="2"/>
          <w:sz w:val="24"/>
          <w:szCs w:val="24"/>
          <w:lang w:eastAsia="zh-CN"/>
        </w:rPr>
        <w:t>天亿马</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或</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公司</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）的委托，根据《中华人民共和国公司法》《中华人民共和国证券法》《关于上市公司实施员工持股计划试点的指导意见》（以下简称</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《试点指导意见》</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w:t>
      </w:r>
      <w:r>
        <w:rPr>
          <w:rFonts w:hint="eastAsia" w:ascii="Times New Roman" w:hAnsi="Times New Roman" w:eastAsia="宋体" w:cs="Times New Roman"/>
          <w:color w:val="000000"/>
          <w:kern w:val="2"/>
          <w:sz w:val="24"/>
          <w:szCs w:val="24"/>
          <w:lang w:eastAsia="zh-CN"/>
        </w:rPr>
        <w:t>深圳证券交易所上市公司自律监管指引第2号—创业板上市公司规范运作</w:t>
      </w:r>
      <w:r>
        <w:rPr>
          <w:rFonts w:ascii="Times New Roman" w:hAnsi="Times New Roman" w:eastAsia="宋体" w:cs="Times New Roman"/>
          <w:color w:val="000000"/>
          <w:kern w:val="2"/>
          <w:sz w:val="24"/>
          <w:szCs w:val="24"/>
          <w:lang w:eastAsia="zh-CN"/>
        </w:rPr>
        <w:t>》（以下简称</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w:t>
      </w:r>
      <w:r>
        <w:rPr>
          <w:rFonts w:hint="eastAsia" w:ascii="Times New Roman" w:hAnsi="Times New Roman" w:eastAsia="宋体" w:cs="Times New Roman"/>
          <w:color w:val="000000"/>
          <w:kern w:val="2"/>
          <w:sz w:val="24"/>
          <w:szCs w:val="24"/>
          <w:lang w:eastAsia="zh-CN"/>
        </w:rPr>
        <w:t>监管</w:t>
      </w:r>
      <w:r>
        <w:rPr>
          <w:rFonts w:ascii="Times New Roman" w:hAnsi="Times New Roman" w:eastAsia="宋体" w:cs="Times New Roman"/>
          <w:color w:val="000000"/>
          <w:kern w:val="2"/>
          <w:sz w:val="24"/>
          <w:szCs w:val="24"/>
          <w:lang w:eastAsia="zh-CN"/>
        </w:rPr>
        <w:t>指引》</w:t>
      </w:r>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w:t>
      </w:r>
      <w:r>
        <w:rPr>
          <w:rFonts w:hint="eastAsia" w:ascii="Times New Roman" w:hAnsi="Times New Roman" w:eastAsia="宋体" w:cs="Times New Roman"/>
          <w:color w:val="000000"/>
          <w:kern w:val="2"/>
          <w:sz w:val="24"/>
          <w:szCs w:val="24"/>
          <w:lang w:eastAsia="zh-CN"/>
        </w:rPr>
        <w:t>及</w:t>
      </w:r>
      <w:r>
        <w:rPr>
          <w:rFonts w:ascii="Times New Roman" w:hAnsi="Times New Roman" w:eastAsia="宋体" w:cs="Times New Roman"/>
          <w:color w:val="000000"/>
          <w:kern w:val="2"/>
          <w:sz w:val="24"/>
          <w:szCs w:val="24"/>
          <w:lang w:eastAsia="zh-CN"/>
        </w:rPr>
        <w:t>《</w:t>
      </w:r>
      <w:r>
        <w:rPr>
          <w:rFonts w:hint="eastAsia" w:ascii="Times New Roman" w:hAnsi="Times New Roman" w:eastAsia="宋体" w:cs="Times New Roman"/>
          <w:bCs/>
          <w:color w:val="000000"/>
          <w:kern w:val="2"/>
          <w:sz w:val="24"/>
          <w:szCs w:val="24"/>
          <w:lang w:eastAsia="zh-CN"/>
        </w:rPr>
        <w:t>广东天亿马信息产业股份有限公司</w:t>
      </w:r>
      <w:r>
        <w:rPr>
          <w:rFonts w:ascii="Times New Roman" w:hAnsi="Times New Roman" w:eastAsia="宋体" w:cs="Times New Roman"/>
          <w:color w:val="000000"/>
          <w:kern w:val="2"/>
          <w:sz w:val="24"/>
          <w:szCs w:val="24"/>
          <w:lang w:eastAsia="zh-CN"/>
        </w:rPr>
        <w:t>章程》</w:t>
      </w:r>
      <w:r>
        <w:rPr>
          <w:rFonts w:hint="eastAsia" w:ascii="Times New Roman" w:hAnsi="Times New Roman" w:eastAsia="宋体" w:cs="Times New Roman"/>
          <w:color w:val="000000"/>
          <w:kern w:val="2"/>
          <w:sz w:val="24"/>
          <w:szCs w:val="24"/>
          <w:lang w:eastAsia="zh-CN"/>
        </w:rPr>
        <w:t>（以下简称“《公司章程》”）</w:t>
      </w:r>
      <w:r>
        <w:rPr>
          <w:rFonts w:ascii="Times New Roman" w:hAnsi="Times New Roman" w:eastAsia="宋体" w:cs="Times New Roman"/>
          <w:color w:val="000000"/>
          <w:kern w:val="2"/>
          <w:sz w:val="24"/>
          <w:szCs w:val="24"/>
          <w:lang w:eastAsia="zh-CN"/>
        </w:rPr>
        <w:t>等相关规定，就</w:t>
      </w:r>
      <w:r>
        <w:rPr>
          <w:rFonts w:hint="eastAsia" w:ascii="Times New Roman" w:hAnsi="Times New Roman" w:eastAsia="宋体" w:cs="Times New Roman"/>
          <w:color w:val="000000"/>
          <w:kern w:val="2"/>
          <w:sz w:val="24"/>
          <w:szCs w:val="24"/>
          <w:lang w:eastAsia="zh-CN"/>
        </w:rPr>
        <w:t>《</w:t>
      </w:r>
      <w:r>
        <w:rPr>
          <w:rFonts w:hint="eastAsia" w:ascii="Times New Roman" w:hAnsi="Times New Roman" w:eastAsia="宋体" w:cs="Times New Roman"/>
          <w:bCs/>
          <w:color w:val="000000"/>
          <w:kern w:val="2"/>
          <w:sz w:val="24"/>
          <w:szCs w:val="24"/>
          <w:lang w:eastAsia="zh-CN"/>
        </w:rPr>
        <w:t>广东天亿马信息产业股份有限公司</w:t>
      </w:r>
      <w:r>
        <w:rPr>
          <w:rFonts w:hint="eastAsia" w:ascii="Times New Roman" w:hAnsi="Times New Roman" w:eastAsia="宋体" w:cs="Times New Roman"/>
          <w:color w:val="000000"/>
          <w:kern w:val="2"/>
          <w:sz w:val="24"/>
          <w:szCs w:val="24"/>
          <w:lang w:eastAsia="zh-CN"/>
        </w:rPr>
        <w:t>2026年员工持股计划（草案）》</w:t>
      </w:r>
      <w:r>
        <w:rPr>
          <w:rFonts w:ascii="Times New Roman" w:hAnsi="Times New Roman" w:eastAsia="宋体" w:cs="Times New Roman"/>
          <w:color w:val="000000"/>
          <w:kern w:val="2"/>
          <w:sz w:val="24"/>
          <w:szCs w:val="24"/>
          <w:lang w:eastAsia="zh-CN"/>
        </w:rPr>
        <w:t>（以下简称</w:t>
      </w:r>
      <w:r>
        <w:rPr>
          <w:rFonts w:hint="eastAsia" w:ascii="Times New Roman" w:hAnsi="Times New Roman" w:eastAsia="宋体" w:cs="Times New Roman"/>
          <w:color w:val="000000"/>
          <w:kern w:val="2"/>
          <w:sz w:val="24"/>
          <w:szCs w:val="24"/>
          <w:lang w:eastAsia="zh-CN"/>
        </w:rPr>
        <w:t>“本次员工</w:t>
      </w:r>
      <w:r>
        <w:rPr>
          <w:rFonts w:ascii="Times New Roman" w:hAnsi="Times New Roman" w:eastAsia="宋体" w:cs="Times New Roman"/>
          <w:color w:val="000000"/>
          <w:kern w:val="2"/>
          <w:sz w:val="24"/>
          <w:szCs w:val="24"/>
          <w:lang w:eastAsia="zh-CN"/>
        </w:rPr>
        <w:t>持股计划</w:t>
      </w:r>
      <w:r>
        <w:rPr>
          <w:rFonts w:hint="eastAsia" w:ascii="Times New Roman" w:hAnsi="Times New Roman" w:eastAsia="宋体" w:cs="Times New Roman"/>
          <w:color w:val="000000"/>
          <w:kern w:val="2"/>
          <w:sz w:val="24"/>
          <w:szCs w:val="24"/>
          <w:lang w:eastAsia="zh-CN"/>
        </w:rPr>
        <w:t>”或“《</w:t>
      </w:r>
      <w:bookmarkStart w:id="1" w:name="_Hlk143163551"/>
      <w:r>
        <w:rPr>
          <w:rFonts w:hint="eastAsia" w:ascii="Times New Roman" w:hAnsi="Times New Roman" w:eastAsia="宋体" w:cs="Times New Roman"/>
          <w:color w:val="000000"/>
          <w:kern w:val="2"/>
          <w:sz w:val="24"/>
          <w:szCs w:val="24"/>
          <w:lang w:eastAsia="zh-CN"/>
        </w:rPr>
        <w:t>员工持股计划（草案）</w:t>
      </w:r>
      <w:bookmarkEnd w:id="1"/>
      <w:r>
        <w:rPr>
          <w:rFonts w:hint="eastAsia" w:ascii="Times New Roman" w:hAnsi="Times New Roman" w:eastAsia="宋体" w:cs="Times New Roman"/>
          <w:color w:val="000000"/>
          <w:kern w:val="2"/>
          <w:sz w:val="24"/>
          <w:szCs w:val="24"/>
          <w:lang w:eastAsia="zh-CN"/>
        </w:rPr>
        <w:t>》”</w:t>
      </w:r>
      <w:r>
        <w:rPr>
          <w:rFonts w:ascii="Times New Roman" w:hAnsi="Times New Roman" w:eastAsia="宋体" w:cs="Times New Roman"/>
          <w:color w:val="000000"/>
          <w:kern w:val="2"/>
          <w:sz w:val="24"/>
          <w:szCs w:val="24"/>
          <w:lang w:eastAsia="zh-CN"/>
        </w:rPr>
        <w:t>）</w:t>
      </w:r>
      <w:r>
        <w:rPr>
          <w:rFonts w:hint="eastAsia" w:ascii="Times New Roman" w:hAnsi="Times New Roman" w:eastAsia="宋体" w:cs="Times New Roman"/>
          <w:color w:val="000000"/>
          <w:kern w:val="2"/>
          <w:sz w:val="24"/>
          <w:szCs w:val="24"/>
          <w:lang w:eastAsia="zh-CN"/>
        </w:rPr>
        <w:t>的相关</w:t>
      </w:r>
      <w:r>
        <w:rPr>
          <w:rFonts w:ascii="Times New Roman" w:hAnsi="Times New Roman" w:eastAsia="宋体" w:cs="Times New Roman"/>
          <w:color w:val="000000"/>
          <w:kern w:val="2"/>
          <w:sz w:val="24"/>
          <w:szCs w:val="24"/>
          <w:lang w:eastAsia="zh-CN"/>
        </w:rPr>
        <w:t>事项出具本法律意见书。</w:t>
      </w:r>
    </w:p>
    <w:p w14:paraId="58D8FD0A">
      <w:pPr>
        <w:widowControl/>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ascii="Times New Roman" w:hAnsi="Times New Roman" w:eastAsia="宋体" w:cs="Times New Roman"/>
          <w:color w:val="000000"/>
          <w:sz w:val="24"/>
          <w:szCs w:val="24"/>
          <w:lang w:eastAsia="zh-CN"/>
        </w:rPr>
        <w:t>对本法律意见书，本所律师声明如下：</w:t>
      </w:r>
    </w:p>
    <w:p w14:paraId="28CA6162">
      <w:pPr>
        <w:widowControl/>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kern w:val="2"/>
          <w:sz w:val="24"/>
          <w:szCs w:val="24"/>
          <w:lang w:eastAsia="zh-CN"/>
        </w:rPr>
        <w:t>（一）</w:t>
      </w:r>
      <w:r>
        <w:rPr>
          <w:rFonts w:ascii="Times New Roman" w:hAnsi="Times New Roman" w:eastAsia="宋体" w:cs="Times New Roman"/>
          <w:color w:val="000000"/>
          <w:kern w:val="2"/>
          <w:sz w:val="24"/>
          <w:szCs w:val="24"/>
          <w:lang w:eastAsia="zh-CN"/>
        </w:rPr>
        <w:t>本所律师依据《</w:t>
      </w:r>
      <w:r>
        <w:rPr>
          <w:rFonts w:hint="eastAsia" w:ascii="Times New Roman" w:hAnsi="Times New Roman" w:eastAsia="宋体" w:cs="Times New Roman"/>
          <w:color w:val="000000"/>
          <w:kern w:val="2"/>
          <w:sz w:val="24"/>
          <w:szCs w:val="24"/>
          <w:lang w:eastAsia="zh-CN"/>
        </w:rPr>
        <w:t>中华人民共和国</w:t>
      </w:r>
      <w:r>
        <w:rPr>
          <w:rFonts w:ascii="Times New Roman" w:hAnsi="Times New Roman" w:eastAsia="宋体" w:cs="Times New Roman"/>
          <w:color w:val="000000"/>
          <w:kern w:val="2"/>
          <w:sz w:val="24"/>
          <w:szCs w:val="24"/>
          <w:lang w:eastAsia="zh-CN"/>
        </w:rPr>
        <w:t>证券法》《律师事务所从事证券法律业务管理办法》和《律师事务所证券法律业务执业规则（试行）》等规定及本法律意见书出具日以前已经发生或者存在的事实，严格履行了法定职责，遵循了勤勉尽责和诚实信用原则，进行了充分的核查验证，保证本法律意见所认定的事实真实、准确、完整，所发表的结论性意见合法、准确，不存在虚假记载、误导性陈述或者重大遗漏，并承担相应法律责任。</w:t>
      </w:r>
    </w:p>
    <w:p w14:paraId="1F96FD93">
      <w:pPr>
        <w:widowControl/>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kern w:val="2"/>
          <w:sz w:val="24"/>
          <w:szCs w:val="24"/>
          <w:lang w:eastAsia="zh-CN"/>
        </w:rPr>
        <w:t>（二）</w:t>
      </w:r>
      <w:r>
        <w:rPr>
          <w:rFonts w:ascii="Times New Roman" w:hAnsi="Times New Roman" w:eastAsia="宋体" w:cs="Times New Roman"/>
          <w:color w:val="000000"/>
          <w:kern w:val="2"/>
          <w:sz w:val="24"/>
          <w:szCs w:val="24"/>
          <w:lang w:eastAsia="zh-CN"/>
        </w:rPr>
        <w:t>本所已得到</w:t>
      </w:r>
      <w:r>
        <w:rPr>
          <w:rFonts w:hint="eastAsia" w:ascii="Times New Roman" w:hAnsi="Times New Roman" w:eastAsia="宋体" w:cs="Times New Roman"/>
          <w:bCs/>
          <w:color w:val="000000"/>
          <w:kern w:val="2"/>
          <w:sz w:val="24"/>
          <w:szCs w:val="24"/>
          <w:lang w:eastAsia="zh-CN"/>
        </w:rPr>
        <w:t>天亿马</w:t>
      </w:r>
      <w:r>
        <w:rPr>
          <w:rFonts w:ascii="Times New Roman" w:hAnsi="Times New Roman" w:eastAsia="宋体" w:cs="Times New Roman"/>
          <w:color w:val="000000"/>
          <w:kern w:val="2"/>
          <w:sz w:val="24"/>
          <w:szCs w:val="24"/>
          <w:lang w:eastAsia="zh-CN"/>
        </w:rPr>
        <w:t>如下保证：</w:t>
      </w:r>
      <w:r>
        <w:rPr>
          <w:rFonts w:hint="eastAsia" w:ascii="Times New Roman" w:hAnsi="Times New Roman" w:eastAsia="宋体" w:cs="Times New Roman"/>
          <w:bCs/>
          <w:color w:val="000000"/>
          <w:kern w:val="2"/>
          <w:sz w:val="24"/>
          <w:szCs w:val="24"/>
          <w:lang w:eastAsia="zh-CN"/>
        </w:rPr>
        <w:t>天亿马</w:t>
      </w:r>
      <w:r>
        <w:rPr>
          <w:rFonts w:ascii="Times New Roman" w:hAnsi="Times New Roman" w:eastAsia="宋体" w:cs="Times New Roman"/>
          <w:color w:val="000000"/>
          <w:kern w:val="2"/>
          <w:sz w:val="24"/>
          <w:szCs w:val="24"/>
          <w:lang w:eastAsia="zh-CN"/>
        </w:rPr>
        <w:t>向本所律师提供了为出具本法律意见书所必需的全部文件，所有文件真实、完整、合法、有效，所有文件的副本或复印件均与正本或原件相符，所有文件上的签名、印章均为真实；且一切足以影响本所律师做出法律判断的事实和文件均已披露，并无任何隐瞒、误导、疏漏之处。</w:t>
      </w:r>
    </w:p>
    <w:p w14:paraId="139FE8A9">
      <w:pPr>
        <w:widowControl/>
        <w:spacing w:before="240" w:beforeLines="100" w:after="240" w:afterLines="100" w:line="360" w:lineRule="auto"/>
        <w:ind w:left="-17" w:firstLine="471"/>
        <w:jc w:val="both"/>
        <w:rPr>
          <w:rFonts w:ascii="Times New Roman" w:hAnsi="Times New Roman" w:eastAsia="宋体" w:cs="Times New Roman"/>
          <w:color w:val="000000"/>
          <w:kern w:val="2"/>
          <w:sz w:val="24"/>
          <w:szCs w:val="24"/>
          <w:lang w:eastAsia="zh-CN"/>
        </w:rPr>
      </w:pPr>
      <w:r>
        <w:rPr>
          <w:rFonts w:hint="eastAsia" w:ascii="Times New Roman" w:hAnsi="Times New Roman" w:eastAsia="宋体" w:cs="Times New Roman"/>
          <w:color w:val="000000"/>
          <w:kern w:val="2"/>
          <w:sz w:val="24"/>
          <w:szCs w:val="24"/>
          <w:lang w:eastAsia="zh-CN"/>
        </w:rPr>
        <w:t>（三）</w:t>
      </w:r>
      <w:r>
        <w:rPr>
          <w:rFonts w:ascii="Times New Roman" w:hAnsi="Times New Roman" w:eastAsia="宋体" w:cs="Times New Roman"/>
          <w:color w:val="000000"/>
          <w:kern w:val="2"/>
          <w:sz w:val="24"/>
          <w:szCs w:val="24"/>
          <w:lang w:eastAsia="zh-CN"/>
        </w:rPr>
        <w:t>本所</w:t>
      </w:r>
      <w:r>
        <w:rPr>
          <w:rFonts w:hint="eastAsia" w:ascii="Times New Roman" w:hAnsi="Times New Roman" w:eastAsia="宋体" w:cs="Times New Roman"/>
          <w:color w:val="000000"/>
          <w:kern w:val="2"/>
          <w:sz w:val="24"/>
          <w:szCs w:val="24"/>
          <w:lang w:eastAsia="zh-CN"/>
        </w:rPr>
        <w:t>律师</w:t>
      </w:r>
      <w:r>
        <w:rPr>
          <w:rFonts w:ascii="Times New Roman" w:hAnsi="Times New Roman" w:eastAsia="宋体" w:cs="Times New Roman"/>
          <w:color w:val="000000"/>
          <w:kern w:val="2"/>
          <w:sz w:val="24"/>
          <w:szCs w:val="24"/>
          <w:lang w:eastAsia="zh-CN"/>
        </w:rPr>
        <w:t>仅就公司本</w:t>
      </w:r>
      <w:r>
        <w:rPr>
          <w:rFonts w:hint="eastAsia" w:ascii="Times New Roman" w:hAnsi="Times New Roman" w:eastAsia="宋体" w:cs="Times New Roman"/>
          <w:color w:val="000000"/>
          <w:kern w:val="2"/>
          <w:sz w:val="24"/>
          <w:szCs w:val="24"/>
          <w:lang w:eastAsia="zh-CN"/>
        </w:rPr>
        <w:t>次</w:t>
      </w:r>
      <w:r>
        <w:rPr>
          <w:rFonts w:ascii="Times New Roman" w:hAnsi="Times New Roman" w:eastAsia="宋体" w:cs="Times New Roman"/>
          <w:color w:val="000000"/>
          <w:kern w:val="2"/>
          <w:sz w:val="24"/>
          <w:szCs w:val="24"/>
          <w:lang w:eastAsia="zh-CN"/>
        </w:rPr>
        <w:t>员工持股计划的相关法律事项发表意见，而不对公司本次员工持股计划所涉及的标的价值、考核标准等方面的合理性以及会计、审计等专业事项发表意见，本所及经办律师不具备对该等专业事项进行核查和</w:t>
      </w:r>
      <w:r>
        <w:rPr>
          <w:rFonts w:hint="eastAsia" w:ascii="Times New Roman" w:hAnsi="Times New Roman" w:eastAsia="宋体" w:cs="Times New Roman"/>
          <w:color w:val="000000"/>
          <w:kern w:val="2"/>
          <w:sz w:val="24"/>
          <w:szCs w:val="24"/>
          <w:lang w:eastAsia="zh-CN"/>
        </w:rPr>
        <w:t>作出判断</w:t>
      </w:r>
      <w:r>
        <w:rPr>
          <w:rFonts w:ascii="Times New Roman" w:hAnsi="Times New Roman" w:eastAsia="宋体" w:cs="Times New Roman"/>
          <w:color w:val="000000"/>
          <w:kern w:val="2"/>
          <w:sz w:val="24"/>
          <w:szCs w:val="24"/>
          <w:lang w:eastAsia="zh-CN"/>
        </w:rPr>
        <w:t>的合法资格。本所及经办律师在本法律意见书中对与该等专业事项有关的报表、数据或对会计报告、审计报告等专业报告内容的引用，不意味着本所及经办律师对这些引用内容的真实性、有效性做出任何明示或默示的保证。</w:t>
      </w:r>
    </w:p>
    <w:p w14:paraId="11431E14">
      <w:pPr>
        <w:widowControl/>
        <w:spacing w:before="240" w:beforeLines="100" w:after="240" w:afterLines="100" w:line="360" w:lineRule="auto"/>
        <w:ind w:left="482"/>
        <w:jc w:val="both"/>
        <w:rPr>
          <w:rFonts w:ascii="Times New Roman" w:hAnsi="Times New Roman" w:eastAsia="宋体" w:cs="Times New Roman"/>
          <w:color w:val="000000"/>
          <w:kern w:val="2"/>
          <w:sz w:val="24"/>
          <w:szCs w:val="24"/>
          <w:lang w:eastAsia="zh-CN"/>
        </w:rPr>
      </w:pPr>
      <w:r>
        <w:rPr>
          <w:rFonts w:ascii="Times New Roman" w:hAnsi="Times New Roman" w:eastAsia="宋体" w:cs="Times New Roman"/>
          <w:color w:val="000000"/>
          <w:kern w:val="2"/>
          <w:sz w:val="24"/>
          <w:szCs w:val="24"/>
          <w:lang w:eastAsia="zh-CN"/>
        </w:rPr>
        <w:t>本法律意见书仅供本</w:t>
      </w:r>
      <w:r>
        <w:rPr>
          <w:rFonts w:hint="eastAsia" w:ascii="Times New Roman" w:hAnsi="Times New Roman" w:eastAsia="宋体" w:cs="Times New Roman"/>
          <w:color w:val="000000"/>
          <w:kern w:val="2"/>
          <w:sz w:val="24"/>
          <w:szCs w:val="24"/>
          <w:lang w:eastAsia="zh-CN"/>
        </w:rPr>
        <w:t>次</w:t>
      </w:r>
      <w:r>
        <w:rPr>
          <w:rFonts w:ascii="Times New Roman" w:hAnsi="Times New Roman" w:eastAsia="宋体" w:cs="Times New Roman"/>
          <w:color w:val="000000"/>
          <w:kern w:val="2"/>
          <w:sz w:val="24"/>
          <w:szCs w:val="24"/>
          <w:lang w:eastAsia="zh-CN"/>
        </w:rPr>
        <w:t>员工持股计划之目的使用，不得用作任何其他目的。</w:t>
      </w:r>
    </w:p>
    <w:p w14:paraId="32A68C59">
      <w:pPr>
        <w:widowControl/>
        <w:spacing w:before="240" w:beforeLines="100" w:after="240" w:afterLines="100" w:line="360" w:lineRule="auto"/>
        <w:ind w:left="-17" w:firstLine="471"/>
        <w:jc w:val="both"/>
        <w:rPr>
          <w:rFonts w:ascii="Times New Roman" w:hAnsi="Times New Roman" w:eastAsia="宋体" w:cs="Times New Roman"/>
          <w:color w:val="000000"/>
          <w:kern w:val="2"/>
          <w:sz w:val="24"/>
          <w:szCs w:val="24"/>
          <w:lang w:eastAsia="zh-CN"/>
        </w:rPr>
      </w:pPr>
      <w:r>
        <w:rPr>
          <w:rFonts w:ascii="Times New Roman" w:hAnsi="Times New Roman" w:eastAsia="宋体" w:cs="Times New Roman"/>
          <w:color w:val="000000"/>
          <w:kern w:val="2"/>
          <w:sz w:val="24"/>
          <w:szCs w:val="24"/>
          <w:lang w:eastAsia="zh-CN"/>
        </w:rPr>
        <w:t>本所律师同意将本法律意见书作为</w:t>
      </w:r>
      <w:r>
        <w:rPr>
          <w:rFonts w:hint="eastAsia" w:ascii="Times New Roman" w:hAnsi="Times New Roman" w:eastAsia="宋体" w:cs="Times New Roman"/>
          <w:bCs/>
          <w:color w:val="000000"/>
          <w:kern w:val="2"/>
          <w:sz w:val="24"/>
          <w:szCs w:val="24"/>
          <w:lang w:eastAsia="zh-CN"/>
        </w:rPr>
        <w:t>天亿马</w:t>
      </w:r>
      <w:r>
        <w:rPr>
          <w:rFonts w:ascii="Times New Roman" w:hAnsi="Times New Roman" w:eastAsia="宋体" w:cs="Times New Roman"/>
          <w:color w:val="000000"/>
          <w:kern w:val="2"/>
          <w:sz w:val="24"/>
          <w:szCs w:val="24"/>
          <w:lang w:eastAsia="zh-CN"/>
        </w:rPr>
        <w:t>本</w:t>
      </w:r>
      <w:r>
        <w:rPr>
          <w:rFonts w:hint="eastAsia" w:ascii="Times New Roman" w:hAnsi="Times New Roman" w:eastAsia="宋体" w:cs="Times New Roman"/>
          <w:color w:val="000000"/>
          <w:kern w:val="2"/>
          <w:sz w:val="24"/>
          <w:szCs w:val="24"/>
          <w:lang w:eastAsia="zh-CN"/>
        </w:rPr>
        <w:t>次</w:t>
      </w:r>
      <w:r>
        <w:rPr>
          <w:rFonts w:ascii="Times New Roman" w:hAnsi="Times New Roman" w:eastAsia="宋体" w:cs="Times New Roman"/>
          <w:color w:val="000000"/>
          <w:kern w:val="2"/>
          <w:sz w:val="24"/>
          <w:szCs w:val="24"/>
          <w:lang w:eastAsia="zh-CN"/>
        </w:rPr>
        <w:t>员工持股计划所必备的法律文件，随其他材料一同</w:t>
      </w:r>
      <w:r>
        <w:rPr>
          <w:rFonts w:hint="eastAsia" w:ascii="Times New Roman" w:hAnsi="Times New Roman" w:eastAsia="宋体" w:cs="Times New Roman"/>
          <w:color w:val="000000"/>
          <w:kern w:val="2"/>
          <w:sz w:val="24"/>
          <w:szCs w:val="24"/>
          <w:lang w:eastAsia="zh-CN"/>
        </w:rPr>
        <w:t>披露</w:t>
      </w:r>
      <w:r>
        <w:rPr>
          <w:rFonts w:ascii="Times New Roman" w:hAnsi="Times New Roman" w:eastAsia="宋体" w:cs="Times New Roman"/>
          <w:color w:val="000000"/>
          <w:kern w:val="2"/>
          <w:sz w:val="24"/>
          <w:szCs w:val="24"/>
          <w:lang w:eastAsia="zh-CN"/>
        </w:rPr>
        <w:t>，并依法对所出具的法律意见承担责任。</w:t>
      </w:r>
    </w:p>
    <w:p w14:paraId="54E2D146">
      <w:pPr>
        <w:widowControl/>
        <w:spacing w:before="240" w:beforeLines="100" w:after="240" w:afterLines="100" w:line="360" w:lineRule="auto"/>
        <w:ind w:left="-17" w:firstLine="471"/>
        <w:jc w:val="both"/>
        <w:rPr>
          <w:rFonts w:ascii="Times New Roman" w:hAnsi="Times New Roman" w:eastAsia="宋体" w:cs="Times New Roman"/>
          <w:color w:val="000000"/>
          <w:kern w:val="2"/>
          <w:sz w:val="24"/>
          <w:szCs w:val="24"/>
          <w:lang w:eastAsia="zh-CN"/>
        </w:rPr>
      </w:pPr>
      <w:r>
        <w:rPr>
          <w:rFonts w:ascii="Times New Roman" w:hAnsi="Times New Roman" w:eastAsia="宋体" w:cs="Times New Roman"/>
          <w:color w:val="000000"/>
          <w:kern w:val="2"/>
          <w:sz w:val="24"/>
          <w:szCs w:val="24"/>
          <w:lang w:eastAsia="zh-CN"/>
        </w:rPr>
        <w:t>本所律师按照律师行业公认的业务标准、道德规范和勤勉尽责精神，在对公司提供的有关文件和事实进行了充分核查验证的基础上，出具法律意见如下：</w:t>
      </w:r>
    </w:p>
    <w:p w14:paraId="64674944">
      <w:pPr>
        <w:keepNext/>
        <w:keepLines/>
        <w:widowControl/>
        <w:spacing w:before="240" w:beforeLines="100" w:after="240" w:afterLines="100" w:line="360" w:lineRule="auto"/>
        <w:ind w:right="220" w:rightChars="100" w:firstLine="423" w:firstLineChars="176"/>
        <w:outlineLvl w:val="0"/>
        <w:rPr>
          <w:rFonts w:ascii="Times New Roman" w:hAnsi="Times New Roman" w:eastAsia="宋体" w:cs="Times New Roman"/>
          <w:b/>
          <w:color w:val="000000"/>
          <w:kern w:val="2"/>
          <w:sz w:val="24"/>
          <w:szCs w:val="24"/>
          <w:lang w:eastAsia="zh-CN"/>
        </w:rPr>
      </w:pPr>
      <w:bookmarkStart w:id="2" w:name="_Toc496891828"/>
      <w:r>
        <w:rPr>
          <w:rFonts w:ascii="Times New Roman" w:hAnsi="Times New Roman" w:eastAsia="宋体" w:cs="Times New Roman"/>
          <w:b/>
          <w:color w:val="000000"/>
          <w:kern w:val="2"/>
          <w:sz w:val="24"/>
          <w:szCs w:val="24"/>
          <w:lang w:eastAsia="zh-CN"/>
        </w:rPr>
        <w:t>一、实施</w:t>
      </w:r>
      <w:r>
        <w:rPr>
          <w:rFonts w:hint="eastAsia" w:ascii="Times New Roman" w:hAnsi="Times New Roman" w:eastAsia="宋体" w:cs="Times New Roman"/>
          <w:b/>
          <w:color w:val="000000"/>
          <w:kern w:val="2"/>
          <w:sz w:val="24"/>
          <w:szCs w:val="24"/>
          <w:lang w:eastAsia="zh-CN"/>
        </w:rPr>
        <w:t>本次员工持股</w:t>
      </w:r>
      <w:r>
        <w:rPr>
          <w:rFonts w:ascii="Times New Roman" w:hAnsi="Times New Roman" w:eastAsia="宋体" w:cs="Times New Roman"/>
          <w:b/>
          <w:color w:val="000000"/>
          <w:kern w:val="2"/>
          <w:sz w:val="24"/>
          <w:szCs w:val="24"/>
          <w:lang w:eastAsia="zh-CN"/>
        </w:rPr>
        <w:t>计划的主体资格</w:t>
      </w:r>
      <w:bookmarkEnd w:id="2"/>
    </w:p>
    <w:p w14:paraId="2F9E801D">
      <w:pPr>
        <w:spacing w:before="240" w:beforeLines="100" w:after="240" w:afterLines="100" w:line="360" w:lineRule="auto"/>
        <w:ind w:left="-17" w:right="108" w:firstLine="404" w:firstLineChars="184"/>
        <w:jc w:val="both"/>
        <w:rPr>
          <w:rFonts w:ascii="Times New Roman" w:hAnsi="Times New Roman" w:cs="Times New Roman"/>
          <w:lang w:eastAsia="zh-CN"/>
        </w:rPr>
      </w:pPr>
      <w:r>
        <w:rPr>
          <w:rFonts w:hint="eastAsia" w:ascii="Times New Roman" w:hAnsi="Times New Roman" w:cs="Times New Roman"/>
          <w:lang w:eastAsia="zh-CN"/>
        </w:rPr>
        <w:t>天亿马系于</w:t>
      </w:r>
      <w:r>
        <w:rPr>
          <w:rFonts w:ascii="Times New Roman" w:hAnsi="Times New Roman" w:cs="Times New Roman"/>
          <w:lang w:eastAsia="zh-CN"/>
        </w:rPr>
        <w:t>2015年8月</w:t>
      </w:r>
      <w:r>
        <w:rPr>
          <w:rFonts w:hint="eastAsia" w:ascii="Times New Roman" w:hAnsi="Times New Roman" w:cs="Times New Roman"/>
          <w:lang w:eastAsia="zh-CN"/>
        </w:rPr>
        <w:t>2</w:t>
      </w:r>
      <w:r>
        <w:rPr>
          <w:rFonts w:ascii="Times New Roman" w:hAnsi="Times New Roman" w:cs="Times New Roman"/>
          <w:lang w:eastAsia="zh-CN"/>
        </w:rPr>
        <w:t>8日由</w:t>
      </w:r>
      <w:r>
        <w:rPr>
          <w:rFonts w:hint="eastAsia" w:ascii="Times New Roman" w:hAnsi="Times New Roman" w:cs="Times New Roman"/>
          <w:lang w:eastAsia="zh-CN"/>
        </w:rPr>
        <w:t>广东天亿马信息产业有限公司</w:t>
      </w:r>
      <w:r>
        <w:rPr>
          <w:rFonts w:ascii="Times New Roman" w:hAnsi="Times New Roman" w:cs="Times New Roman"/>
          <w:lang w:eastAsia="zh-CN"/>
        </w:rPr>
        <w:t>以经审计的净资产折股的方式整体变更为股份有限公司</w:t>
      </w:r>
      <w:r>
        <w:rPr>
          <w:rFonts w:hint="eastAsia" w:ascii="Times New Roman" w:hAnsi="Times New Roman" w:cs="Times New Roman"/>
          <w:lang w:eastAsia="zh-CN"/>
        </w:rPr>
        <w:t>。</w:t>
      </w:r>
    </w:p>
    <w:p w14:paraId="2D5C3FAA">
      <w:pPr>
        <w:spacing w:before="240" w:beforeLines="100" w:after="240" w:afterLines="100" w:line="360" w:lineRule="auto"/>
        <w:ind w:left="-17" w:right="108" w:firstLine="404" w:firstLineChars="184"/>
        <w:jc w:val="both"/>
        <w:rPr>
          <w:rFonts w:ascii="Times New Roman" w:hAnsi="Times New Roman" w:cs="Times New Roman"/>
          <w:lang w:eastAsia="zh-CN"/>
        </w:rPr>
      </w:pPr>
      <w:r>
        <w:rPr>
          <w:rFonts w:ascii="Times New Roman" w:hAnsi="Times New Roman" w:cs="Times New Roman"/>
          <w:lang w:eastAsia="zh-CN"/>
        </w:rPr>
        <w:t>经中国证监会</w:t>
      </w:r>
      <w:r>
        <w:rPr>
          <w:rFonts w:hint="eastAsia" w:ascii="Times New Roman" w:hAnsi="Times New Roman" w:cs="Times New Roman"/>
          <w:lang w:eastAsia="zh-CN"/>
        </w:rPr>
        <w:t>下发的“</w:t>
      </w:r>
      <w:r>
        <w:rPr>
          <w:rFonts w:ascii="Times New Roman" w:hAnsi="Times New Roman" w:cs="Times New Roman"/>
          <w:lang w:eastAsia="zh-CN"/>
        </w:rPr>
        <w:t>证监许可[2021]2937号</w:t>
      </w:r>
      <w:r>
        <w:rPr>
          <w:rFonts w:hint="eastAsia" w:ascii="Times New Roman" w:hAnsi="Times New Roman" w:cs="Times New Roman"/>
          <w:lang w:eastAsia="zh-CN"/>
        </w:rPr>
        <w:t>”《关于同意广东天亿马信息产业股份有限公司首次公开发行股票注册的批复》</w:t>
      </w:r>
      <w:r>
        <w:rPr>
          <w:rFonts w:ascii="Times New Roman" w:hAnsi="Times New Roman" w:cs="Times New Roman"/>
          <w:lang w:eastAsia="zh-CN"/>
        </w:rPr>
        <w:t>，</w:t>
      </w:r>
      <w:r>
        <w:rPr>
          <w:rFonts w:hint="eastAsia" w:ascii="Times New Roman" w:hAnsi="Times New Roman" w:cs="Times New Roman"/>
          <w:lang w:eastAsia="zh-CN"/>
        </w:rPr>
        <w:t>同意公司首次公开发行股票的注册申请</w:t>
      </w:r>
      <w:r>
        <w:rPr>
          <w:rFonts w:ascii="Times New Roman" w:hAnsi="Times New Roman" w:cs="Times New Roman"/>
          <w:lang w:eastAsia="zh-CN"/>
        </w:rPr>
        <w:t>。经深交所</w:t>
      </w:r>
      <w:r>
        <w:rPr>
          <w:rFonts w:hint="eastAsia" w:ascii="Times New Roman" w:hAnsi="Times New Roman" w:cs="Times New Roman"/>
          <w:lang w:eastAsia="zh-CN"/>
        </w:rPr>
        <w:t>下发的“深证上</w:t>
      </w:r>
      <w:r>
        <w:rPr>
          <w:rFonts w:ascii="Times New Roman" w:hAnsi="Times New Roman" w:cs="Times New Roman"/>
          <w:lang w:eastAsia="zh-CN"/>
        </w:rPr>
        <w:t>[2021]1115号</w:t>
      </w:r>
      <w:r>
        <w:rPr>
          <w:rFonts w:hint="eastAsia" w:ascii="Times New Roman" w:hAnsi="Times New Roman" w:cs="Times New Roman"/>
          <w:lang w:eastAsia="zh-CN"/>
        </w:rPr>
        <w:t>”</w:t>
      </w:r>
      <w:r>
        <w:rPr>
          <w:rFonts w:ascii="Times New Roman" w:hAnsi="Times New Roman" w:cs="Times New Roman"/>
          <w:lang w:eastAsia="zh-CN"/>
        </w:rPr>
        <w:t>《关于</w:t>
      </w:r>
      <w:r>
        <w:rPr>
          <w:rFonts w:hint="eastAsia" w:ascii="Times New Roman" w:hAnsi="Times New Roman" w:cs="Times New Roman"/>
          <w:lang w:eastAsia="zh-CN"/>
        </w:rPr>
        <w:t>广东天亿马信息产业股份有限公司人民币</w:t>
      </w:r>
      <w:r>
        <w:rPr>
          <w:rFonts w:ascii="Times New Roman" w:hAnsi="Times New Roman" w:cs="Times New Roman"/>
          <w:lang w:eastAsia="zh-CN"/>
        </w:rPr>
        <w:t>普通股股票在创业板上市的通知》</w:t>
      </w:r>
      <w:r>
        <w:rPr>
          <w:rFonts w:hint="eastAsia" w:ascii="Times New Roman" w:hAnsi="Times New Roman" w:cs="Times New Roman"/>
          <w:lang w:eastAsia="zh-CN"/>
        </w:rPr>
        <w:t>，</w:t>
      </w:r>
      <w:r>
        <w:rPr>
          <w:rFonts w:ascii="Times New Roman" w:hAnsi="Times New Roman" w:cs="Times New Roman"/>
          <w:lang w:eastAsia="zh-CN"/>
        </w:rPr>
        <w:t>公司</w:t>
      </w:r>
      <w:r>
        <w:rPr>
          <w:rFonts w:hint="eastAsia" w:ascii="Times New Roman" w:hAnsi="Times New Roman" w:cs="Times New Roman"/>
          <w:lang w:eastAsia="zh-CN"/>
        </w:rPr>
        <w:t>公开</w:t>
      </w:r>
      <w:r>
        <w:rPr>
          <w:rFonts w:ascii="Times New Roman" w:hAnsi="Times New Roman" w:cs="Times New Roman"/>
          <w:lang w:eastAsia="zh-CN"/>
        </w:rPr>
        <w:t>发行的人民币普通股股票在</w:t>
      </w:r>
      <w:r>
        <w:rPr>
          <w:rFonts w:hint="eastAsia" w:ascii="Times New Roman" w:hAnsi="Times New Roman" w:cs="Times New Roman"/>
          <w:lang w:eastAsia="zh-CN"/>
        </w:rPr>
        <w:t>深交所</w:t>
      </w:r>
      <w:r>
        <w:rPr>
          <w:rFonts w:ascii="Times New Roman" w:hAnsi="Times New Roman" w:cs="Times New Roman"/>
          <w:lang w:eastAsia="zh-CN"/>
        </w:rPr>
        <w:t>上市，</w:t>
      </w:r>
      <w:r>
        <w:rPr>
          <w:rFonts w:hint="eastAsia" w:ascii="Times New Roman" w:hAnsi="Times New Roman" w:cs="Times New Roman"/>
          <w:lang w:eastAsia="zh-CN"/>
        </w:rPr>
        <w:t>股票</w:t>
      </w:r>
      <w:r>
        <w:rPr>
          <w:rFonts w:ascii="Times New Roman" w:hAnsi="Times New Roman" w:cs="Times New Roman"/>
          <w:lang w:eastAsia="zh-CN"/>
        </w:rPr>
        <w:t>简称</w:t>
      </w:r>
      <w:r>
        <w:rPr>
          <w:rFonts w:hint="eastAsia" w:ascii="Times New Roman" w:hAnsi="Times New Roman" w:cs="Times New Roman"/>
          <w:lang w:eastAsia="zh-CN"/>
        </w:rPr>
        <w:t>“天亿马”</w:t>
      </w:r>
      <w:r>
        <w:rPr>
          <w:rFonts w:ascii="Times New Roman" w:hAnsi="Times New Roman" w:cs="Times New Roman"/>
          <w:lang w:eastAsia="zh-CN"/>
        </w:rPr>
        <w:t>，</w:t>
      </w:r>
      <w:r>
        <w:rPr>
          <w:rFonts w:hint="eastAsia" w:ascii="Times New Roman" w:hAnsi="Times New Roman" w:cs="Times New Roman"/>
          <w:lang w:eastAsia="zh-CN"/>
        </w:rPr>
        <w:t>证券</w:t>
      </w:r>
      <w:r>
        <w:rPr>
          <w:rFonts w:ascii="Times New Roman" w:hAnsi="Times New Roman" w:cs="Times New Roman"/>
          <w:lang w:eastAsia="zh-CN"/>
        </w:rPr>
        <w:t>代码</w:t>
      </w:r>
      <w:r>
        <w:rPr>
          <w:rFonts w:hint="eastAsia" w:ascii="Times New Roman" w:hAnsi="Times New Roman" w:cs="Times New Roman"/>
          <w:lang w:eastAsia="zh-CN"/>
        </w:rPr>
        <w:t>“</w:t>
      </w:r>
      <w:r>
        <w:rPr>
          <w:rFonts w:ascii="Times New Roman" w:hAnsi="Times New Roman" w:cs="Times New Roman"/>
          <w:lang w:eastAsia="zh-CN"/>
        </w:rPr>
        <w:t>301178</w:t>
      </w:r>
      <w:r>
        <w:rPr>
          <w:rFonts w:hint="eastAsia" w:ascii="Times New Roman" w:hAnsi="Times New Roman" w:cs="Times New Roman"/>
          <w:lang w:eastAsia="zh-CN"/>
        </w:rPr>
        <w:t>”</w:t>
      </w:r>
      <w:r>
        <w:rPr>
          <w:rFonts w:ascii="Times New Roman" w:hAnsi="Times New Roman" w:cs="Times New Roman"/>
          <w:lang w:eastAsia="zh-CN"/>
        </w:rPr>
        <w:t>。</w:t>
      </w:r>
    </w:p>
    <w:p w14:paraId="51E30DB0">
      <w:pPr>
        <w:spacing w:before="240" w:beforeLines="100" w:after="240" w:afterLines="100" w:line="360" w:lineRule="auto"/>
        <w:ind w:left="-17" w:right="108" w:firstLine="404" w:firstLineChars="184"/>
        <w:jc w:val="both"/>
        <w:rPr>
          <w:rFonts w:ascii="Times New Roman" w:hAnsi="Times New Roman" w:cs="Times New Roman"/>
          <w:lang w:eastAsia="zh-CN"/>
        </w:rPr>
      </w:pPr>
      <w:r>
        <w:rPr>
          <w:rFonts w:hint="eastAsia" w:ascii="Times New Roman" w:hAnsi="Times New Roman" w:cs="Times New Roman"/>
          <w:lang w:eastAsia="zh-CN"/>
        </w:rPr>
        <w:t>公司现持有汕头市市场监督管理局颁发的统一社会信用代码为“</w:t>
      </w:r>
      <w:r>
        <w:rPr>
          <w:rFonts w:ascii="Times New Roman" w:hAnsi="Times New Roman" w:cs="Times New Roman"/>
          <w:lang w:eastAsia="zh-CN"/>
        </w:rPr>
        <w:t>914405007080295548</w:t>
      </w:r>
      <w:r>
        <w:rPr>
          <w:rFonts w:hint="eastAsia" w:ascii="Times New Roman" w:hAnsi="Times New Roman" w:cs="Times New Roman"/>
          <w:lang w:eastAsia="zh-CN"/>
        </w:rPr>
        <w:t>”</w:t>
      </w:r>
      <w:r>
        <w:rPr>
          <w:rFonts w:ascii="Times New Roman" w:hAnsi="Times New Roman" w:cs="Times New Roman"/>
          <w:lang w:eastAsia="zh-CN"/>
        </w:rPr>
        <w:t>《营业执照》，法定代表人为</w:t>
      </w:r>
      <w:r>
        <w:rPr>
          <w:rFonts w:hint="eastAsia" w:ascii="Times New Roman" w:hAnsi="Times New Roman" w:cs="Times New Roman"/>
          <w:lang w:eastAsia="zh-CN"/>
        </w:rPr>
        <w:t>林明玲</w:t>
      </w:r>
      <w:r>
        <w:rPr>
          <w:rFonts w:ascii="Times New Roman" w:hAnsi="Times New Roman" w:cs="Times New Roman"/>
          <w:lang w:eastAsia="zh-CN"/>
        </w:rPr>
        <w:t>，注册资本为人民币9,310.4264</w:t>
      </w:r>
      <w:r>
        <w:rPr>
          <w:rFonts w:hint="eastAsia" w:ascii="Times New Roman" w:hAnsi="Times New Roman" w:cs="Times New Roman"/>
          <w:lang w:eastAsia="zh-CN"/>
        </w:rPr>
        <w:t>万元，住所</w:t>
      </w:r>
      <w:r>
        <w:rPr>
          <w:rFonts w:ascii="Times New Roman" w:hAnsi="Times New Roman" w:cs="Times New Roman"/>
          <w:lang w:eastAsia="zh-CN"/>
        </w:rPr>
        <w:t>为</w:t>
      </w:r>
      <w:r>
        <w:rPr>
          <w:rFonts w:hint="eastAsia" w:ascii="Times New Roman" w:hAnsi="Times New Roman" w:cs="Times New Roman"/>
          <w:lang w:eastAsia="zh-CN"/>
        </w:rPr>
        <w:t>汕头市海滨路55号海逸投资大厦5层</w:t>
      </w:r>
      <w:r>
        <w:rPr>
          <w:rFonts w:ascii="Times New Roman" w:hAnsi="Times New Roman" w:cs="Times New Roman"/>
          <w:lang w:eastAsia="zh-CN"/>
        </w:rPr>
        <w:t>，营业期限为</w:t>
      </w:r>
      <w:r>
        <w:rPr>
          <w:rFonts w:hint="eastAsia" w:ascii="Times New Roman" w:hAnsi="Times New Roman" w:cs="Times New Roman"/>
          <w:lang w:eastAsia="zh-CN"/>
        </w:rPr>
        <w:t>1</w:t>
      </w:r>
      <w:r>
        <w:rPr>
          <w:rFonts w:ascii="Times New Roman" w:hAnsi="Times New Roman" w:cs="Times New Roman"/>
          <w:lang w:eastAsia="zh-CN"/>
        </w:rPr>
        <w:t>998</w:t>
      </w:r>
      <w:r>
        <w:rPr>
          <w:rFonts w:hint="eastAsia" w:ascii="Times New Roman" w:hAnsi="Times New Roman" w:cs="Times New Roman"/>
          <w:lang w:eastAsia="zh-CN"/>
        </w:rPr>
        <w:t>年7</w:t>
      </w:r>
      <w:r>
        <w:rPr>
          <w:rFonts w:ascii="Times New Roman" w:hAnsi="Times New Roman" w:cs="Times New Roman"/>
          <w:lang w:eastAsia="zh-CN"/>
        </w:rPr>
        <w:t>月</w:t>
      </w:r>
      <w:r>
        <w:rPr>
          <w:rFonts w:hint="eastAsia" w:ascii="Times New Roman" w:hAnsi="Times New Roman" w:cs="Times New Roman"/>
          <w:lang w:eastAsia="zh-CN"/>
        </w:rPr>
        <w:t>7</w:t>
      </w:r>
      <w:r>
        <w:rPr>
          <w:rFonts w:ascii="Times New Roman" w:hAnsi="Times New Roman" w:cs="Times New Roman"/>
          <w:lang w:eastAsia="zh-CN"/>
        </w:rPr>
        <w:t>日至无固定期限</w:t>
      </w:r>
      <w:r>
        <w:rPr>
          <w:rFonts w:hint="eastAsia" w:ascii="Times New Roman" w:hAnsi="Times New Roman" w:cs="Times New Roman"/>
          <w:lang w:eastAsia="zh-CN"/>
        </w:rPr>
        <w:t>，</w:t>
      </w:r>
      <w:r>
        <w:rPr>
          <w:rFonts w:ascii="Times New Roman" w:hAnsi="Times New Roman" w:cs="Times New Roman"/>
          <w:lang w:eastAsia="zh-CN"/>
        </w:rPr>
        <w:t>经营范围为</w:t>
      </w:r>
      <w:r>
        <w:rPr>
          <w:rFonts w:hint="eastAsia" w:ascii="Times New Roman" w:hAnsi="Times New Roman" w:cs="Times New Roman"/>
          <w:lang w:eastAsia="zh-CN"/>
        </w:rPr>
        <w:t>计算机软件开发，计算机及信息化配套产品的研发，计算机信息系统集成及服务；智慧城市项目、电子政务项目、建筑智能化工程、电子自动化工程、防雷工程、通信工程、城市交通设施工程、电力工程的设计、施工及服务；计算机信息系统安全服务；安全技术防范系统设计、施工、维修；电子信息技术服务；交通信号灯系统、道路交通安全设施的制作及安装；电子计算机及配件、教学仪器、实验实训设备、通信设备、办公自动化设备的销售、维护、维修、安装、调试；地理信息数据处理，地理信息系统的技术开发及服务；销售：电子计算机软件，电子通信设备，通用机械设备，文化办公机械，文化用品，五金交电，空调、无线电设备、汽车、摩托车及零配件、新能源汽车整车；设计、制作、发布、代理国内外各类广告；档案管理咨询、评估、鉴定、整理、修复、档案管理技术和数字化服务；增值电信业务；电子产品租赁；新兴能源技术研发；新能源原动设备销售；发电技术服务；电气安装服务；输电、供电、受电设施的安装、维修和试验；以下项目限由其分支机构经营：生产：计算机及信息化配套产品；电子出版物零售。（依法须经批准的项目，经相关部门批准后方可开展经营活动）</w:t>
      </w:r>
    </w:p>
    <w:p w14:paraId="4A296A45">
      <w:pPr>
        <w:widowControl/>
        <w:spacing w:before="240" w:beforeLines="100" w:after="240" w:afterLines="100" w:line="360" w:lineRule="auto"/>
        <w:ind w:left="-17" w:right="108" w:firstLine="441" w:firstLineChars="184"/>
        <w:jc w:val="both"/>
        <w:rPr>
          <w:rFonts w:ascii="Times New Roman" w:hAnsi="Times New Roman" w:eastAsia="宋体" w:cs="Times New Roman"/>
          <w:color w:val="000000"/>
          <w:kern w:val="2"/>
          <w:sz w:val="24"/>
          <w:lang w:eastAsia="zh-CN"/>
        </w:rPr>
      </w:pPr>
      <w:r>
        <w:rPr>
          <w:rFonts w:ascii="Times New Roman" w:hAnsi="Times New Roman" w:eastAsia="宋体" w:cs="Times New Roman"/>
          <w:color w:val="000000"/>
          <w:kern w:val="2"/>
          <w:sz w:val="24"/>
          <w:lang w:eastAsia="zh-CN"/>
        </w:rPr>
        <w:t>经核查</w:t>
      </w:r>
      <w:r>
        <w:rPr>
          <w:rFonts w:hint="eastAsia" w:ascii="Times New Roman" w:hAnsi="Times New Roman" w:eastAsia="宋体" w:cs="Times New Roman"/>
          <w:color w:val="000000"/>
          <w:kern w:val="2"/>
          <w:sz w:val="24"/>
          <w:lang w:eastAsia="zh-CN"/>
        </w:rPr>
        <w:t>，</w:t>
      </w:r>
      <w:r>
        <w:rPr>
          <w:rFonts w:ascii="Times New Roman" w:hAnsi="Times New Roman" w:eastAsia="宋体" w:cs="Times New Roman"/>
          <w:color w:val="000000"/>
          <w:kern w:val="2"/>
          <w:sz w:val="24"/>
          <w:lang w:eastAsia="zh-CN"/>
        </w:rPr>
        <w:t>本所律师认为，公司为依法设立并有效存续的上市公司，不存在根据法律、法规及</w:t>
      </w:r>
      <w:r>
        <w:rPr>
          <w:rFonts w:hint="eastAsia" w:ascii="Times New Roman" w:hAnsi="Times New Roman" w:eastAsia="宋体" w:cs="Times New Roman"/>
          <w:color w:val="000000"/>
          <w:kern w:val="2"/>
          <w:sz w:val="24"/>
          <w:lang w:eastAsia="zh-CN"/>
        </w:rPr>
        <w:t>《</w:t>
      </w:r>
      <w:r>
        <w:rPr>
          <w:rFonts w:ascii="Times New Roman" w:hAnsi="Times New Roman" w:eastAsia="宋体" w:cs="Times New Roman"/>
          <w:color w:val="000000"/>
          <w:kern w:val="2"/>
          <w:sz w:val="24"/>
          <w:lang w:eastAsia="zh-CN"/>
        </w:rPr>
        <w:t>公司章程</w:t>
      </w:r>
      <w:r>
        <w:rPr>
          <w:rFonts w:hint="eastAsia" w:ascii="Times New Roman" w:hAnsi="Times New Roman" w:eastAsia="宋体" w:cs="Times New Roman"/>
          <w:color w:val="000000"/>
          <w:kern w:val="2"/>
          <w:sz w:val="24"/>
          <w:lang w:eastAsia="zh-CN"/>
        </w:rPr>
        <w:t>》</w:t>
      </w:r>
      <w:r>
        <w:rPr>
          <w:rFonts w:ascii="Times New Roman" w:hAnsi="Times New Roman" w:eastAsia="宋体" w:cs="Times New Roman"/>
          <w:color w:val="000000"/>
          <w:kern w:val="2"/>
          <w:sz w:val="24"/>
          <w:lang w:eastAsia="zh-CN"/>
        </w:rPr>
        <w:t>规定需要终止的情形，具备实行</w:t>
      </w:r>
      <w:r>
        <w:rPr>
          <w:rFonts w:hint="eastAsia" w:ascii="Times New Roman" w:hAnsi="Times New Roman" w:eastAsia="宋体" w:cs="Times New Roman"/>
          <w:color w:val="000000"/>
          <w:kern w:val="2"/>
          <w:sz w:val="24"/>
          <w:lang w:eastAsia="zh-CN"/>
        </w:rPr>
        <w:t>本次员工持股</w:t>
      </w:r>
      <w:r>
        <w:rPr>
          <w:rFonts w:ascii="Times New Roman" w:hAnsi="Times New Roman" w:eastAsia="宋体" w:cs="Times New Roman"/>
          <w:color w:val="000000"/>
          <w:kern w:val="2"/>
          <w:sz w:val="24"/>
          <w:lang w:eastAsia="zh-CN"/>
        </w:rPr>
        <w:t>计划的主体资格。</w:t>
      </w:r>
    </w:p>
    <w:p w14:paraId="73FB058F">
      <w:pPr>
        <w:keepNext/>
        <w:keepLines/>
        <w:widowControl/>
        <w:spacing w:before="240" w:beforeLines="100" w:after="240" w:afterLines="100" w:line="360" w:lineRule="auto"/>
        <w:ind w:right="220" w:rightChars="100" w:firstLine="363" w:firstLineChars="151"/>
        <w:outlineLvl w:val="0"/>
        <w:rPr>
          <w:rFonts w:ascii="Times New Roman" w:hAnsi="Times New Roman" w:eastAsia="宋体" w:cs="Times New Roman"/>
          <w:b/>
          <w:color w:val="000000"/>
          <w:kern w:val="2"/>
          <w:sz w:val="24"/>
          <w:szCs w:val="24"/>
          <w:lang w:eastAsia="zh-CN"/>
        </w:rPr>
      </w:pPr>
      <w:r>
        <w:rPr>
          <w:rFonts w:hint="eastAsia" w:ascii="Times New Roman" w:hAnsi="Times New Roman" w:eastAsia="宋体" w:cs="Times New Roman"/>
          <w:b/>
          <w:color w:val="000000"/>
          <w:kern w:val="2"/>
          <w:sz w:val="24"/>
          <w:szCs w:val="24"/>
          <w:lang w:eastAsia="zh-CN"/>
        </w:rPr>
        <w:t>二、本次员工持股计划的合法合规</w:t>
      </w:r>
    </w:p>
    <w:p w14:paraId="6EE1E51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经本所律师核查，《关于&lt;广东天亿马信息产业股份有限公司2026年员工持股计划（草案）及其摘要</w:t>
      </w:r>
      <w:r>
        <w:rPr>
          <w:rFonts w:ascii="Times New Roman" w:hAnsi="Times New Roman" w:eastAsia="宋体" w:cs="Times New Roman"/>
          <w:color w:val="000000"/>
          <w:sz w:val="24"/>
          <w:szCs w:val="24"/>
          <w:lang w:eastAsia="zh-CN"/>
        </w:rPr>
        <w:t>&gt;</w:t>
      </w:r>
      <w:r>
        <w:rPr>
          <w:rFonts w:hint="eastAsia" w:ascii="Times New Roman" w:hAnsi="Times New Roman" w:eastAsia="宋体" w:cs="Times New Roman"/>
          <w:color w:val="000000"/>
          <w:sz w:val="24"/>
          <w:szCs w:val="24"/>
          <w:lang w:eastAsia="zh-CN"/>
        </w:rPr>
        <w:t>的议案》已经公司第二届职工代表大会第六次会议审议通过，《关于&lt;广东天亿马信息产业股份有限公司2026年员工持股计划（草案）及其摘要</w:t>
      </w:r>
      <w:r>
        <w:rPr>
          <w:rFonts w:ascii="Times New Roman" w:hAnsi="Times New Roman" w:eastAsia="宋体" w:cs="Times New Roman"/>
          <w:color w:val="000000"/>
          <w:sz w:val="24"/>
          <w:szCs w:val="24"/>
          <w:lang w:eastAsia="zh-CN"/>
        </w:rPr>
        <w:t>&gt;</w:t>
      </w:r>
      <w:r>
        <w:rPr>
          <w:rFonts w:hint="eastAsia" w:ascii="Times New Roman" w:hAnsi="Times New Roman" w:eastAsia="宋体" w:cs="Times New Roman"/>
          <w:color w:val="000000"/>
          <w:sz w:val="24"/>
          <w:szCs w:val="24"/>
          <w:lang w:eastAsia="zh-CN"/>
        </w:rPr>
        <w:t>的议案》及《关于&lt;广东天亿马信息产业股份有限公司2026年员工持股计划管理办法&gt;的议案》已经公司第四届董事会薪酬与考核委员会第三次会议及第四届董事会第十一次会议审议通过。</w:t>
      </w:r>
    </w:p>
    <w:p w14:paraId="18CA8EB8">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本所律师按照《试点指导意见》的相关规定，对上述会议通过的本次员工持股计划的相关事项进行了逐项核查，具体如下：</w:t>
      </w:r>
    </w:p>
    <w:p w14:paraId="3080817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（一）截至本法律意见书出具之日，</w:t>
      </w:r>
      <w:r>
        <w:rPr>
          <w:rFonts w:ascii="Times New Roman" w:hAnsi="Times New Roman" w:eastAsia="宋体" w:cs="Times New Roman"/>
          <w:color w:val="000000"/>
          <w:sz w:val="24"/>
          <w:szCs w:val="24"/>
          <w:lang w:eastAsia="zh-CN"/>
        </w:rPr>
        <w:t>公司在实施</w:t>
      </w:r>
      <w:r>
        <w:rPr>
          <w:rFonts w:hint="eastAsia" w:ascii="Times New Roman" w:hAnsi="Times New Roman" w:eastAsia="宋体" w:cs="Times New Roman"/>
          <w:color w:val="000000"/>
          <w:sz w:val="24"/>
          <w:szCs w:val="24"/>
          <w:lang w:eastAsia="zh-CN"/>
        </w:rPr>
        <w:t>本次</w:t>
      </w:r>
      <w:r>
        <w:rPr>
          <w:rFonts w:ascii="Times New Roman" w:hAnsi="Times New Roman" w:eastAsia="宋体" w:cs="Times New Roman"/>
          <w:color w:val="000000"/>
          <w:sz w:val="24"/>
          <w:szCs w:val="24"/>
          <w:lang w:eastAsia="zh-CN"/>
        </w:rPr>
        <w:t>员工持股计划时已按照法律</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法规</w:t>
      </w:r>
      <w:r>
        <w:rPr>
          <w:rFonts w:hint="eastAsia" w:ascii="Times New Roman" w:hAnsi="Times New Roman" w:eastAsia="宋体" w:cs="Times New Roman"/>
          <w:color w:val="000000"/>
          <w:sz w:val="24"/>
          <w:szCs w:val="24"/>
          <w:lang w:eastAsia="zh-CN"/>
        </w:rPr>
        <w:t>、规章及规范性文件</w:t>
      </w:r>
      <w:r>
        <w:rPr>
          <w:rFonts w:ascii="Times New Roman" w:hAnsi="Times New Roman" w:eastAsia="宋体" w:cs="Times New Roman"/>
          <w:color w:val="000000"/>
          <w:sz w:val="24"/>
          <w:szCs w:val="24"/>
          <w:lang w:eastAsia="zh-CN"/>
        </w:rPr>
        <w:t>的规定履行了现阶段必要的授权与批准程序及信息披露义务</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不存在利用本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员工持股计划进行内幕交易、操纵证券市场等证券欺诈行为的情形，符合《试点指导意见》第一部分第（一）项关于依法合规原则的相关要求。</w:t>
      </w:r>
    </w:p>
    <w:p w14:paraId="093A0023">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（二）</w:t>
      </w:r>
      <w:r>
        <w:rPr>
          <w:rFonts w:ascii="Times New Roman" w:hAnsi="Times New Roman" w:eastAsia="宋体" w:cs="Times New Roman"/>
          <w:color w:val="000000"/>
          <w:sz w:val="24"/>
          <w:szCs w:val="24"/>
          <w:lang w:eastAsia="zh-CN"/>
        </w:rPr>
        <w:t>截至本法律意见书出具</w:t>
      </w:r>
      <w:r>
        <w:rPr>
          <w:rFonts w:hint="eastAsia" w:ascii="Times New Roman" w:hAnsi="Times New Roman" w:eastAsia="宋体" w:cs="Times New Roman"/>
          <w:color w:val="000000"/>
          <w:sz w:val="24"/>
          <w:szCs w:val="24"/>
          <w:lang w:eastAsia="zh-CN"/>
        </w:rPr>
        <w:t>之</w:t>
      </w:r>
      <w:r>
        <w:rPr>
          <w:rFonts w:ascii="Times New Roman" w:hAnsi="Times New Roman" w:eastAsia="宋体" w:cs="Times New Roman"/>
          <w:color w:val="000000"/>
          <w:sz w:val="24"/>
          <w:szCs w:val="24"/>
          <w:lang w:eastAsia="zh-CN"/>
        </w:rPr>
        <w:t>日</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员工持股计划遵循公司自主决定</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员工自愿参加的原则，公司不存在以摊派、强行分配等方式强制员工参加本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员工持股计划的情形，且公司承诺不会以前述方式强制员工参加本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员工持股计划，符合《试点指导意见》第一部分第（二）项关于自愿参与原则的要求。</w:t>
      </w:r>
    </w:p>
    <w:p w14:paraId="767799C0">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（三）截至本法律意见书出具之日，</w:t>
      </w:r>
      <w:r>
        <w:rPr>
          <w:rFonts w:ascii="Times New Roman" w:hAnsi="Times New Roman" w:eastAsia="宋体" w:cs="Times New Roman"/>
          <w:color w:val="000000"/>
          <w:sz w:val="24"/>
          <w:szCs w:val="24"/>
          <w:lang w:eastAsia="zh-CN"/>
        </w:rPr>
        <w:t>参与本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员工持股计划的员工将自负盈亏</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自担风险，与其他投资者权益平等，符合《试点指导意见》第一部分第（三）项关于风险自担原则的相关</w:t>
      </w:r>
      <w:r>
        <w:rPr>
          <w:rFonts w:hint="eastAsia" w:ascii="Times New Roman" w:hAnsi="Times New Roman" w:eastAsia="宋体" w:cs="Times New Roman"/>
          <w:color w:val="000000"/>
          <w:sz w:val="24"/>
          <w:szCs w:val="24"/>
          <w:lang w:eastAsia="zh-CN"/>
        </w:rPr>
        <w:t>规定</w:t>
      </w:r>
      <w:r>
        <w:rPr>
          <w:rFonts w:ascii="Times New Roman" w:hAnsi="Times New Roman" w:eastAsia="宋体" w:cs="Times New Roman"/>
          <w:color w:val="000000"/>
          <w:sz w:val="24"/>
          <w:szCs w:val="24"/>
          <w:lang w:eastAsia="zh-CN"/>
        </w:rPr>
        <w:t>。</w:t>
      </w:r>
    </w:p>
    <w:p w14:paraId="305F02B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（四）本次</w:t>
      </w:r>
      <w:r>
        <w:rPr>
          <w:rFonts w:ascii="Times New Roman" w:hAnsi="Times New Roman" w:eastAsia="宋体" w:cs="Times New Roman"/>
          <w:color w:val="000000"/>
          <w:sz w:val="24"/>
          <w:szCs w:val="24"/>
          <w:lang w:eastAsia="zh-CN"/>
        </w:rPr>
        <w:t>员工持股计划的参加对象</w:t>
      </w:r>
      <w:r>
        <w:rPr>
          <w:rFonts w:hint="eastAsia" w:ascii="Times New Roman" w:hAnsi="Times New Roman" w:eastAsia="宋体" w:cs="Times New Roman"/>
          <w:color w:val="000000"/>
          <w:sz w:val="24"/>
          <w:szCs w:val="24"/>
          <w:lang w:eastAsia="zh-CN"/>
        </w:rPr>
        <w:t>为公司（含分公司和控股子公司）董事、高级管理人员、核心员工（以下简称“持有人”）</w:t>
      </w:r>
      <w:r>
        <w:rPr>
          <w:rFonts w:hint="eastAsia" w:ascii="Times New Roman" w:hAnsi="Times New Roman" w:cs="Times New Roman"/>
          <w:sz w:val="24"/>
          <w:szCs w:val="24"/>
          <w:lang w:eastAsia="zh-CN"/>
        </w:rPr>
        <w:t>，初始设立时总人数不超过19人，其中董事、高级管理人员合计为3人，具体参加人数、名单将根据员工实际缴款情况确定</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符合《试点指导意见》第二部分第（四）项的相关规定。</w:t>
      </w:r>
    </w:p>
    <w:p w14:paraId="1E4F2D31">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（五）</w:t>
      </w:r>
      <w:r>
        <w:rPr>
          <w:rFonts w:ascii="Times New Roman" w:hAnsi="Times New Roman" w:eastAsia="宋体" w:cs="Times New Roman"/>
          <w:color w:val="000000"/>
          <w:sz w:val="24"/>
          <w:szCs w:val="24"/>
          <w:lang w:eastAsia="zh-CN"/>
        </w:rPr>
        <w:t>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员工持股计划的资金来源</w:t>
      </w:r>
      <w:r>
        <w:rPr>
          <w:rFonts w:hint="eastAsia" w:ascii="Times New Roman" w:hAnsi="Times New Roman" w:eastAsia="宋体" w:cs="Times New Roman"/>
          <w:color w:val="000000"/>
          <w:sz w:val="24"/>
          <w:szCs w:val="24"/>
          <w:lang w:eastAsia="zh-CN"/>
        </w:rPr>
        <w:t>为员工合法薪酬、自筹资金和法律法规允许的其他方式，不存在公司向持有人提供财务资助或为其贷款提供担保的情况，</w:t>
      </w:r>
      <w:r>
        <w:rPr>
          <w:rFonts w:ascii="Times New Roman" w:hAnsi="Times New Roman" w:eastAsia="宋体" w:cs="Times New Roman"/>
          <w:color w:val="000000"/>
          <w:sz w:val="24"/>
          <w:szCs w:val="24"/>
          <w:lang w:eastAsia="zh-CN"/>
        </w:rPr>
        <w:t>符合《试点指导意见》第二部分第（五）项第</w:t>
      </w:r>
      <w:r>
        <w:rPr>
          <w:rFonts w:hint="eastAsia" w:ascii="Times New Roman" w:hAnsi="Times New Roman" w:eastAsia="宋体" w:cs="Times New Roman"/>
          <w:color w:val="000000"/>
          <w:sz w:val="24"/>
          <w:szCs w:val="24"/>
          <w:lang w:eastAsia="zh-CN"/>
        </w:rPr>
        <w:t>一</w:t>
      </w:r>
      <w:r>
        <w:rPr>
          <w:rFonts w:ascii="Times New Roman" w:hAnsi="Times New Roman" w:eastAsia="宋体" w:cs="Times New Roman"/>
          <w:color w:val="000000"/>
          <w:sz w:val="24"/>
          <w:szCs w:val="24"/>
          <w:lang w:eastAsia="zh-CN"/>
        </w:rPr>
        <w:t>点的相关规定。</w:t>
      </w:r>
    </w:p>
    <w:p w14:paraId="66C2B06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（六）</w:t>
      </w:r>
      <w:r>
        <w:rPr>
          <w:rFonts w:ascii="Times New Roman" w:hAnsi="Times New Roman" w:eastAsia="宋体" w:cs="Times New Roman"/>
          <w:color w:val="000000"/>
          <w:sz w:val="24"/>
          <w:szCs w:val="24"/>
          <w:lang w:eastAsia="zh-CN"/>
        </w:rPr>
        <w:t>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员工持股计划的股票来源</w:t>
      </w:r>
      <w:r>
        <w:rPr>
          <w:rFonts w:hint="eastAsia" w:ascii="Times New Roman" w:hAnsi="Times New Roman" w:eastAsia="宋体" w:cs="Times New Roman"/>
          <w:color w:val="000000"/>
          <w:sz w:val="24"/>
          <w:szCs w:val="24"/>
          <w:lang w:eastAsia="zh-CN"/>
        </w:rPr>
        <w:t>为公司回购专用证券账户回购的公司A股普通股股票，本次员工持股计划拟持有的标的股票数量不超过46.83万股，约占《员工持股计划（草案）》公布日公司股本总额9,310.4264万股的0.50%，</w:t>
      </w:r>
      <w:r>
        <w:rPr>
          <w:rFonts w:ascii="Times New Roman" w:hAnsi="Times New Roman" w:eastAsia="宋体" w:cs="Times New Roman"/>
          <w:color w:val="000000"/>
          <w:sz w:val="24"/>
          <w:szCs w:val="24"/>
          <w:lang w:eastAsia="zh-CN"/>
        </w:rPr>
        <w:t>符合《试点指导意见》第二部分第（五）项第</w:t>
      </w:r>
      <w:r>
        <w:rPr>
          <w:rFonts w:hint="eastAsia" w:ascii="Times New Roman" w:hAnsi="Times New Roman" w:eastAsia="宋体" w:cs="Times New Roman"/>
          <w:color w:val="000000"/>
          <w:sz w:val="24"/>
          <w:szCs w:val="24"/>
          <w:lang w:eastAsia="zh-CN"/>
        </w:rPr>
        <w:t>二</w:t>
      </w:r>
      <w:r>
        <w:rPr>
          <w:rFonts w:ascii="Times New Roman" w:hAnsi="Times New Roman" w:eastAsia="宋体" w:cs="Times New Roman"/>
          <w:color w:val="000000"/>
          <w:sz w:val="24"/>
          <w:szCs w:val="24"/>
          <w:lang w:eastAsia="zh-CN"/>
        </w:rPr>
        <w:t>点的相关规定。</w:t>
      </w:r>
    </w:p>
    <w:p w14:paraId="66DF5991">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七）本次员工持股计划存续期不超过48个月，本次员工持股计划所获标的股票权益分2期解锁，锁定期分别为12个月、24个月，均自公司公告最后一笔标的股票过户至本次员工持股计划名下之日起计算，每期解锁比例均为50%，</w:t>
      </w:r>
      <w:r>
        <w:rPr>
          <w:rFonts w:ascii="Times New Roman" w:hAnsi="Times New Roman" w:eastAsia="宋体" w:cs="Times New Roman"/>
          <w:color w:val="000000"/>
          <w:sz w:val="24"/>
          <w:szCs w:val="24"/>
          <w:lang w:eastAsia="zh-CN"/>
        </w:rPr>
        <w:t>符合《试点指导意见》第二部分第（六）项第</w:t>
      </w:r>
      <w:r>
        <w:rPr>
          <w:rFonts w:hint="eastAsia" w:ascii="Times New Roman" w:hAnsi="Times New Roman" w:eastAsia="宋体" w:cs="Times New Roman"/>
          <w:color w:val="000000"/>
          <w:sz w:val="24"/>
          <w:szCs w:val="24"/>
          <w:lang w:eastAsia="zh-CN"/>
        </w:rPr>
        <w:t>一</w:t>
      </w:r>
      <w:r>
        <w:rPr>
          <w:rFonts w:ascii="Times New Roman" w:hAnsi="Times New Roman" w:eastAsia="宋体" w:cs="Times New Roman"/>
          <w:color w:val="000000"/>
          <w:sz w:val="24"/>
          <w:szCs w:val="24"/>
          <w:lang w:eastAsia="zh-CN"/>
        </w:rPr>
        <w:t>点的相关规定。</w:t>
      </w:r>
    </w:p>
    <w:p w14:paraId="42630DE9">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（八）本次员工持股计划拟持有的标的股票数量不超过46.83万股，约占《员工持股计划（草案）》公布日公司股本总额9,310.4264万股的0.50%，</w:t>
      </w:r>
      <w:r>
        <w:rPr>
          <w:rFonts w:hint="eastAsia" w:ascii="Times New Roman" w:hAnsi="Times New Roman" w:cs="Times New Roman"/>
          <w:sz w:val="24"/>
          <w:szCs w:val="24"/>
          <w:lang w:eastAsia="zh-CN"/>
        </w:rPr>
        <w:t>本次员工持股计划所持有的公司股票总数累计不超过公司股本总额的</w:t>
      </w:r>
      <w:r>
        <w:rPr>
          <w:rFonts w:ascii="Times New Roman" w:hAnsi="Times New Roman" w:cs="Times New Roman"/>
          <w:sz w:val="24"/>
          <w:szCs w:val="24"/>
          <w:lang w:eastAsia="zh-CN"/>
        </w:rPr>
        <w:t>10%</w:t>
      </w:r>
      <w:r>
        <w:rPr>
          <w:rFonts w:hint="eastAsia" w:ascii="Times New Roman" w:hAnsi="Times New Roman" w:cs="Times New Roman"/>
          <w:sz w:val="24"/>
          <w:szCs w:val="24"/>
          <w:lang w:eastAsia="zh-CN"/>
        </w:rPr>
        <w:t>，单个员工所持持股计划份额所对应的股票总数累计不超过公司股本总额的</w:t>
      </w:r>
      <w:r>
        <w:rPr>
          <w:rFonts w:ascii="Times New Roman" w:hAnsi="Times New Roman" w:cs="Times New Roman"/>
          <w:sz w:val="24"/>
          <w:szCs w:val="24"/>
          <w:lang w:eastAsia="zh-CN"/>
        </w:rPr>
        <w:t>1%</w:t>
      </w:r>
      <w:r>
        <w:rPr>
          <w:rFonts w:hint="eastAsia" w:ascii="Times New Roman" w:hAnsi="Times New Roman" w:eastAsia="宋体" w:cs="Times New Roman"/>
          <w:color w:val="000000"/>
          <w:sz w:val="24"/>
          <w:szCs w:val="24"/>
          <w:lang w:eastAsia="zh-CN"/>
        </w:rPr>
        <w:t>。</w:t>
      </w:r>
      <w:r>
        <w:rPr>
          <w:rFonts w:ascii="Times New Roman" w:hAnsi="Times New Roman" w:cs="Times New Roman"/>
          <w:sz w:val="24"/>
          <w:szCs w:val="24"/>
          <w:lang w:eastAsia="zh-CN"/>
        </w:rPr>
        <w:t>员工持股计划持有的股票总数不包括员工在公司首次公开</w:t>
      </w:r>
      <w:r>
        <w:rPr>
          <w:rFonts w:hint="eastAsia" w:ascii="Times New Roman" w:hAnsi="Times New Roman" w:cs="Times New Roman"/>
          <w:sz w:val="24"/>
          <w:szCs w:val="24"/>
          <w:lang w:eastAsia="zh-CN"/>
        </w:rPr>
        <w:t>发</w:t>
      </w:r>
      <w:r>
        <w:rPr>
          <w:rFonts w:ascii="Times New Roman" w:hAnsi="Times New Roman" w:cs="Times New Roman"/>
          <w:sz w:val="24"/>
          <w:szCs w:val="24"/>
          <w:lang w:eastAsia="zh-CN"/>
        </w:rPr>
        <w:t>行股票上市</w:t>
      </w:r>
      <w:r>
        <w:rPr>
          <w:rFonts w:hint="eastAsia" w:ascii="Times New Roman" w:hAnsi="Times New Roman" w:cs="Times New Roman"/>
          <w:sz w:val="24"/>
          <w:szCs w:val="24"/>
          <w:lang w:eastAsia="zh-CN"/>
        </w:rPr>
        <w:t>前</w:t>
      </w:r>
      <w:r>
        <w:rPr>
          <w:rFonts w:ascii="Times New Roman" w:hAnsi="Times New Roman" w:cs="Times New Roman"/>
          <w:sz w:val="24"/>
          <w:szCs w:val="24"/>
          <w:lang w:eastAsia="zh-CN"/>
        </w:rPr>
        <w:t>获得的股份</w:t>
      </w:r>
      <w:r>
        <w:rPr>
          <w:rFonts w:hint="eastAsia" w:ascii="Times New Roman" w:hAnsi="Times New Roman" w:cs="Times New Roman"/>
          <w:sz w:val="24"/>
          <w:szCs w:val="24"/>
          <w:lang w:eastAsia="zh-CN"/>
        </w:rPr>
        <w:t>、</w:t>
      </w:r>
      <w:r>
        <w:rPr>
          <w:rFonts w:ascii="Times New Roman" w:hAnsi="Times New Roman" w:cs="Times New Roman"/>
          <w:sz w:val="24"/>
          <w:szCs w:val="24"/>
          <w:lang w:eastAsia="zh-CN"/>
        </w:rPr>
        <w:t>通过</w:t>
      </w:r>
      <w:r>
        <w:rPr>
          <w:rFonts w:hint="eastAsia" w:ascii="Times New Roman" w:hAnsi="Times New Roman" w:cs="Times New Roman"/>
          <w:sz w:val="24"/>
          <w:szCs w:val="24"/>
          <w:lang w:eastAsia="zh-CN"/>
        </w:rPr>
        <w:t>二级市场自行购买的股份及通过股权激励获得的股份</w:t>
      </w:r>
      <w:r>
        <w:rPr>
          <w:rFonts w:ascii="Times New Roman" w:hAnsi="Times New Roman" w:eastAsia="宋体" w:cs="Times New Roman"/>
          <w:color w:val="000000"/>
          <w:sz w:val="24"/>
          <w:szCs w:val="24"/>
          <w:lang w:eastAsia="zh-CN"/>
        </w:rPr>
        <w:t>，符合《试点指导意见》第二部分第（六）项第</w:t>
      </w:r>
      <w:r>
        <w:rPr>
          <w:rFonts w:hint="eastAsia" w:ascii="Times New Roman" w:hAnsi="Times New Roman" w:eastAsia="宋体" w:cs="Times New Roman"/>
          <w:color w:val="000000"/>
          <w:sz w:val="24"/>
          <w:szCs w:val="24"/>
          <w:lang w:eastAsia="zh-CN"/>
        </w:rPr>
        <w:t>二</w:t>
      </w:r>
      <w:r>
        <w:rPr>
          <w:rFonts w:ascii="Times New Roman" w:hAnsi="Times New Roman" w:eastAsia="宋体" w:cs="Times New Roman"/>
          <w:color w:val="000000"/>
          <w:sz w:val="24"/>
          <w:szCs w:val="24"/>
          <w:lang w:eastAsia="zh-CN"/>
        </w:rPr>
        <w:t>点的相关规定。</w:t>
      </w:r>
    </w:p>
    <w:p w14:paraId="279100D4">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（九）</w:t>
      </w:r>
      <w:r>
        <w:rPr>
          <w:rFonts w:ascii="Times New Roman" w:hAnsi="Times New Roman" w:eastAsia="宋体" w:cs="Times New Roman"/>
          <w:color w:val="000000"/>
          <w:sz w:val="24"/>
          <w:szCs w:val="24"/>
          <w:lang w:eastAsia="zh-CN"/>
        </w:rPr>
        <w:t>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员工持股计划的内部</w:t>
      </w:r>
      <w:r>
        <w:rPr>
          <w:rFonts w:hint="eastAsia" w:ascii="Times New Roman" w:hAnsi="Times New Roman" w:eastAsia="宋体" w:cs="Times New Roman"/>
          <w:color w:val="000000"/>
          <w:sz w:val="24"/>
          <w:szCs w:val="24"/>
          <w:lang w:eastAsia="zh-CN"/>
        </w:rPr>
        <w:t>最高</w:t>
      </w:r>
      <w:r>
        <w:rPr>
          <w:rFonts w:ascii="Times New Roman" w:hAnsi="Times New Roman" w:eastAsia="宋体" w:cs="Times New Roman"/>
          <w:color w:val="000000"/>
          <w:sz w:val="24"/>
          <w:szCs w:val="24"/>
          <w:lang w:eastAsia="zh-CN"/>
        </w:rPr>
        <w:t>管理权力机构为持有人会议；本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员工持股计划设管理委员会，负责</w:t>
      </w:r>
      <w:r>
        <w:rPr>
          <w:rFonts w:hint="eastAsia" w:ascii="Times New Roman" w:hAnsi="Times New Roman" w:eastAsia="宋体" w:cs="Times New Roman"/>
          <w:color w:val="000000"/>
          <w:sz w:val="24"/>
          <w:szCs w:val="24"/>
          <w:lang w:eastAsia="zh-CN"/>
        </w:rPr>
        <w:t>本次</w:t>
      </w:r>
      <w:r>
        <w:rPr>
          <w:rFonts w:ascii="Times New Roman" w:hAnsi="Times New Roman" w:eastAsia="宋体" w:cs="Times New Roman"/>
          <w:color w:val="000000"/>
          <w:sz w:val="24"/>
          <w:szCs w:val="24"/>
          <w:lang w:eastAsia="zh-CN"/>
        </w:rPr>
        <w:t>员工持股计划的日常管理</w:t>
      </w:r>
      <w:r>
        <w:rPr>
          <w:rFonts w:hint="eastAsia" w:ascii="Times New Roman" w:hAnsi="Times New Roman" w:eastAsia="宋体" w:cs="Times New Roman"/>
          <w:color w:val="000000"/>
          <w:sz w:val="24"/>
          <w:szCs w:val="24"/>
          <w:lang w:eastAsia="zh-CN"/>
        </w:rPr>
        <w:t>事宜</w:t>
      </w:r>
      <w:r>
        <w:rPr>
          <w:rFonts w:ascii="Times New Roman" w:hAnsi="Times New Roman" w:eastAsia="宋体" w:cs="Times New Roman"/>
          <w:color w:val="000000"/>
          <w:sz w:val="24"/>
          <w:szCs w:val="24"/>
          <w:lang w:eastAsia="zh-CN"/>
        </w:rPr>
        <w:t>，代表持有人行使股东权利</w:t>
      </w:r>
      <w:r>
        <w:rPr>
          <w:rFonts w:hint="eastAsia" w:ascii="Times New Roman" w:hAnsi="Times New Roman" w:eastAsia="宋体" w:cs="Times New Roman"/>
          <w:color w:val="000000"/>
          <w:sz w:val="24"/>
          <w:szCs w:val="24"/>
          <w:lang w:eastAsia="zh-CN"/>
        </w:rPr>
        <w:t>。本次员工持股计划将由公司自行管理，</w:t>
      </w:r>
      <w:r>
        <w:rPr>
          <w:rFonts w:ascii="Times New Roman" w:hAnsi="Times New Roman" w:eastAsia="宋体" w:cs="Times New Roman"/>
          <w:color w:val="000000"/>
          <w:sz w:val="24"/>
          <w:szCs w:val="24"/>
          <w:lang w:eastAsia="zh-CN"/>
        </w:rPr>
        <w:t>符合《试点指导意见》第二部分第（七）项的相关规定。</w:t>
      </w:r>
    </w:p>
    <w:p w14:paraId="0BF0279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（十）公司第四届董事会第十一次会议审议通过了</w:t>
      </w:r>
      <w:r>
        <w:rPr>
          <w:rFonts w:hint="eastAsia" w:ascii="Times New Roman" w:hAnsi="Times New Roman" w:eastAsia="宋体" w:cs="Times New Roman"/>
          <w:color w:val="000000"/>
          <w:sz w:val="24"/>
          <w:szCs w:val="24"/>
          <w:lang w:val="zh-CN" w:eastAsia="zh-CN"/>
        </w:rPr>
        <w:t>《</w:t>
      </w:r>
      <w:r>
        <w:rPr>
          <w:rFonts w:hint="eastAsia" w:ascii="Times New Roman" w:hAnsi="Times New Roman" w:eastAsia="宋体" w:cs="Times New Roman"/>
          <w:color w:val="000000"/>
          <w:sz w:val="24"/>
          <w:szCs w:val="24"/>
          <w:lang w:eastAsia="zh-CN"/>
        </w:rPr>
        <w:t>关于&lt;广东天亿马信息产业股份有限公司2026年员工持股计划（草案）及其摘要&gt;的议案</w:t>
      </w:r>
      <w:r>
        <w:rPr>
          <w:rFonts w:hint="eastAsia" w:ascii="Times New Roman" w:hAnsi="Times New Roman" w:eastAsia="宋体" w:cs="Times New Roman"/>
          <w:color w:val="000000"/>
          <w:sz w:val="24"/>
          <w:szCs w:val="24"/>
          <w:lang w:val="zh-CN" w:eastAsia="zh-CN"/>
        </w:rPr>
        <w:t>》</w:t>
      </w:r>
      <w:r>
        <w:rPr>
          <w:rFonts w:hint="eastAsia" w:ascii="Times New Roman" w:hAnsi="Times New Roman" w:eastAsia="宋体" w:cs="Times New Roman"/>
          <w:color w:val="000000"/>
          <w:sz w:val="24"/>
          <w:szCs w:val="24"/>
          <w:lang w:eastAsia="zh-CN"/>
        </w:rPr>
        <w:t>并提议召开股东会</w:t>
      </w:r>
      <w:r>
        <w:rPr>
          <w:rFonts w:ascii="Times New Roman" w:hAnsi="Times New Roman" w:eastAsia="宋体" w:cs="Times New Roman"/>
          <w:color w:val="000000"/>
          <w:sz w:val="24"/>
          <w:szCs w:val="24"/>
          <w:lang w:eastAsia="zh-CN"/>
        </w:rPr>
        <w:t>进行表决。《员工持股计划（草案）》已经对以下事项作出了明确规定：</w:t>
      </w:r>
    </w:p>
    <w:p w14:paraId="471F278E">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1</w:t>
      </w:r>
      <w:r>
        <w:rPr>
          <w:rFonts w:hint="eastAsia" w:ascii="宋体" w:hAnsi="宋体" w:eastAsia="宋体" w:cs="宋体"/>
          <w:color w:val="000000"/>
          <w:sz w:val="24"/>
          <w:szCs w:val="24"/>
          <w:lang w:eastAsia="zh-CN" w:bidi="ar"/>
        </w:rPr>
        <w:t>．</w:t>
      </w:r>
      <w:r>
        <w:rPr>
          <w:rFonts w:hint="eastAsia" w:ascii="Times New Roman" w:hAnsi="Times New Roman" w:eastAsia="宋体" w:cs="Times New Roman"/>
          <w:color w:val="000000"/>
          <w:sz w:val="24"/>
          <w:szCs w:val="24"/>
          <w:lang w:eastAsia="zh-CN"/>
        </w:rPr>
        <w:t>本次员工持股计划的目的和基本原则；</w:t>
      </w:r>
    </w:p>
    <w:p w14:paraId="04A1059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bidi="ar"/>
        </w:rPr>
      </w:pPr>
      <w:r>
        <w:rPr>
          <w:rFonts w:hint="eastAsia" w:ascii="Times New Roman" w:hAnsi="Times New Roman" w:eastAsia="宋体" w:cs="Times New Roman"/>
          <w:color w:val="000000"/>
          <w:sz w:val="24"/>
          <w:szCs w:val="24"/>
          <w:lang w:eastAsia="zh-CN"/>
        </w:rPr>
        <w:t>2. 本次员工持股计划持有人的确定依据、范围及份额分配情况，</w:t>
      </w:r>
      <w:r>
        <w:rPr>
          <w:rFonts w:hint="eastAsia" w:ascii="Times New Roman" w:hAnsi="Times New Roman" w:eastAsia="宋体" w:cs="Times New Roman"/>
          <w:color w:val="000000"/>
          <w:sz w:val="24"/>
          <w:szCs w:val="24"/>
          <w:lang w:eastAsia="zh-CN" w:bidi="ar"/>
        </w:rPr>
        <w:t>包括拟参加本次员工持股计划的公司董事、高级管理人员的姓名、职务、拟认购份额上限及占总份额的比例，拟参加本次员工持股计划的其他员工的认购份额及占总份额的比例；</w:t>
      </w:r>
    </w:p>
    <w:p w14:paraId="52B220A9">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3</w:t>
      </w:r>
      <w:r>
        <w:rPr>
          <w:rFonts w:ascii="Times New Roman" w:hAnsi="Times New Roman" w:eastAsia="宋体" w:cs="Times New Roman"/>
          <w:color w:val="000000"/>
          <w:sz w:val="24"/>
          <w:szCs w:val="24"/>
          <w:lang w:eastAsia="zh-CN" w:bidi="ar"/>
        </w:rPr>
        <w:t>．</w:t>
      </w:r>
      <w:r>
        <w:rPr>
          <w:rFonts w:hint="eastAsia" w:ascii="Times New Roman" w:hAnsi="Times New Roman" w:eastAsia="宋体" w:cs="Times New Roman"/>
          <w:color w:val="000000"/>
          <w:sz w:val="24"/>
          <w:szCs w:val="24"/>
          <w:lang w:eastAsia="zh-CN"/>
        </w:rPr>
        <w:t>本次员工持股计划的资金来源、股票来源、规模、购股价格及合理性说明；</w:t>
      </w:r>
    </w:p>
    <w:p w14:paraId="2CA673C0">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4</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本次员工持股计划的存续期、锁定期、公司层面业绩考核、个人层面业绩考核及解锁安排；</w:t>
      </w:r>
    </w:p>
    <w:p w14:paraId="6F4DEE4C">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bidi="ar"/>
        </w:rPr>
      </w:pPr>
      <w:r>
        <w:rPr>
          <w:rFonts w:hint="eastAsia" w:ascii="Times New Roman" w:hAnsi="Times New Roman" w:eastAsia="宋体" w:cs="Times New Roman"/>
          <w:color w:val="000000"/>
          <w:sz w:val="24"/>
          <w:szCs w:val="24"/>
          <w:lang w:eastAsia="zh-CN" w:bidi="ar"/>
        </w:rPr>
        <w:t>5</w:t>
      </w:r>
      <w:r>
        <w:rPr>
          <w:rFonts w:ascii="Times New Roman" w:hAnsi="Times New Roman" w:eastAsia="宋体" w:cs="Times New Roman"/>
          <w:color w:val="000000"/>
          <w:sz w:val="24"/>
          <w:szCs w:val="24"/>
          <w:lang w:eastAsia="zh-CN" w:bidi="ar"/>
        </w:rPr>
        <w:t>．存续期内公司融资时本</w:t>
      </w:r>
      <w:r>
        <w:rPr>
          <w:rFonts w:hint="eastAsia" w:ascii="Times New Roman" w:hAnsi="Times New Roman" w:eastAsia="宋体" w:cs="Times New Roman"/>
          <w:color w:val="000000"/>
          <w:sz w:val="24"/>
          <w:szCs w:val="24"/>
          <w:lang w:eastAsia="zh-CN" w:bidi="ar"/>
        </w:rPr>
        <w:t>次</w:t>
      </w:r>
      <w:r>
        <w:rPr>
          <w:rFonts w:ascii="Times New Roman" w:hAnsi="Times New Roman" w:eastAsia="宋体" w:cs="Times New Roman"/>
          <w:color w:val="000000"/>
          <w:sz w:val="24"/>
          <w:szCs w:val="24"/>
          <w:lang w:eastAsia="zh-CN" w:bidi="ar"/>
        </w:rPr>
        <w:t>员工持股计划的参与方式</w:t>
      </w:r>
      <w:r>
        <w:rPr>
          <w:rFonts w:hint="eastAsia" w:ascii="Times New Roman" w:hAnsi="Times New Roman" w:eastAsia="宋体" w:cs="Times New Roman"/>
          <w:color w:val="000000"/>
          <w:sz w:val="24"/>
          <w:szCs w:val="24"/>
          <w:lang w:eastAsia="zh-CN" w:bidi="ar"/>
        </w:rPr>
        <w:t>；</w:t>
      </w:r>
    </w:p>
    <w:p w14:paraId="0F6EE6B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6</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本次员工持股计划的管理</w:t>
      </w:r>
      <w:r>
        <w:rPr>
          <w:rFonts w:hint="eastAsia" w:ascii="Times New Roman" w:hAnsi="Times New Roman" w:eastAsia="宋体" w:cs="Times New Roman"/>
          <w:color w:val="000000"/>
          <w:sz w:val="24"/>
          <w:szCs w:val="24"/>
          <w:lang w:eastAsia="zh-CN"/>
        </w:rPr>
        <w:t>机构及管理</w:t>
      </w:r>
      <w:r>
        <w:rPr>
          <w:rFonts w:ascii="Times New Roman" w:hAnsi="Times New Roman" w:eastAsia="宋体" w:cs="Times New Roman"/>
          <w:color w:val="000000"/>
          <w:sz w:val="24"/>
          <w:szCs w:val="24"/>
          <w:lang w:eastAsia="zh-CN"/>
        </w:rPr>
        <w:t>模式，包括持有人会议的召集、表决程序、表决权行使机制，管理委员会的组成、义务、职责、职权、召集程序等；</w:t>
      </w:r>
    </w:p>
    <w:p w14:paraId="76971A08">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7</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公司与持有人的权利和义务；</w:t>
      </w:r>
    </w:p>
    <w:p w14:paraId="38411690">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bidi="ar"/>
        </w:rPr>
      </w:pPr>
      <w:r>
        <w:rPr>
          <w:rFonts w:hint="eastAsia" w:ascii="Times New Roman" w:hAnsi="Times New Roman" w:eastAsia="宋体" w:cs="Times New Roman"/>
          <w:color w:val="000000"/>
          <w:sz w:val="24"/>
          <w:szCs w:val="24"/>
          <w:lang w:eastAsia="zh-CN" w:bidi="ar"/>
        </w:rPr>
        <w:t>8</w:t>
      </w:r>
      <w:r>
        <w:rPr>
          <w:rFonts w:ascii="Times New Roman" w:hAnsi="Times New Roman" w:eastAsia="宋体" w:cs="Times New Roman"/>
          <w:color w:val="000000"/>
          <w:sz w:val="24"/>
          <w:szCs w:val="24"/>
          <w:lang w:eastAsia="zh-CN" w:bidi="ar"/>
        </w:rPr>
        <w:t>．本次员工持股计划的资产构成及权益分配；</w:t>
      </w:r>
    </w:p>
    <w:p w14:paraId="734E915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9</w:t>
      </w:r>
      <w:r>
        <w:rPr>
          <w:rFonts w:ascii="Times New Roman" w:hAnsi="Times New Roman" w:eastAsia="宋体" w:cs="Times New Roman"/>
          <w:color w:val="000000"/>
          <w:sz w:val="24"/>
          <w:szCs w:val="24"/>
          <w:lang w:eastAsia="zh-CN" w:bidi="ar"/>
        </w:rPr>
        <w:t>．本</w:t>
      </w:r>
      <w:r>
        <w:rPr>
          <w:rFonts w:hint="eastAsia" w:ascii="Times New Roman" w:hAnsi="Times New Roman" w:eastAsia="宋体" w:cs="Times New Roman"/>
          <w:color w:val="000000"/>
          <w:sz w:val="24"/>
          <w:szCs w:val="24"/>
          <w:lang w:eastAsia="zh-CN" w:bidi="ar"/>
        </w:rPr>
        <w:t>次</w:t>
      </w:r>
      <w:r>
        <w:rPr>
          <w:rFonts w:ascii="Times New Roman" w:hAnsi="Times New Roman" w:eastAsia="宋体" w:cs="Times New Roman"/>
          <w:color w:val="000000"/>
          <w:sz w:val="24"/>
          <w:szCs w:val="24"/>
          <w:lang w:eastAsia="zh-CN" w:bidi="ar"/>
        </w:rPr>
        <w:t>员工持股计划的变更、终止及持有人权益的处置，</w:t>
      </w:r>
      <w:r>
        <w:rPr>
          <w:rFonts w:ascii="Times New Roman" w:hAnsi="Times New Roman" w:eastAsia="宋体" w:cs="Times New Roman"/>
          <w:color w:val="000000"/>
          <w:sz w:val="24"/>
          <w:szCs w:val="24"/>
          <w:lang w:eastAsia="zh-CN"/>
        </w:rPr>
        <w:t>包括持有人对通过</w:t>
      </w:r>
      <w:r>
        <w:rPr>
          <w:rFonts w:hint="eastAsia" w:ascii="Times New Roman" w:hAnsi="Times New Roman" w:eastAsia="宋体" w:cs="Times New Roman"/>
          <w:color w:val="000000"/>
          <w:sz w:val="24"/>
          <w:szCs w:val="24"/>
          <w:lang w:eastAsia="zh-CN"/>
        </w:rPr>
        <w:t>本次</w:t>
      </w:r>
      <w:r>
        <w:rPr>
          <w:rFonts w:ascii="Times New Roman" w:hAnsi="Times New Roman" w:eastAsia="宋体" w:cs="Times New Roman"/>
          <w:color w:val="000000"/>
          <w:sz w:val="24"/>
          <w:szCs w:val="24"/>
          <w:lang w:eastAsia="zh-CN"/>
        </w:rPr>
        <w:t>持股计划获得的股份权益的占有、使用、收益和处分的安排，持有人出现离职、退休、死亡或其他不再适合参加持股计划等情形时，所持股份权益的处置办法等；</w:t>
      </w:r>
    </w:p>
    <w:p w14:paraId="3807E591">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10</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本次员工持股计划存续期满后股份的处置办法；</w:t>
      </w:r>
    </w:p>
    <w:p w14:paraId="1929C01F">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11</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本次员工持股计划的会计处理；</w:t>
      </w:r>
    </w:p>
    <w:p w14:paraId="4E102C8C">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ascii="Times New Roman" w:hAnsi="Times New Roman" w:eastAsia="宋体" w:cs="Times New Roman"/>
          <w:color w:val="000000"/>
          <w:sz w:val="24"/>
          <w:szCs w:val="24"/>
          <w:lang w:eastAsia="zh-CN"/>
        </w:rPr>
        <w:t>1</w:t>
      </w:r>
      <w:r>
        <w:rPr>
          <w:rFonts w:hint="eastAsia" w:ascii="Times New Roman" w:hAnsi="Times New Roman" w:eastAsia="宋体" w:cs="Times New Roman"/>
          <w:color w:val="000000"/>
          <w:sz w:val="24"/>
          <w:szCs w:val="24"/>
          <w:lang w:eastAsia="zh-CN"/>
        </w:rPr>
        <w:t>2</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本次员工持股计划的履行程序</w:t>
      </w:r>
      <w:r>
        <w:rPr>
          <w:rFonts w:ascii="Times New Roman" w:hAnsi="Times New Roman" w:eastAsia="宋体" w:cs="Times New Roman"/>
          <w:color w:val="000000"/>
          <w:sz w:val="24"/>
          <w:szCs w:val="24"/>
          <w:lang w:eastAsia="zh-CN" w:bidi="ar"/>
        </w:rPr>
        <w:t>；</w:t>
      </w:r>
    </w:p>
    <w:p w14:paraId="3AF13A8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bidi="ar"/>
        </w:rPr>
      </w:pPr>
      <w:r>
        <w:rPr>
          <w:rFonts w:ascii="Times New Roman" w:hAnsi="Times New Roman" w:eastAsia="宋体" w:cs="Times New Roman"/>
          <w:color w:val="000000"/>
          <w:sz w:val="24"/>
          <w:szCs w:val="24"/>
          <w:lang w:eastAsia="zh-CN" w:bidi="ar"/>
        </w:rPr>
        <w:t>1</w:t>
      </w:r>
      <w:r>
        <w:rPr>
          <w:rFonts w:hint="eastAsia" w:ascii="Times New Roman" w:hAnsi="Times New Roman" w:eastAsia="宋体" w:cs="Times New Roman"/>
          <w:color w:val="000000"/>
          <w:sz w:val="24"/>
          <w:szCs w:val="24"/>
          <w:lang w:eastAsia="zh-CN" w:bidi="ar"/>
        </w:rPr>
        <w:t>3</w:t>
      </w:r>
      <w:r>
        <w:rPr>
          <w:rFonts w:ascii="Times New Roman" w:hAnsi="Times New Roman" w:eastAsia="宋体" w:cs="Times New Roman"/>
          <w:color w:val="000000"/>
          <w:sz w:val="24"/>
          <w:szCs w:val="24"/>
          <w:lang w:eastAsia="zh-CN" w:bidi="ar"/>
        </w:rPr>
        <w:t>．关联关系和一致行动关系说明；</w:t>
      </w:r>
    </w:p>
    <w:p w14:paraId="1C8560C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ascii="Times New Roman" w:hAnsi="Times New Roman" w:eastAsia="宋体" w:cs="Times New Roman"/>
          <w:color w:val="000000"/>
          <w:sz w:val="24"/>
          <w:szCs w:val="24"/>
          <w:lang w:eastAsia="zh-CN"/>
        </w:rPr>
        <w:t>1</w:t>
      </w:r>
      <w:r>
        <w:rPr>
          <w:rFonts w:hint="eastAsia" w:ascii="Times New Roman" w:hAnsi="Times New Roman" w:eastAsia="宋体" w:cs="Times New Roman"/>
          <w:color w:val="000000"/>
          <w:sz w:val="24"/>
          <w:szCs w:val="24"/>
          <w:lang w:eastAsia="zh-CN"/>
        </w:rPr>
        <w:t>4</w:t>
      </w:r>
      <w:r>
        <w:rPr>
          <w:rFonts w:ascii="Times New Roman" w:hAnsi="Times New Roman" w:eastAsia="宋体" w:cs="Times New Roman"/>
          <w:color w:val="000000"/>
          <w:sz w:val="24"/>
          <w:szCs w:val="24"/>
          <w:lang w:eastAsia="zh-CN" w:bidi="ar"/>
        </w:rPr>
        <w:t>．</w:t>
      </w:r>
      <w:r>
        <w:rPr>
          <w:rFonts w:ascii="Times New Roman" w:hAnsi="Times New Roman" w:eastAsia="宋体" w:cs="Times New Roman"/>
          <w:color w:val="000000"/>
          <w:sz w:val="24"/>
          <w:szCs w:val="24"/>
          <w:lang w:eastAsia="zh-CN"/>
        </w:rPr>
        <w:t>其他重要内容。</w:t>
      </w:r>
    </w:p>
    <w:p w14:paraId="10258732">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经核查，本所律师认为，本次员工持股计划的内容符合《试点指导意见》第三部分第（九）项的规定及《监管指引》“第七章 其他重大事件管理”之“第七节 员工持股计划”第7</w:t>
      </w:r>
      <w:r>
        <w:rPr>
          <w:rFonts w:ascii="Times New Roman" w:hAnsi="Times New Roman" w:eastAsia="宋体" w:cs="Times New Roman"/>
          <w:color w:val="000000"/>
          <w:sz w:val="24"/>
          <w:szCs w:val="24"/>
          <w:lang w:eastAsia="zh-CN"/>
        </w:rPr>
        <w:t>.</w:t>
      </w:r>
      <w:r>
        <w:rPr>
          <w:rFonts w:hint="eastAsia" w:ascii="Times New Roman" w:hAnsi="Times New Roman" w:eastAsia="宋体" w:cs="Times New Roman"/>
          <w:color w:val="000000"/>
          <w:sz w:val="24"/>
          <w:szCs w:val="24"/>
          <w:lang w:eastAsia="zh-CN"/>
        </w:rPr>
        <w:t>7</w:t>
      </w:r>
      <w:r>
        <w:rPr>
          <w:rFonts w:ascii="Times New Roman" w:hAnsi="Times New Roman" w:eastAsia="宋体" w:cs="Times New Roman"/>
          <w:color w:val="000000"/>
          <w:sz w:val="24"/>
          <w:szCs w:val="24"/>
          <w:lang w:eastAsia="zh-CN"/>
        </w:rPr>
        <w:t>.7条的规定</w:t>
      </w:r>
      <w:r>
        <w:rPr>
          <w:rFonts w:hint="eastAsia" w:ascii="Times New Roman" w:hAnsi="Times New Roman" w:eastAsia="宋体" w:cs="Times New Roman"/>
          <w:color w:val="000000"/>
          <w:sz w:val="24"/>
          <w:szCs w:val="24"/>
          <w:lang w:eastAsia="zh-CN"/>
        </w:rPr>
        <w:t>。</w:t>
      </w:r>
    </w:p>
    <w:p w14:paraId="408C71A0">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十一）本次员工持股计划持有人包括公司部分董事和高级管理人员，《员工持股计划（草案）》中规定，公司董事会及股东会审议与本次员工持股计划有关事项时，相关董事、股东均应回避表决。上述安排合法合规，符合《监管指引》“第七章 其他重大事件管理”之“第七节 员工持股计划”第7.7.6及7.7.9条的规定。</w:t>
      </w:r>
    </w:p>
    <w:p w14:paraId="2CD0E1B2">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十二）根据《员工持股计划（草案）》的规定，在员工持股计划存续期内，公司以配股、增发、可转债等方式融资时，由管理委员会商议是否参与融资及资金解决方案，并提交持有人会议审议。上述内容合法合规，符合《监管指引》“第七章 其他重大事件管理”之“第七节 员工持股计划”的规定。</w:t>
      </w:r>
    </w:p>
    <w:p w14:paraId="5D6D3794">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十三）根据《员工持股计划（草案）》的规定，公司部分董事及高级管理人员拟参与本次员工持股计划，以上持有人与本次员工持股计划存在关联关系。除上述人员外，本次员工持股计划与公司控股股东、实际控制人及其他董事、高级管理人员之间不存在关联关系。公司实际控制人、控股股东、董事、高级管理人员与本次员工持股计划不构成一致行动关系，具体理由如下：</w:t>
      </w:r>
    </w:p>
    <w:p w14:paraId="1E0B5024">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1. 公司控股股东、实际控制人未参加本次员工持股计划，本次员工持股计划未与公司控股股东、实际控制人签署一致行动协议或存在一致行动安排。</w:t>
      </w:r>
    </w:p>
    <w:p w14:paraId="4D3B4B4C">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2. 本次员工持股计划持有人与公司董事、高级管理人员之间无关联关系，均未签署一致行动协议或存在一致行动的相关安排。持有人会议为本次员工持股计划的最高权力机构，持有人会议选举产生管理委员会，监督本次员工持股计划的日常管理，且本次持股计划持有人持有的份额较为分散，</w:t>
      </w:r>
      <w:r>
        <w:rPr>
          <w:rFonts w:ascii="Times New Roman" w:hAnsi="Times New Roman" w:eastAsia="宋体" w:cs="Times New Roman"/>
          <w:color w:val="000000"/>
          <w:sz w:val="24"/>
          <w:szCs w:val="24"/>
          <w:lang w:eastAsia="zh-CN"/>
        </w:rPr>
        <w:t>任意单一持有人均无法对持有人会议及管理委员会决策产生重大影响</w:t>
      </w:r>
      <w:r>
        <w:rPr>
          <w:rFonts w:hint="eastAsia" w:ascii="Times New Roman" w:hAnsi="Times New Roman" w:eastAsia="宋体" w:cs="Times New Roman"/>
          <w:color w:val="000000"/>
          <w:sz w:val="24"/>
          <w:szCs w:val="24"/>
          <w:lang w:eastAsia="zh-CN"/>
        </w:rPr>
        <w:t>。</w:t>
      </w:r>
    </w:p>
    <w:p w14:paraId="5AC04338">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3. 本次员工持股计划的管理运营工作与公司控股股东、实际控制人及董事、高级管理人员保持独立。在公司股东会、董事会审议本次员工持股计划相关提案时相关人员均将回避表决。上市公司股东会审议与参与本次员工持股计划的董事、高级管理人员有关事项时，本次员工持股计划应回避表决。</w:t>
      </w:r>
    </w:p>
    <w:p w14:paraId="6FB0217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因此，本次员工持股计划与公司控股股东、实际控制人、董事、高级管理人员不存在一致行动关系，上述认定符合《监管指引》“第七章 其他重大事件管理”之“第七节 员工持股计划”的规定。</w:t>
      </w:r>
    </w:p>
    <w:p w14:paraId="11BAD02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经核查，综上所述，本所律师认为，本次员工持股计划符合《试点指导意见》及《监管指引》的相关规定。</w:t>
      </w:r>
    </w:p>
    <w:p w14:paraId="3DF09248">
      <w:pPr>
        <w:autoSpaceDE w:val="0"/>
        <w:autoSpaceDN w:val="0"/>
        <w:adjustRightInd w:val="0"/>
        <w:spacing w:before="240" w:beforeLines="100" w:after="240" w:afterLines="100" w:line="360" w:lineRule="auto"/>
        <w:ind w:firstLine="480" w:firstLineChars="200"/>
        <w:jc w:val="both"/>
        <w:outlineLvl w:val="0"/>
        <w:rPr>
          <w:rFonts w:ascii="Times New Roman" w:hAnsi="Times New Roman" w:eastAsia="宋体" w:cs="Times New Roman"/>
          <w:b/>
          <w:color w:val="000000"/>
          <w:sz w:val="24"/>
          <w:szCs w:val="24"/>
          <w:lang w:eastAsia="zh-CN"/>
        </w:rPr>
      </w:pPr>
      <w:r>
        <w:rPr>
          <w:rFonts w:hint="eastAsia" w:ascii="Times New Roman" w:hAnsi="Times New Roman" w:eastAsia="宋体" w:cs="Times New Roman"/>
          <w:b/>
          <w:color w:val="000000"/>
          <w:sz w:val="24"/>
          <w:szCs w:val="24"/>
          <w:lang w:eastAsia="zh-CN"/>
        </w:rPr>
        <w:t>三、本次员工持股计划涉及的法定程序</w:t>
      </w:r>
    </w:p>
    <w:p w14:paraId="22A6D2C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bCs/>
          <w:color w:val="000000"/>
          <w:sz w:val="24"/>
          <w:szCs w:val="24"/>
          <w:lang w:eastAsia="zh-CN"/>
        </w:rPr>
      </w:pPr>
      <w:r>
        <w:rPr>
          <w:rFonts w:hint="eastAsia" w:ascii="Times New Roman" w:hAnsi="Times New Roman" w:eastAsia="宋体" w:cs="Times New Roman"/>
          <w:bCs/>
          <w:color w:val="000000"/>
          <w:sz w:val="24"/>
          <w:szCs w:val="24"/>
          <w:lang w:eastAsia="zh-CN"/>
        </w:rPr>
        <w:t>（一）已履行的程序</w:t>
      </w:r>
    </w:p>
    <w:p w14:paraId="52A49E98">
      <w:pPr>
        <w:tabs>
          <w:tab w:val="left" w:pos="440"/>
        </w:tabs>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ascii="Times New Roman" w:hAnsi="Times New Roman" w:eastAsia="宋体" w:cs="Times New Roman"/>
          <w:color w:val="000000"/>
          <w:sz w:val="24"/>
          <w:szCs w:val="24"/>
          <w:lang w:eastAsia="zh-CN" w:bidi="ar"/>
        </w:rPr>
        <w:t>1</w:t>
      </w:r>
      <w:r>
        <w:rPr>
          <w:rFonts w:hint="eastAsia" w:ascii="宋体" w:hAnsi="宋体" w:eastAsia="宋体" w:cs="宋体"/>
          <w:color w:val="000000"/>
          <w:sz w:val="24"/>
          <w:szCs w:val="24"/>
          <w:lang w:eastAsia="zh-CN" w:bidi="ar"/>
        </w:rPr>
        <w:t>．</w:t>
      </w:r>
      <w:r>
        <w:rPr>
          <w:rFonts w:hint="eastAsia" w:ascii="Times New Roman" w:hAnsi="Times New Roman" w:eastAsia="宋体" w:cs="Times New Roman"/>
          <w:color w:val="000000"/>
          <w:sz w:val="24"/>
          <w:szCs w:val="24"/>
          <w:lang w:eastAsia="zh-CN" w:bidi="ar"/>
        </w:rPr>
        <w:t>2026年8月27</w:t>
      </w:r>
      <w:r>
        <w:rPr>
          <w:rFonts w:hint="eastAsia" w:ascii="宋体" w:hAnsi="宋体" w:eastAsia="宋体" w:cs="宋体"/>
          <w:color w:val="000000"/>
          <w:sz w:val="24"/>
          <w:szCs w:val="24"/>
          <w:lang w:eastAsia="zh-CN" w:bidi="ar"/>
        </w:rPr>
        <w:t>日，公司第二届</w:t>
      </w:r>
      <w:r>
        <w:rPr>
          <w:rFonts w:hint="eastAsia" w:ascii="Times New Roman" w:hAnsi="Times New Roman" w:eastAsia="宋体" w:cs="Times New Roman"/>
          <w:color w:val="000000"/>
          <w:sz w:val="24"/>
          <w:szCs w:val="24"/>
          <w:lang w:eastAsia="zh-CN" w:bidi="ar"/>
        </w:rPr>
        <w:t>职工代表大会第六次会议审议通过了</w:t>
      </w:r>
      <w:r>
        <w:rPr>
          <w:rFonts w:hint="eastAsia" w:ascii="Times New Roman" w:hAnsi="Times New Roman" w:eastAsia="宋体" w:cs="Times New Roman"/>
          <w:color w:val="000000"/>
          <w:sz w:val="24"/>
          <w:szCs w:val="24"/>
          <w:lang w:eastAsia="zh-CN"/>
        </w:rPr>
        <w:t>《关于&lt;广东天亿马信息产业股份有限公司2026年员工持股计划（草案）及其摘要&gt;的议案》</w:t>
      </w:r>
      <w:r>
        <w:rPr>
          <w:rFonts w:hint="eastAsia" w:ascii="Times New Roman" w:hAnsi="Times New Roman" w:eastAsia="宋体" w:cs="Times New Roman"/>
          <w:color w:val="000000"/>
          <w:sz w:val="24"/>
          <w:szCs w:val="24"/>
          <w:lang w:eastAsia="zh-CN" w:bidi="ar"/>
        </w:rPr>
        <w:t>，</w:t>
      </w:r>
      <w:r>
        <w:rPr>
          <w:rFonts w:hint="eastAsia" w:ascii="宋体" w:hAnsi="宋体" w:eastAsia="宋体" w:cs="宋体"/>
          <w:color w:val="000000"/>
          <w:sz w:val="24"/>
          <w:szCs w:val="24"/>
          <w:lang w:eastAsia="zh-CN" w:bidi="ar"/>
        </w:rPr>
        <w:t>符合《试点指导意见》第三部分第（八）项的相关规定。</w:t>
      </w:r>
    </w:p>
    <w:p w14:paraId="2B0CA616">
      <w:pPr>
        <w:tabs>
          <w:tab w:val="left" w:pos="4180"/>
        </w:tabs>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bidi="ar"/>
        </w:rPr>
      </w:pPr>
      <w:r>
        <w:rPr>
          <w:rFonts w:hint="eastAsia" w:ascii="Times New Roman" w:hAnsi="Times New Roman" w:eastAsia="宋体" w:cs="Times New Roman"/>
          <w:color w:val="000000"/>
          <w:sz w:val="24"/>
          <w:szCs w:val="24"/>
          <w:lang w:eastAsia="zh-CN" w:bidi="ar"/>
        </w:rPr>
        <w:t>2．2026年8月28日，公司第四届董事会薪酬与考核委员会第三次会议审议通过了</w:t>
      </w:r>
      <w:r>
        <w:rPr>
          <w:rFonts w:ascii="Times New Roman" w:hAnsi="Times New Roman" w:eastAsia="宋体" w:cs="Times New Roman"/>
          <w:color w:val="000000"/>
          <w:sz w:val="24"/>
          <w:szCs w:val="24"/>
          <w:lang w:eastAsia="zh-CN"/>
        </w:rPr>
        <w:t>《关于&lt;</w:t>
      </w:r>
      <w:r>
        <w:rPr>
          <w:rFonts w:hint="eastAsia" w:ascii="Times New Roman" w:hAnsi="Times New Roman" w:eastAsia="宋体" w:cs="Times New Roman"/>
          <w:color w:val="000000"/>
          <w:sz w:val="24"/>
          <w:szCs w:val="24"/>
          <w:lang w:eastAsia="zh-CN"/>
        </w:rPr>
        <w:t>广东天亿马信息产业股份有限公司</w:t>
      </w:r>
      <w:r>
        <w:rPr>
          <w:rFonts w:ascii="Times New Roman" w:hAnsi="Times New Roman" w:eastAsia="宋体" w:cs="Times New Roman"/>
          <w:color w:val="000000"/>
          <w:sz w:val="24"/>
          <w:szCs w:val="24"/>
          <w:lang w:eastAsia="zh-CN"/>
        </w:rPr>
        <w:t>2026年员工持股计划（草案）及其摘要&gt;的议案》</w:t>
      </w:r>
      <w:r>
        <w:rPr>
          <w:rFonts w:hint="eastAsia" w:ascii="Times New Roman" w:hAnsi="Times New Roman" w:eastAsia="宋体" w:cs="Times New Roman"/>
          <w:color w:val="000000"/>
          <w:sz w:val="24"/>
          <w:szCs w:val="24"/>
          <w:lang w:eastAsia="zh-CN"/>
        </w:rPr>
        <w:t>及《关于&lt;广东天亿马信息产业股份有限公司2026年员工持股计划管理办法&gt;的议案》</w:t>
      </w:r>
      <w:r>
        <w:rPr>
          <w:rFonts w:hint="eastAsia" w:ascii="Times New Roman" w:hAnsi="Times New Roman" w:eastAsia="宋体" w:cs="Times New Roman"/>
          <w:color w:val="000000"/>
          <w:sz w:val="24"/>
          <w:szCs w:val="24"/>
          <w:lang w:eastAsia="zh-CN" w:bidi="ar"/>
        </w:rPr>
        <w:t>。同时，公司董事会薪酬与考核委员会出具核查意见，认为公司实施本次员工持股计划不会损害公司及全体股东的利益，有利于公司持续发展，符合《试点指导意见》第三部分第（十）项的规定。</w:t>
      </w:r>
    </w:p>
    <w:p w14:paraId="61A58148">
      <w:pPr>
        <w:tabs>
          <w:tab w:val="left" w:pos="4180"/>
        </w:tabs>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bidi="ar"/>
        </w:rPr>
      </w:pPr>
      <w:r>
        <w:rPr>
          <w:rFonts w:hint="eastAsia" w:ascii="Times New Roman" w:hAnsi="Times New Roman" w:eastAsia="宋体" w:cs="Times New Roman"/>
          <w:color w:val="000000"/>
          <w:sz w:val="24"/>
          <w:szCs w:val="24"/>
          <w:lang w:eastAsia="zh-CN" w:bidi="ar"/>
        </w:rPr>
        <w:t>3．2026年8月28日，公司第四届董事会第十一次会议审议通过了《关于&lt;广东天亿马信息产业股份有限公司2026年员工持股计划（草案）及其摘要&gt;的议案》《关于&lt;广东天亿马信息产业股份有限公司2026年员工持股计划管理办法&gt;的议案》</w:t>
      </w:r>
      <w:r>
        <w:rPr>
          <w:rFonts w:hint="eastAsia" w:ascii="Times New Roman" w:hAnsi="Times New Roman" w:eastAsia="宋体" w:cs="Times New Roman"/>
          <w:color w:val="000000"/>
          <w:sz w:val="24"/>
          <w:szCs w:val="24"/>
          <w:lang w:eastAsia="zh-CN"/>
        </w:rPr>
        <w:t>《关于提请股东会授权董事会办理2026年员工持股计划有关事项的议案》及</w:t>
      </w:r>
      <w:r>
        <w:rPr>
          <w:rFonts w:ascii="Times New Roman" w:hAnsi="Times New Roman" w:eastAsia="宋体" w:cs="Times New Roman"/>
          <w:sz w:val="24"/>
          <w:szCs w:val="24"/>
          <w:lang w:eastAsia="zh-CN"/>
        </w:rPr>
        <w:t>《关于提请召开2026年第四次临时股东会的议案》</w:t>
      </w:r>
      <w:r>
        <w:rPr>
          <w:rFonts w:hint="eastAsia" w:ascii="Times New Roman" w:hAnsi="Times New Roman" w:eastAsia="宋体" w:cs="Times New Roman"/>
          <w:color w:val="000000"/>
          <w:sz w:val="24"/>
          <w:szCs w:val="24"/>
          <w:lang w:eastAsia="zh-CN" w:bidi="ar"/>
        </w:rPr>
        <w:t>。关联董事郭树荣对前述三个议案回避表决。本次董事会同意本次员工持股计划相关议案提交至股东会进行表决，符合《试点指导意见》第三部分第（九）项的规定。</w:t>
      </w:r>
    </w:p>
    <w:p w14:paraId="3C2AD5B9">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bidi="ar"/>
        </w:rPr>
        <w:t>4．</w:t>
      </w:r>
      <w:r>
        <w:rPr>
          <w:rFonts w:hint="eastAsia" w:ascii="宋体" w:hAnsi="宋体" w:eastAsia="宋体" w:cs="宋体"/>
          <w:color w:val="000000"/>
          <w:sz w:val="24"/>
          <w:szCs w:val="24"/>
          <w:lang w:eastAsia="zh-CN" w:bidi="ar"/>
        </w:rPr>
        <w:t>公司聘请了本所就本次员工持股计划出具法律意见书，符合《试点指导意见》第三部分第（十一）项的规定。</w:t>
      </w:r>
    </w:p>
    <w:p w14:paraId="0840C75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bCs/>
          <w:color w:val="000000"/>
          <w:sz w:val="24"/>
          <w:szCs w:val="24"/>
          <w:lang w:eastAsia="zh-CN"/>
        </w:rPr>
      </w:pPr>
      <w:r>
        <w:rPr>
          <w:rFonts w:hint="eastAsia" w:ascii="Times New Roman" w:hAnsi="Times New Roman" w:eastAsia="宋体" w:cs="Times New Roman"/>
          <w:bCs/>
          <w:color w:val="000000"/>
          <w:sz w:val="24"/>
          <w:szCs w:val="24"/>
          <w:lang w:eastAsia="zh-CN"/>
        </w:rPr>
        <w:t>（二）尚需履行的程序</w:t>
      </w:r>
    </w:p>
    <w:p w14:paraId="5F9381EE">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经本所律师核查，公司股东会尚需对《员工持股计划（草案）》等相关议案进行审议，并经出席会议的非关联股东所持表决权过半数通过，关联股东应回避表决。</w:t>
      </w:r>
    </w:p>
    <w:p w14:paraId="7E61B6A3">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经核查，本所律师认为，截至本法律意见书出具之日，公司本次员工持股计划已经按照《试点指导意见》及《监管指引》的规定履行了现阶段必要的法律程序，本次员工持股计划的实施尚需公司股东会审议通过。</w:t>
      </w:r>
    </w:p>
    <w:p w14:paraId="5D9A9264">
      <w:pPr>
        <w:autoSpaceDE w:val="0"/>
        <w:autoSpaceDN w:val="0"/>
        <w:adjustRightInd w:val="0"/>
        <w:spacing w:before="240" w:beforeLines="100" w:after="240" w:afterLines="100" w:line="360" w:lineRule="auto"/>
        <w:ind w:firstLine="480" w:firstLineChars="200"/>
        <w:jc w:val="both"/>
        <w:outlineLvl w:val="0"/>
        <w:rPr>
          <w:rFonts w:ascii="Times New Roman" w:hAnsi="Times New Roman" w:eastAsia="宋体" w:cs="Times New Roman"/>
          <w:b/>
          <w:color w:val="000000"/>
          <w:sz w:val="24"/>
          <w:szCs w:val="24"/>
          <w:lang w:eastAsia="zh-CN"/>
        </w:rPr>
      </w:pPr>
      <w:r>
        <w:rPr>
          <w:rFonts w:hint="eastAsia" w:ascii="Times New Roman" w:hAnsi="Times New Roman" w:eastAsia="宋体" w:cs="Times New Roman"/>
          <w:b/>
          <w:color w:val="000000"/>
          <w:sz w:val="24"/>
          <w:szCs w:val="24"/>
          <w:lang w:eastAsia="zh-CN"/>
        </w:rPr>
        <w:t>四、本次员工持股计划的信息披露</w:t>
      </w:r>
    </w:p>
    <w:p w14:paraId="645F29E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bCs/>
          <w:color w:val="000000"/>
          <w:sz w:val="24"/>
          <w:szCs w:val="24"/>
          <w:lang w:eastAsia="zh-CN"/>
        </w:rPr>
      </w:pPr>
      <w:r>
        <w:rPr>
          <w:rFonts w:hint="eastAsia" w:ascii="Times New Roman" w:hAnsi="Times New Roman" w:eastAsia="宋体" w:cs="Times New Roman"/>
          <w:bCs/>
          <w:color w:val="000000"/>
          <w:sz w:val="24"/>
          <w:szCs w:val="24"/>
          <w:lang w:eastAsia="zh-CN"/>
        </w:rPr>
        <w:t>（一）已履行的信息披露</w:t>
      </w:r>
    </w:p>
    <w:p w14:paraId="2C3D9921">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bookmarkStart w:id="3" w:name="_Hlk143114672"/>
      <w:r>
        <w:rPr>
          <w:rFonts w:hint="eastAsia" w:ascii="Times New Roman" w:hAnsi="Times New Roman" w:eastAsia="宋体" w:cs="Times New Roman"/>
          <w:color w:val="000000"/>
          <w:sz w:val="24"/>
          <w:szCs w:val="24"/>
          <w:lang w:eastAsia="zh-CN"/>
        </w:rPr>
        <w:t>第四届董事会第十一次会议结束后，公司已于2026年8月29日在巨潮资讯网</w:t>
      </w:r>
      <w:r>
        <w:rPr>
          <w:rFonts w:hint="eastAsia" w:ascii="Times New Roman" w:hAnsi="Times New Roman" w:cs="Times New Roman"/>
          <w:sz w:val="24"/>
          <w:szCs w:val="24"/>
          <w:lang w:eastAsia="zh-CN"/>
        </w:rPr>
        <w:t>（</w:t>
      </w:r>
      <w:r>
        <w:rPr>
          <w:rFonts w:ascii="Times New Roman" w:hAnsi="Times New Roman" w:cs="Times New Roman"/>
          <w:color w:val="0000FF"/>
          <w:sz w:val="24"/>
          <w:szCs w:val="24"/>
          <w:u w:val="single"/>
          <w:lang w:eastAsia="zh-CN"/>
        </w:rPr>
        <w:t>www.cninfo.com.cn</w:t>
      </w:r>
      <w:r>
        <w:rPr>
          <w:rFonts w:hint="eastAsia" w:ascii="Times New Roman" w:hAnsi="Times New Roman" w:cs="Times New Roman"/>
          <w:sz w:val="24"/>
          <w:szCs w:val="24"/>
          <w:lang w:eastAsia="zh-CN"/>
        </w:rPr>
        <w:t>）</w:t>
      </w:r>
      <w:r>
        <w:rPr>
          <w:rFonts w:hint="eastAsia" w:ascii="Times New Roman" w:hAnsi="Times New Roman" w:eastAsia="宋体" w:cs="Times New Roman"/>
          <w:color w:val="000000"/>
          <w:sz w:val="24"/>
          <w:szCs w:val="24"/>
          <w:lang w:eastAsia="zh-CN"/>
        </w:rPr>
        <w:t>公告《广东天亿马信息产业股份有限公司第四届</w:t>
      </w:r>
      <w:bookmarkStart w:id="4" w:name="OLE_LINK3"/>
      <w:bookmarkStart w:id="5" w:name="OLE_LINK4"/>
      <w:r>
        <w:rPr>
          <w:rFonts w:hint="eastAsia" w:ascii="Times New Roman" w:hAnsi="Times New Roman" w:eastAsia="宋体" w:cs="Times New Roman"/>
          <w:color w:val="000000"/>
          <w:sz w:val="24"/>
          <w:szCs w:val="24"/>
          <w:lang w:eastAsia="zh-CN"/>
        </w:rPr>
        <w:t>董事会第十一次会议决议公告</w:t>
      </w:r>
      <w:bookmarkEnd w:id="4"/>
      <w:bookmarkEnd w:id="5"/>
      <w:r>
        <w:rPr>
          <w:rFonts w:hint="eastAsia" w:ascii="Times New Roman" w:hAnsi="Times New Roman" w:eastAsia="宋体" w:cs="Times New Roman"/>
          <w:color w:val="000000"/>
          <w:sz w:val="24"/>
          <w:szCs w:val="24"/>
          <w:lang w:eastAsia="zh-CN"/>
        </w:rPr>
        <w:t>》《员工持股计划（草案）》及《</w:t>
      </w:r>
      <w:bookmarkStart w:id="6" w:name="OLE_LINK1"/>
      <w:bookmarkStart w:id="7" w:name="OLE_LINK2"/>
      <w:r>
        <w:rPr>
          <w:rFonts w:hint="eastAsia" w:ascii="Times New Roman" w:hAnsi="Times New Roman" w:eastAsia="宋体" w:cs="Times New Roman"/>
          <w:color w:val="000000"/>
          <w:sz w:val="24"/>
          <w:szCs w:val="24"/>
          <w:lang w:eastAsia="zh-CN"/>
        </w:rPr>
        <w:t>广东天亿马信息产业股份有限公司</w:t>
      </w:r>
      <w:bookmarkEnd w:id="6"/>
      <w:bookmarkEnd w:id="7"/>
      <w:r>
        <w:rPr>
          <w:rFonts w:hint="eastAsia" w:ascii="Times New Roman" w:hAnsi="Times New Roman" w:eastAsia="宋体" w:cs="Times New Roman"/>
          <w:color w:val="000000"/>
          <w:sz w:val="24"/>
          <w:szCs w:val="24"/>
          <w:lang w:eastAsia="zh-CN"/>
        </w:rPr>
        <w:t>2026年员工持股计划管理办法》等相关文件</w:t>
      </w:r>
      <w:bookmarkEnd w:id="3"/>
      <w:r>
        <w:rPr>
          <w:rFonts w:hint="eastAsia" w:ascii="Times New Roman" w:hAnsi="Times New Roman" w:eastAsia="宋体" w:cs="Times New Roman"/>
          <w:color w:val="000000"/>
          <w:sz w:val="24"/>
          <w:szCs w:val="24"/>
          <w:lang w:eastAsia="zh-CN"/>
        </w:rPr>
        <w:t>。</w:t>
      </w:r>
    </w:p>
    <w:p w14:paraId="3E94EB42">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bCs/>
          <w:color w:val="000000"/>
          <w:sz w:val="24"/>
          <w:szCs w:val="24"/>
          <w:lang w:eastAsia="zh-CN"/>
        </w:rPr>
      </w:pPr>
      <w:r>
        <w:rPr>
          <w:rFonts w:hint="eastAsia" w:ascii="Times New Roman" w:hAnsi="Times New Roman" w:eastAsia="宋体" w:cs="Times New Roman"/>
          <w:bCs/>
          <w:color w:val="000000"/>
          <w:sz w:val="24"/>
          <w:szCs w:val="24"/>
          <w:lang w:eastAsia="zh-CN"/>
        </w:rPr>
        <w:t>（二）尚需履行的信息披露</w:t>
      </w:r>
    </w:p>
    <w:p w14:paraId="0D81A88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根据《试点指导意见》</w:t>
      </w:r>
      <w:r>
        <w:rPr>
          <w:rFonts w:ascii="Times New Roman" w:hAnsi="Times New Roman" w:eastAsia="宋体" w:cs="Times New Roman"/>
          <w:color w:val="000000"/>
          <w:sz w:val="24"/>
          <w:szCs w:val="24"/>
          <w:lang w:eastAsia="zh-CN"/>
        </w:rPr>
        <w:t>及</w:t>
      </w:r>
      <w:r>
        <w:rPr>
          <w:rFonts w:hint="eastAsia" w:ascii="Times New Roman" w:hAnsi="Times New Roman" w:eastAsia="宋体" w:cs="Times New Roman"/>
          <w:color w:val="000000"/>
          <w:sz w:val="24"/>
          <w:szCs w:val="24"/>
          <w:lang w:eastAsia="zh-CN"/>
        </w:rPr>
        <w:t>《监管指引》的相关规定，就本次员工持股计划实施，公司尚需按照相关法律、法规及规范性文件的相应规定继续履行信息披露义务，包括但不限于：</w:t>
      </w:r>
    </w:p>
    <w:p w14:paraId="12496121">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ascii="Times New Roman" w:hAnsi="Times New Roman" w:eastAsia="宋体" w:cs="Times New Roman"/>
          <w:color w:val="000000"/>
          <w:sz w:val="24"/>
          <w:szCs w:val="24"/>
          <w:lang w:eastAsia="zh-CN"/>
        </w:rPr>
        <w:t>1</w:t>
      </w:r>
      <w:r>
        <w:rPr>
          <w:rFonts w:hint="eastAsia" w:ascii="Times New Roman" w:hAnsi="Times New Roman" w:eastAsia="宋体" w:cs="Times New Roman"/>
          <w:color w:val="000000"/>
          <w:sz w:val="24"/>
          <w:szCs w:val="24"/>
          <w:lang w:eastAsia="zh-CN"/>
        </w:rPr>
        <w:t>．</w:t>
      </w:r>
      <w:r>
        <w:rPr>
          <w:rFonts w:ascii="Times New Roman" w:hAnsi="Times New Roman" w:eastAsia="宋体" w:cs="Times New Roman"/>
          <w:color w:val="000000"/>
          <w:sz w:val="24"/>
          <w:szCs w:val="24"/>
          <w:lang w:eastAsia="zh-CN"/>
        </w:rPr>
        <w:t>在审议本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w:t>
      </w:r>
      <w:r>
        <w:rPr>
          <w:rFonts w:hint="eastAsia" w:ascii="Times New Roman" w:hAnsi="Times New Roman" w:eastAsia="宋体" w:cs="Times New Roman"/>
          <w:color w:val="000000"/>
          <w:sz w:val="24"/>
          <w:szCs w:val="24"/>
          <w:lang w:eastAsia="zh-CN"/>
        </w:rPr>
        <w:t>相关议案的股东会现场会议召开的</w:t>
      </w:r>
      <w:r>
        <w:rPr>
          <w:rFonts w:ascii="Times New Roman" w:hAnsi="Times New Roman" w:eastAsia="宋体" w:cs="Times New Roman"/>
          <w:color w:val="000000"/>
          <w:sz w:val="24"/>
          <w:szCs w:val="24"/>
          <w:lang w:eastAsia="zh-CN"/>
        </w:rPr>
        <w:t>2</w:t>
      </w:r>
      <w:r>
        <w:rPr>
          <w:rFonts w:hint="eastAsia" w:ascii="Times New Roman" w:hAnsi="Times New Roman" w:eastAsia="宋体" w:cs="Times New Roman"/>
          <w:color w:val="000000"/>
          <w:sz w:val="24"/>
          <w:szCs w:val="24"/>
          <w:lang w:eastAsia="zh-CN"/>
        </w:rPr>
        <w:t>个交易日前</w:t>
      </w:r>
      <w:r>
        <w:rPr>
          <w:rFonts w:ascii="Times New Roman" w:hAnsi="Times New Roman" w:eastAsia="宋体" w:cs="Times New Roman"/>
          <w:color w:val="000000"/>
          <w:sz w:val="24"/>
          <w:szCs w:val="24"/>
          <w:lang w:eastAsia="zh-CN"/>
        </w:rPr>
        <w:t>公告本法律意见书</w:t>
      </w:r>
      <w:r>
        <w:rPr>
          <w:rFonts w:hint="eastAsia" w:ascii="Times New Roman" w:hAnsi="Times New Roman" w:eastAsia="宋体" w:cs="Times New Roman"/>
          <w:color w:val="000000"/>
          <w:sz w:val="24"/>
          <w:szCs w:val="24"/>
          <w:lang w:eastAsia="zh-CN"/>
        </w:rPr>
        <w:t>；</w:t>
      </w:r>
    </w:p>
    <w:p w14:paraId="37697AFC">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2．</w:t>
      </w:r>
      <w:r>
        <w:rPr>
          <w:rFonts w:ascii="Times New Roman" w:hAnsi="Times New Roman" w:eastAsia="宋体" w:cs="Times New Roman"/>
          <w:color w:val="000000"/>
          <w:sz w:val="24"/>
          <w:szCs w:val="24"/>
          <w:lang w:eastAsia="zh-CN"/>
        </w:rPr>
        <w:t>待</w:t>
      </w:r>
      <w:r>
        <w:rPr>
          <w:rFonts w:hint="eastAsia" w:ascii="Times New Roman" w:hAnsi="Times New Roman" w:eastAsia="宋体" w:cs="Times New Roman"/>
          <w:color w:val="000000"/>
          <w:sz w:val="24"/>
          <w:szCs w:val="24"/>
          <w:lang w:eastAsia="zh-CN"/>
        </w:rPr>
        <w:t>股东会</w:t>
      </w:r>
      <w:r>
        <w:rPr>
          <w:rFonts w:ascii="Times New Roman" w:hAnsi="Times New Roman" w:eastAsia="宋体" w:cs="Times New Roman"/>
          <w:color w:val="000000"/>
          <w:sz w:val="24"/>
          <w:szCs w:val="24"/>
          <w:lang w:eastAsia="zh-CN"/>
        </w:rPr>
        <w:t>审议通过本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员工持股计划后的2个交易日内，公司应当披露</w:t>
      </w:r>
      <w:r>
        <w:rPr>
          <w:rFonts w:hint="eastAsia" w:ascii="Times New Roman" w:hAnsi="Times New Roman" w:eastAsia="宋体" w:cs="Times New Roman"/>
          <w:color w:val="000000"/>
          <w:sz w:val="24"/>
          <w:szCs w:val="24"/>
          <w:lang w:eastAsia="zh-CN"/>
        </w:rPr>
        <w:t>股东会决议公告等文件；</w:t>
      </w:r>
    </w:p>
    <w:p w14:paraId="40809793">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3．公司应在标的股票过户至本次员工持股计划名下的2个交易日内，及时披露获得标的股票的时间、数量等情况</w:t>
      </w:r>
      <w:r>
        <w:rPr>
          <w:rFonts w:ascii="Times New Roman" w:hAnsi="Times New Roman" w:eastAsia="宋体" w:cs="Times New Roman"/>
          <w:color w:val="000000"/>
          <w:sz w:val="24"/>
          <w:szCs w:val="24"/>
          <w:lang w:eastAsia="zh-CN"/>
        </w:rPr>
        <w:t>。</w:t>
      </w:r>
    </w:p>
    <w:p w14:paraId="6FF7DCB2">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4．</w:t>
      </w:r>
      <w:r>
        <w:rPr>
          <w:rFonts w:ascii="Times New Roman" w:hAnsi="Times New Roman" w:eastAsia="宋体" w:cs="Times New Roman"/>
          <w:color w:val="000000"/>
          <w:sz w:val="24"/>
          <w:szCs w:val="24"/>
          <w:lang w:eastAsia="zh-CN"/>
        </w:rPr>
        <w:t>公司应当在</w:t>
      </w:r>
      <w:r>
        <w:rPr>
          <w:rFonts w:hint="eastAsia" w:ascii="Times New Roman" w:hAnsi="Times New Roman" w:eastAsia="宋体" w:cs="Times New Roman"/>
          <w:color w:val="000000"/>
          <w:sz w:val="24"/>
          <w:szCs w:val="24"/>
          <w:lang w:eastAsia="zh-CN"/>
        </w:rPr>
        <w:t>半年度及年度报告</w:t>
      </w:r>
      <w:r>
        <w:rPr>
          <w:rFonts w:ascii="Times New Roman" w:hAnsi="Times New Roman" w:eastAsia="宋体" w:cs="Times New Roman"/>
          <w:color w:val="000000"/>
          <w:sz w:val="24"/>
          <w:szCs w:val="24"/>
          <w:lang w:eastAsia="zh-CN"/>
        </w:rPr>
        <w:t>中至少披露报告期内本</w:t>
      </w:r>
      <w:r>
        <w:rPr>
          <w:rFonts w:hint="eastAsia" w:ascii="Times New Roman" w:hAnsi="Times New Roman" w:eastAsia="宋体" w:cs="Times New Roman"/>
          <w:color w:val="000000"/>
          <w:sz w:val="24"/>
          <w:szCs w:val="24"/>
          <w:lang w:eastAsia="zh-CN"/>
        </w:rPr>
        <w:t>次</w:t>
      </w:r>
      <w:r>
        <w:rPr>
          <w:rFonts w:ascii="Times New Roman" w:hAnsi="Times New Roman" w:eastAsia="宋体" w:cs="Times New Roman"/>
          <w:color w:val="000000"/>
          <w:sz w:val="24"/>
          <w:szCs w:val="24"/>
          <w:lang w:eastAsia="zh-CN"/>
        </w:rPr>
        <w:t>员工持股计划下列实施情况：</w:t>
      </w:r>
    </w:p>
    <w:p w14:paraId="752B4B82">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（1）报告期内全部有效的员工持股计划持有的股票总额及占公司股本总额的比例；</w:t>
      </w:r>
    </w:p>
    <w:p w14:paraId="2F326C88">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（2）报告期内持股员工的范围、人数及其变更情况，其中董事及高级管理人员情况需单独列示；</w:t>
      </w:r>
    </w:p>
    <w:p w14:paraId="6BFD9DE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（3）报告期内实施计划的资金来源；</w:t>
      </w:r>
    </w:p>
    <w:p w14:paraId="3BA4F6A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（4）报告期内资产管理机构的变更情况（如有）；</w:t>
      </w:r>
    </w:p>
    <w:p w14:paraId="57FEBB59">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（5）报告期内因持有人处置份额等引起的权益变动情况（如有）。</w:t>
      </w:r>
    </w:p>
    <w:p w14:paraId="5EFF3CA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此外，公司在年度报告中，还应当披露以下内容：</w:t>
      </w:r>
    </w:p>
    <w:p w14:paraId="0942ED6A">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（1）报告期内股东权利行使的情况；</w:t>
      </w:r>
    </w:p>
    <w:p w14:paraId="10F551FF">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2）员工持股计划持有人出现离职、退休、死亡或其他不再适合继续参加持股计划等情形的处置情况（如有），或除前述情形外的其他处置情况（如有），包括处置总体情况、受让方（如有）与公司第一大股东或5%以上股东是否存在关联关系或者一致行动关系，以及相关处置是否符合员工持股计划的约定；</w:t>
      </w:r>
    </w:p>
    <w:p w14:paraId="0CFBCB33">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（3）员工持股计划管理委员会（如有）成员发生变化的；</w:t>
      </w:r>
    </w:p>
    <w:p w14:paraId="6EC89754">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（4）员工持股计划对报告期公司的财务影响及相关会计处理（如有）；</w:t>
      </w:r>
    </w:p>
    <w:p w14:paraId="3570221D">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（5）报告期内员工持股计划终止的情况（如有）；</w:t>
      </w:r>
    </w:p>
    <w:p w14:paraId="2729CDC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（6）证券交易所要求的其他内容。</w:t>
      </w:r>
    </w:p>
    <w:p w14:paraId="32D61B7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ascii="Times New Roman" w:hAnsi="Times New Roman" w:eastAsia="宋体" w:cs="Times New Roman"/>
          <w:color w:val="000000"/>
          <w:sz w:val="24"/>
          <w:szCs w:val="24"/>
          <w:lang w:eastAsia="zh-CN"/>
        </w:rPr>
        <w:t>5</w:t>
      </w:r>
      <w:r>
        <w:rPr>
          <w:rFonts w:hint="eastAsia" w:ascii="Times New Roman" w:hAnsi="Times New Roman" w:eastAsia="宋体" w:cs="Times New Roman"/>
          <w:color w:val="000000"/>
          <w:sz w:val="24"/>
          <w:szCs w:val="24"/>
          <w:lang w:eastAsia="zh-CN"/>
        </w:rPr>
        <w:t>．本次员工持股计划存续期内，发生下列情形之一的，应当及时披露：</w:t>
      </w:r>
    </w:p>
    <w:p w14:paraId="77583E7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（1）员工持股计划变更、提前终止，或者相关当事人未按照约定实施员工持股计划的；</w:t>
      </w:r>
    </w:p>
    <w:p w14:paraId="74B77BBC">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（2）员工持股计划持有人之外的第三人对员工持股计划的股票和资金提出权利主张的；</w:t>
      </w:r>
    </w:p>
    <w:p w14:paraId="36DB8306">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（3）员工持股计划锁定期届满；</w:t>
      </w:r>
    </w:p>
    <w:p w14:paraId="6299E141">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（4）出现单个员工所获份额对应的股票总数累计达到公司股本总额的1%的；</w:t>
      </w:r>
    </w:p>
    <w:p w14:paraId="10BCF56B">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（5）触发兜底等安排但未能如期兑现的；</w:t>
      </w:r>
    </w:p>
    <w:p w14:paraId="159648AD">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（6）证券交易所认定的其他情形。</w:t>
      </w:r>
    </w:p>
    <w:p w14:paraId="191A80B7">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经核查，本所律师认为，截至本法律意见书出具之日，公司已按照《试点指导意见》及《监管指引》的规定就本次员工持股计划履行了现阶段必要的信息披露义务，公司仍需按照《试点指导意见》及《监管指引》的规定，根据其进展情况履行后续的信息披露义务。</w:t>
      </w:r>
    </w:p>
    <w:p w14:paraId="2B14F264">
      <w:pPr>
        <w:autoSpaceDE w:val="0"/>
        <w:autoSpaceDN w:val="0"/>
        <w:adjustRightInd w:val="0"/>
        <w:spacing w:before="240" w:beforeLines="100" w:after="240" w:afterLines="100" w:line="360" w:lineRule="auto"/>
        <w:ind w:firstLine="480" w:firstLineChars="200"/>
        <w:jc w:val="both"/>
        <w:outlineLvl w:val="0"/>
        <w:rPr>
          <w:rFonts w:ascii="Times New Roman" w:hAnsi="Times New Roman" w:eastAsia="宋体" w:cs="Times New Roman"/>
          <w:b/>
          <w:color w:val="000000"/>
          <w:sz w:val="24"/>
          <w:szCs w:val="24"/>
          <w:lang w:eastAsia="zh-CN"/>
        </w:rPr>
      </w:pPr>
      <w:r>
        <w:rPr>
          <w:rFonts w:hint="eastAsia" w:ascii="Times New Roman" w:hAnsi="Times New Roman" w:eastAsia="宋体" w:cs="Times New Roman"/>
          <w:b/>
          <w:color w:val="000000"/>
          <w:sz w:val="24"/>
          <w:szCs w:val="24"/>
          <w:lang w:eastAsia="zh-CN"/>
        </w:rPr>
        <w:t>五、结论意见</w:t>
      </w:r>
    </w:p>
    <w:p w14:paraId="1B43DAC5">
      <w:pPr>
        <w:autoSpaceDE w:val="0"/>
        <w:autoSpaceDN w:val="0"/>
        <w:adjustRightInd w:val="0"/>
        <w:spacing w:before="240" w:beforeLines="100" w:after="240" w:afterLines="100" w:line="360" w:lineRule="auto"/>
        <w:ind w:firstLine="480" w:firstLineChars="200"/>
        <w:jc w:val="both"/>
        <w:rPr>
          <w:rFonts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eastAsia="zh-CN"/>
        </w:rPr>
        <w:t>综上所述，本所律师认为，截至本法律意见书出具之日，公司具备实施本次员工持股计划的主体资格；《员工持股计划（草案）》符合《试点指导意见》及《监管指引》的相关规定；公司已就实施本次员工持股计划履行了现阶段必要的法律程序，本次员工持股计划尚需经公司股东会审议通过后方可实施；公司已按照《试点指导意见》及《监管指引》的规定就本次员工持股计划履行了现阶段必要的信息披露义务，公司仍需按照《试点指导意见》及《监管指引》的规定，根据其进展情况履行后续的信息披露义务。</w:t>
      </w:r>
    </w:p>
    <w:p w14:paraId="4F4988C4">
      <w:pPr>
        <w:autoSpaceDE w:val="0"/>
        <w:autoSpaceDN w:val="0"/>
        <w:adjustRightInd w:val="0"/>
        <w:spacing w:after="240" w:afterLines="100" w:line="360" w:lineRule="auto"/>
        <w:jc w:val="center"/>
        <w:rPr>
          <w:rFonts w:ascii="Times New Roman" w:hAnsi="Times New Roman" w:eastAsia="宋体" w:cs="Times New Roman"/>
          <w:color w:val="000000"/>
          <w:kern w:val="2"/>
          <w:sz w:val="24"/>
          <w:lang w:eastAsia="zh-CN"/>
        </w:rPr>
      </w:pPr>
      <w:r>
        <w:rPr>
          <w:rFonts w:ascii="Times New Roman" w:hAnsi="Times New Roman" w:eastAsia="宋体" w:cs="Times New Roman"/>
          <w:color w:val="000000"/>
          <w:kern w:val="2"/>
          <w:sz w:val="24"/>
          <w:lang w:eastAsia="zh-CN"/>
        </w:rPr>
        <w:t>（</w:t>
      </w:r>
      <w:r>
        <w:rPr>
          <w:rFonts w:hint="eastAsia" w:ascii="Times New Roman" w:hAnsi="Times New Roman" w:eastAsia="宋体" w:cs="Times New Roman"/>
          <w:color w:val="000000"/>
          <w:kern w:val="2"/>
          <w:sz w:val="24"/>
          <w:lang w:eastAsia="zh-CN"/>
        </w:rPr>
        <w:t>本页</w:t>
      </w:r>
      <w:r>
        <w:rPr>
          <w:rFonts w:ascii="Times New Roman" w:hAnsi="Times New Roman" w:eastAsia="宋体" w:cs="Times New Roman"/>
          <w:color w:val="000000"/>
          <w:kern w:val="2"/>
          <w:sz w:val="24"/>
          <w:lang w:eastAsia="zh-CN"/>
        </w:rPr>
        <w:t>以下无正文，仅为签署页）</w:t>
      </w:r>
      <w:r>
        <w:rPr>
          <w:rFonts w:ascii="Times New Roman" w:hAnsi="Times New Roman" w:eastAsia="宋体" w:cs="Times New Roman"/>
          <w:color w:val="000000"/>
          <w:kern w:val="2"/>
          <w:sz w:val="24"/>
          <w:lang w:eastAsia="zh-CN"/>
        </w:rPr>
        <w:br w:type="page"/>
      </w:r>
    </w:p>
    <w:p w14:paraId="083739DA">
      <w:pPr>
        <w:autoSpaceDE w:val="0"/>
        <w:autoSpaceDN w:val="0"/>
        <w:adjustRightInd w:val="0"/>
        <w:spacing w:after="240" w:afterLines="100" w:line="360" w:lineRule="auto"/>
        <w:jc w:val="both"/>
        <w:rPr>
          <w:rFonts w:ascii="宋体" w:hAnsi="宋体" w:eastAsia="宋体" w:cs="Times New Roman"/>
          <w:sz w:val="24"/>
          <w:szCs w:val="24"/>
          <w:lang w:eastAsia="zh-CN"/>
        </w:rPr>
      </w:pPr>
      <w:r>
        <w:rPr>
          <w:rFonts w:ascii="宋体" w:hAnsi="宋体" w:eastAsia="宋体" w:cs="Times New Roman"/>
          <w:sz w:val="24"/>
          <w:szCs w:val="24"/>
          <w:lang w:eastAsia="zh-CN"/>
        </w:rPr>
        <w:t>（此页无正文，系《</w:t>
      </w:r>
      <w:r>
        <w:rPr>
          <w:rFonts w:hint="eastAsia" w:ascii="宋体" w:hAnsi="宋体" w:eastAsia="宋体" w:cs="Times New Roman"/>
          <w:sz w:val="24"/>
          <w:szCs w:val="24"/>
          <w:lang w:eastAsia="zh-CN"/>
        </w:rPr>
        <w:t>上海君澜律师事务所关于</w:t>
      </w:r>
      <w:r>
        <w:rPr>
          <w:rFonts w:hint="eastAsia" w:ascii="Times New Roman" w:hAnsi="Times New Roman" w:eastAsia="宋体" w:cs="Times New Roman"/>
          <w:color w:val="000000"/>
          <w:sz w:val="24"/>
          <w:szCs w:val="24"/>
          <w:lang w:eastAsia="zh-CN"/>
        </w:rPr>
        <w:t>广东天亿马信息产业股份有限公司</w:t>
      </w:r>
      <w:r>
        <w:rPr>
          <w:rFonts w:hint="eastAsia" w:ascii="Times New Roman" w:hAnsi="Times New Roman" w:eastAsia="宋体" w:cs="Times New Roman"/>
          <w:sz w:val="24"/>
          <w:szCs w:val="24"/>
          <w:lang w:eastAsia="zh-CN"/>
        </w:rPr>
        <w:t>2026年</w:t>
      </w:r>
      <w:r>
        <w:rPr>
          <w:rFonts w:hint="eastAsia" w:ascii="宋体" w:hAnsi="宋体" w:eastAsia="宋体" w:cs="Times New Roman"/>
          <w:sz w:val="24"/>
          <w:szCs w:val="24"/>
          <w:lang w:eastAsia="zh-CN"/>
        </w:rPr>
        <w:t>员工持股计划（草案）之法律意见书</w:t>
      </w:r>
      <w:r>
        <w:rPr>
          <w:rFonts w:ascii="宋体" w:hAnsi="宋体" w:eastAsia="宋体" w:cs="Times New Roman"/>
          <w:sz w:val="24"/>
          <w:szCs w:val="24"/>
          <w:lang w:eastAsia="zh-CN"/>
        </w:rPr>
        <w:t>》之签字盖章页）</w:t>
      </w:r>
    </w:p>
    <w:p w14:paraId="4FD9E6AD">
      <w:pPr>
        <w:tabs>
          <w:tab w:val="left" w:pos="3387"/>
        </w:tabs>
        <w:spacing w:before="720" w:beforeLines="300" w:after="720" w:afterLines="300" w:line="360" w:lineRule="auto"/>
        <w:ind w:firstLine="480" w:firstLineChars="200"/>
        <w:jc w:val="both"/>
        <w:rPr>
          <w:rFonts w:ascii="Times New Roman" w:hAnsi="Times New Roman" w:cs="Times New Roman"/>
          <w:sz w:val="24"/>
          <w:szCs w:val="24"/>
          <w:lang w:eastAsia="zh-CN"/>
        </w:rPr>
      </w:pPr>
      <w:r>
        <w:rPr>
          <w:rFonts w:hint="eastAsia" w:ascii="Times New Roman" w:hAnsi="Times New Roman" w:cs="Times New Roman"/>
          <w:sz w:val="24"/>
          <w:szCs w:val="24"/>
          <w:lang w:eastAsia="zh-CN"/>
        </w:rPr>
        <w:t>本法律意见书于2026年9月8日出具，正本一式贰份，无副本。</w:t>
      </w:r>
    </w:p>
    <w:p w14:paraId="14119F63">
      <w:pPr>
        <w:adjustRightInd w:val="0"/>
        <w:snapToGrid w:val="0"/>
        <w:spacing w:before="240" w:beforeLines="100" w:after="480" w:afterLines="200" w:line="240" w:lineRule="auto"/>
        <w:rPr>
          <w:rFonts w:ascii="Times New Roman" w:hAnsi="Times New Roman" w:cs="Times New Roman"/>
          <w:sz w:val="24"/>
          <w:szCs w:val="24"/>
          <w:lang w:eastAsia="zh-CN"/>
        </w:rPr>
      </w:pPr>
      <w:r>
        <w:rPr>
          <w:rFonts w:ascii="Times New Roman" w:hAnsi="Times New Roman" w:cs="Times New Roman"/>
          <w:sz w:val="24"/>
          <w:szCs w:val="24"/>
          <w:lang w:eastAsia="zh-CN"/>
        </w:rPr>
        <w:t>上海君澜律师事务所（盖章）</w:t>
      </w:r>
    </w:p>
    <w:p w14:paraId="4BB2E1EE">
      <w:pPr>
        <w:adjustRightInd w:val="0"/>
        <w:snapToGrid w:val="0"/>
        <w:spacing w:before="240" w:beforeLines="100" w:after="480" w:afterLines="200" w:line="240" w:lineRule="auto"/>
        <w:rPr>
          <w:rFonts w:ascii="Times New Roman" w:hAnsi="Times New Roman"/>
          <w:sz w:val="24"/>
          <w:szCs w:val="24"/>
          <w:lang w:eastAsia="zh-CN"/>
        </w:rPr>
      </w:pPr>
      <w:r>
        <w:rPr>
          <w:rFonts w:ascii="Times New Roman" w:hAnsi="Times New Roman"/>
          <w:sz w:val="24"/>
          <w:szCs w:val="24"/>
          <w:lang w:eastAsia="zh-CN"/>
        </w:rPr>
        <w:t xml:space="preserve">负责人：                                   经办律师：                                </w:t>
      </w:r>
    </w:p>
    <w:p w14:paraId="01DB3B57">
      <w:pPr>
        <w:tabs>
          <w:tab w:val="left" w:pos="6660"/>
        </w:tabs>
        <w:adjustRightInd w:val="0"/>
        <w:snapToGrid w:val="0"/>
        <w:spacing w:before="240" w:beforeLines="100" w:after="240" w:afterLines="100" w:line="240" w:lineRule="auto"/>
        <w:rPr>
          <w:rFonts w:ascii="Times New Roman" w:hAnsi="Times New Roman"/>
          <w:sz w:val="24"/>
          <w:szCs w:val="24"/>
          <w:lang w:eastAsia="zh-CN"/>
        </w:rPr>
      </w:pPr>
      <w:r>
        <w:rPr>
          <w:rFonts w:ascii="Times New Roman" w:hAnsi="Times New Roman"/>
          <w:sz w:val="24"/>
          <w:szCs w:val="24"/>
          <w:lang w:eastAsia="zh-CN"/>
        </w:rPr>
        <w:t xml:space="preserve">                                                        ____________________</w:t>
      </w:r>
      <w:r>
        <w:rPr>
          <w:rFonts w:hint="eastAsia" w:ascii="Times New Roman" w:hAnsi="Times New Roman"/>
          <w:sz w:val="24"/>
          <w:szCs w:val="24"/>
          <w:lang w:eastAsia="zh-CN"/>
        </w:rPr>
        <w:t xml:space="preserve">                             </w:t>
      </w:r>
      <w:r>
        <w:rPr>
          <w:rFonts w:ascii="Times New Roman" w:hAnsi="Times New Roman"/>
          <w:sz w:val="24"/>
          <w:szCs w:val="24"/>
          <w:lang w:eastAsia="zh-CN"/>
        </w:rPr>
        <w:t xml:space="preserve">____________________  </w:t>
      </w:r>
    </w:p>
    <w:p w14:paraId="761AD0CA">
      <w:pPr>
        <w:tabs>
          <w:tab w:val="left" w:pos="6660"/>
        </w:tabs>
        <w:adjustRightInd w:val="0"/>
        <w:snapToGrid w:val="0"/>
        <w:spacing w:before="240" w:beforeLines="100" w:after="480" w:afterLines="200" w:line="240" w:lineRule="auto"/>
        <w:ind w:left="6900" w:leftChars="300" w:right="-44" w:rightChars="-20" w:hanging="6240" w:hangingChars="2600"/>
        <w:rPr>
          <w:rFonts w:ascii="Times New Roman" w:hAnsi="Times New Roman"/>
          <w:sz w:val="24"/>
          <w:szCs w:val="24"/>
          <w:lang w:eastAsia="zh-CN"/>
        </w:rPr>
      </w:pPr>
      <w:r>
        <w:rPr>
          <w:rFonts w:hint="eastAsia" w:ascii="Times New Roman" w:hAnsi="Times New Roman"/>
          <w:sz w:val="24"/>
          <w:szCs w:val="24"/>
          <w:lang w:eastAsia="zh-CN"/>
        </w:rPr>
        <w:t>李曼蔺</w:t>
      </w:r>
      <w:r>
        <w:rPr>
          <w:rFonts w:ascii="Times New Roman" w:hAnsi="Times New Roman"/>
          <w:sz w:val="24"/>
          <w:szCs w:val="24"/>
          <w:lang w:eastAsia="zh-CN"/>
        </w:rPr>
        <w:t xml:space="preserve">                                                                                 </w:t>
      </w:r>
      <w:r>
        <w:rPr>
          <w:rFonts w:hint="eastAsia" w:ascii="Times New Roman" w:hAnsi="Times New Roman"/>
          <w:sz w:val="24"/>
          <w:szCs w:val="24"/>
          <w:lang w:eastAsia="zh-CN"/>
        </w:rPr>
        <w:t>金  剑</w:t>
      </w:r>
    </w:p>
    <w:p w14:paraId="521526C9">
      <w:pPr>
        <w:tabs>
          <w:tab w:val="left" w:pos="5940"/>
        </w:tabs>
        <w:adjustRightInd w:val="0"/>
        <w:snapToGrid w:val="0"/>
        <w:spacing w:before="240" w:beforeLines="100" w:after="240" w:afterLines="100" w:line="240" w:lineRule="auto"/>
        <w:ind w:right="-44" w:rightChars="-20"/>
        <w:rPr>
          <w:rFonts w:ascii="Times New Roman" w:hAnsi="Times New Roman"/>
          <w:sz w:val="24"/>
          <w:szCs w:val="24"/>
          <w:lang w:eastAsia="zh-CN"/>
        </w:rPr>
      </w:pPr>
      <w:r>
        <w:rPr>
          <w:rFonts w:ascii="Times New Roman" w:hAnsi="Times New Roman"/>
          <w:sz w:val="24"/>
          <w:szCs w:val="24"/>
          <w:lang w:eastAsia="zh-CN"/>
        </w:rPr>
        <w:tab/>
      </w:r>
      <w:r>
        <w:rPr>
          <w:rFonts w:ascii="Times New Roman" w:hAnsi="Times New Roman"/>
          <w:sz w:val="24"/>
          <w:szCs w:val="24"/>
          <w:lang w:eastAsia="zh-CN"/>
        </w:rPr>
        <w:t>____________________</w:t>
      </w:r>
    </w:p>
    <w:p w14:paraId="5FA5DD61">
      <w:pPr>
        <w:adjustRightInd w:val="0"/>
        <w:snapToGrid w:val="0"/>
        <w:spacing w:before="240" w:beforeLines="100" w:after="480" w:afterLines="200" w:line="240" w:lineRule="auto"/>
        <w:ind w:left="4840" w:leftChars="2200" w:firstLine="2040" w:firstLineChars="850"/>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梁丽娟</w:t>
      </w:r>
    </w:p>
    <w:p w14:paraId="75039D84"/>
    <w:sectPr>
      <w:footerReference r:id="rId8" w:type="default"/>
      <w:pgSz w:w="11920" w:h="16860"/>
      <w:pgMar w:top="1440" w:right="1800" w:bottom="1440" w:left="1800" w:header="88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Helvetica">
    <w:panose1 w:val="00000000000000000000"/>
    <w:charset w:val="00"/>
    <w:family w:val="auto"/>
    <w:pitch w:val="default"/>
    <w:sig w:usb0="E00002FF" w:usb1="5000785B" w:usb2="00000000" w:usb3="00000000" w:csb0="2000019F" w:csb1="4F01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5EF69">
    <w:pPr>
      <w:pStyle w:val="4"/>
      <w:jc w:val="center"/>
    </w:pPr>
  </w:p>
  <w:p w14:paraId="57D1BBC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1"/>
    </w:sdtPr>
    <w:sdtEndPr>
      <w:rPr>
        <w:rStyle w:val="10"/>
      </w:rPr>
    </w:sdtEndPr>
    <w:sdtContent>
      <w:p w14:paraId="1C2BB65F">
        <w:pPr>
          <w:pStyle w:val="4"/>
          <w:framePr w:wrap="around" w:vAnchor="text" w:hAnchor="margin" w:xAlign="center" w:y="1"/>
          <w:rPr>
            <w:rStyle w:val="10"/>
          </w:rPr>
        </w:pPr>
        <w:r>
          <w:rPr>
            <w:rStyle w:val="10"/>
          </w:rPr>
          <w:fldChar w:fldCharType="begin"/>
        </w:r>
        <w:r>
          <w:rPr>
            <w:rStyle w:val="10"/>
          </w:rPr>
          <w:instrText xml:space="preserve"> PAGE </w:instrText>
        </w:r>
        <w:r>
          <w:rPr>
            <w:rStyle w:val="10"/>
          </w:rPr>
          <w:fldChar w:fldCharType="end"/>
        </w:r>
      </w:p>
    </w:sdtContent>
  </w:sdt>
  <w:p w14:paraId="0CBBB8B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Fonts w:ascii="Times New Roman" w:hAnsi="Times New Roman" w:cs="Times New Roman"/>
      </w:rPr>
      <w:id w:val="1717856327"/>
    </w:sdtPr>
    <w:sdtEndPr>
      <w:rPr>
        <w:rStyle w:val="10"/>
        <w:rFonts w:ascii="Times New Roman" w:hAnsi="Times New Roman" w:cs="Times New Roman"/>
      </w:rPr>
    </w:sdtEndPr>
    <w:sdtContent>
      <w:p w14:paraId="2DBA6D3B">
        <w:pPr>
          <w:pStyle w:val="4"/>
          <w:framePr w:wrap="around" w:vAnchor="text" w:hAnchor="margin" w:xAlign="center" w:y="1"/>
          <w:rPr>
            <w:rStyle w:val="10"/>
            <w:rFonts w:ascii="Times New Roman" w:hAnsi="Times New Roman" w:cs="Times New Roman"/>
          </w:rPr>
        </w:pPr>
        <w:r>
          <w:rPr>
            <w:rStyle w:val="10"/>
            <w:rFonts w:ascii="Times New Roman" w:hAnsi="Times New Roman" w:cs="Times New Roman"/>
          </w:rPr>
          <w:fldChar w:fldCharType="begin"/>
        </w:r>
        <w:r>
          <w:rPr>
            <w:rStyle w:val="10"/>
            <w:rFonts w:ascii="Times New Roman" w:hAnsi="Times New Roman" w:cs="Times New Roman"/>
          </w:rPr>
          <w:instrText xml:space="preserve"> PAGE </w:instrText>
        </w:r>
        <w:r>
          <w:rPr>
            <w:rStyle w:val="10"/>
            <w:rFonts w:ascii="Times New Roman" w:hAnsi="Times New Roman" w:cs="Times New Roman"/>
          </w:rPr>
          <w:fldChar w:fldCharType="separate"/>
        </w:r>
        <w:r>
          <w:rPr>
            <w:rStyle w:val="10"/>
            <w:rFonts w:ascii="Times New Roman" w:hAnsi="Times New Roman" w:cs="Times New Roman"/>
          </w:rPr>
          <w:t>13</w:t>
        </w:r>
        <w:r>
          <w:rPr>
            <w:rStyle w:val="10"/>
            <w:rFonts w:ascii="Times New Roman" w:hAnsi="Times New Roman" w:cs="Times New Roman"/>
          </w:rPr>
          <w:fldChar w:fldCharType="end"/>
        </w:r>
      </w:p>
    </w:sdtContent>
  </w:sdt>
  <w:p w14:paraId="3A67AE9C">
    <w:pPr>
      <w:pStyle w:val="4"/>
      <w:jc w:val="center"/>
      <w:rPr>
        <w:rFonts w:ascii="Times New Roman" w:hAnsi="Times New Roman" w:cs="Times New Roman"/>
        <w:lang w:eastAsia="zh-CN"/>
      </w:rPr>
    </w:pPr>
  </w:p>
  <w:p w14:paraId="6A461D89">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7BDAB">
    <w:pPr>
      <w:pStyle w:val="5"/>
      <w:jc w:val="both"/>
      <w:rPr>
        <w:lang w:eastAsia="zh-CN"/>
      </w:rPr>
    </w:pPr>
    <w:r>
      <w:rPr>
        <w:lang w:eastAsia="zh-CN"/>
      </w:rPr>
      <w:t>上海君澜律师事务所</w:t>
    </w:r>
    <w:r>
      <w:rPr>
        <w:rFonts w:hint="eastAsia"/>
        <w:lang w:eastAsia="zh-CN"/>
      </w:rPr>
      <w:t xml:space="preserve">   </w:t>
    </w:r>
    <w:r>
      <w:rPr>
        <w:lang w:eastAsia="zh-CN"/>
      </w:rPr>
      <w:t xml:space="preserve">                                                             </w:t>
    </w:r>
    <w:r>
      <w:rPr>
        <w:rFonts w:hint="eastAsia"/>
        <w:lang w:eastAsia="zh-CN"/>
      </w:rPr>
      <w:t>法律意见书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B50"/>
    <w:rsid w:val="00000191"/>
    <w:rsid w:val="00000844"/>
    <w:rsid w:val="00035269"/>
    <w:rsid w:val="00052304"/>
    <w:rsid w:val="0008008B"/>
    <w:rsid w:val="00093658"/>
    <w:rsid w:val="000B716F"/>
    <w:rsid w:val="000E649A"/>
    <w:rsid w:val="000F0991"/>
    <w:rsid w:val="00114B7E"/>
    <w:rsid w:val="001330E3"/>
    <w:rsid w:val="00141CB5"/>
    <w:rsid w:val="001435FB"/>
    <w:rsid w:val="0014614D"/>
    <w:rsid w:val="001A0BB7"/>
    <w:rsid w:val="001A794E"/>
    <w:rsid w:val="001C56A8"/>
    <w:rsid w:val="001D6B50"/>
    <w:rsid w:val="001F44A6"/>
    <w:rsid w:val="0022490F"/>
    <w:rsid w:val="00251214"/>
    <w:rsid w:val="002A55DD"/>
    <w:rsid w:val="002D6100"/>
    <w:rsid w:val="002D7BD4"/>
    <w:rsid w:val="002E3983"/>
    <w:rsid w:val="003075E9"/>
    <w:rsid w:val="003351E9"/>
    <w:rsid w:val="003E2763"/>
    <w:rsid w:val="00413163"/>
    <w:rsid w:val="004C729D"/>
    <w:rsid w:val="00502AB9"/>
    <w:rsid w:val="005515F4"/>
    <w:rsid w:val="005C410D"/>
    <w:rsid w:val="006037C7"/>
    <w:rsid w:val="00606F16"/>
    <w:rsid w:val="00643892"/>
    <w:rsid w:val="006C08DC"/>
    <w:rsid w:val="006D28DB"/>
    <w:rsid w:val="006E5416"/>
    <w:rsid w:val="007745F8"/>
    <w:rsid w:val="00782B9A"/>
    <w:rsid w:val="007D4441"/>
    <w:rsid w:val="007D7628"/>
    <w:rsid w:val="007F4404"/>
    <w:rsid w:val="008557B5"/>
    <w:rsid w:val="0086045D"/>
    <w:rsid w:val="008672B3"/>
    <w:rsid w:val="0087306F"/>
    <w:rsid w:val="00880A6E"/>
    <w:rsid w:val="00886BEA"/>
    <w:rsid w:val="008F27C6"/>
    <w:rsid w:val="00903E89"/>
    <w:rsid w:val="00943374"/>
    <w:rsid w:val="00947AD3"/>
    <w:rsid w:val="00966A36"/>
    <w:rsid w:val="00967A89"/>
    <w:rsid w:val="009C560F"/>
    <w:rsid w:val="009D722B"/>
    <w:rsid w:val="009E04B5"/>
    <w:rsid w:val="009E5AE3"/>
    <w:rsid w:val="00A376FF"/>
    <w:rsid w:val="00A4613D"/>
    <w:rsid w:val="00A81848"/>
    <w:rsid w:val="00A831D9"/>
    <w:rsid w:val="00AA7465"/>
    <w:rsid w:val="00AC3DB5"/>
    <w:rsid w:val="00AD06CC"/>
    <w:rsid w:val="00AE303D"/>
    <w:rsid w:val="00B644E3"/>
    <w:rsid w:val="00BB132C"/>
    <w:rsid w:val="00BD6D36"/>
    <w:rsid w:val="00C01A58"/>
    <w:rsid w:val="00C23E27"/>
    <w:rsid w:val="00C30ADA"/>
    <w:rsid w:val="00C37228"/>
    <w:rsid w:val="00C46543"/>
    <w:rsid w:val="00C65C83"/>
    <w:rsid w:val="00CA165B"/>
    <w:rsid w:val="00CA59C6"/>
    <w:rsid w:val="00CB4150"/>
    <w:rsid w:val="00CE21E8"/>
    <w:rsid w:val="00D02E51"/>
    <w:rsid w:val="00D33695"/>
    <w:rsid w:val="00D345EF"/>
    <w:rsid w:val="00D34608"/>
    <w:rsid w:val="00D35CCB"/>
    <w:rsid w:val="00D37FC8"/>
    <w:rsid w:val="00D509B7"/>
    <w:rsid w:val="00D8185C"/>
    <w:rsid w:val="00DA42F2"/>
    <w:rsid w:val="00DC5AE8"/>
    <w:rsid w:val="00DD404A"/>
    <w:rsid w:val="00E3539D"/>
    <w:rsid w:val="00E51EDF"/>
    <w:rsid w:val="00EE0732"/>
    <w:rsid w:val="00F219B5"/>
    <w:rsid w:val="00F70D50"/>
    <w:rsid w:val="00FB5A5A"/>
    <w:rsid w:val="00FC58BB"/>
    <w:rsid w:val="00FE4EAD"/>
    <w:rsid w:val="022832A6"/>
    <w:rsid w:val="02B13D3D"/>
    <w:rsid w:val="075C79BE"/>
    <w:rsid w:val="08AF3AE8"/>
    <w:rsid w:val="0CC22ED2"/>
    <w:rsid w:val="0FEAB06E"/>
    <w:rsid w:val="146B333A"/>
    <w:rsid w:val="149D53F9"/>
    <w:rsid w:val="157F69D4"/>
    <w:rsid w:val="158409F1"/>
    <w:rsid w:val="15E82FD8"/>
    <w:rsid w:val="17105E78"/>
    <w:rsid w:val="18316384"/>
    <w:rsid w:val="195C51D8"/>
    <w:rsid w:val="21DE1A07"/>
    <w:rsid w:val="224B432C"/>
    <w:rsid w:val="25B62460"/>
    <w:rsid w:val="262747B7"/>
    <w:rsid w:val="26E75FC8"/>
    <w:rsid w:val="2A28701D"/>
    <w:rsid w:val="2B2879FD"/>
    <w:rsid w:val="2BB32598"/>
    <w:rsid w:val="2C917257"/>
    <w:rsid w:val="2CB74F17"/>
    <w:rsid w:val="2CD63DE2"/>
    <w:rsid w:val="2E5E0DCD"/>
    <w:rsid w:val="335C2E39"/>
    <w:rsid w:val="33995686"/>
    <w:rsid w:val="33FD6DA8"/>
    <w:rsid w:val="35E8314B"/>
    <w:rsid w:val="3F9F0D6B"/>
    <w:rsid w:val="405A420D"/>
    <w:rsid w:val="42012A59"/>
    <w:rsid w:val="439C4422"/>
    <w:rsid w:val="44FF6ADD"/>
    <w:rsid w:val="48097226"/>
    <w:rsid w:val="4D007DBC"/>
    <w:rsid w:val="4D833948"/>
    <w:rsid w:val="512B25CE"/>
    <w:rsid w:val="58485763"/>
    <w:rsid w:val="58E6255C"/>
    <w:rsid w:val="5A451ADD"/>
    <w:rsid w:val="5F1D0E2A"/>
    <w:rsid w:val="615A2264"/>
    <w:rsid w:val="62153969"/>
    <w:rsid w:val="641F5F62"/>
    <w:rsid w:val="650B5491"/>
    <w:rsid w:val="66307595"/>
    <w:rsid w:val="67835386"/>
    <w:rsid w:val="686C26D6"/>
    <w:rsid w:val="6A3B32A8"/>
    <w:rsid w:val="6AD519BD"/>
    <w:rsid w:val="6ADF0B16"/>
    <w:rsid w:val="6B797260"/>
    <w:rsid w:val="6BA45AF0"/>
    <w:rsid w:val="6BFA0BEE"/>
    <w:rsid w:val="6C31159A"/>
    <w:rsid w:val="6C7FB6D5"/>
    <w:rsid w:val="6F9D7AC0"/>
    <w:rsid w:val="710650F2"/>
    <w:rsid w:val="715D9C10"/>
    <w:rsid w:val="73B201A2"/>
    <w:rsid w:val="74AA1686"/>
    <w:rsid w:val="7B7908F6"/>
    <w:rsid w:val="7B922CC9"/>
    <w:rsid w:val="7CE85E18"/>
    <w:rsid w:val="7DC1CE32"/>
    <w:rsid w:val="7FEB0F2B"/>
    <w:rsid w:val="87F3312D"/>
    <w:rsid w:val="8FD75A32"/>
    <w:rsid w:val="BDFD7FD1"/>
    <w:rsid w:val="BECF1EDE"/>
    <w:rsid w:val="BFAD351B"/>
    <w:rsid w:val="DB538F91"/>
    <w:rsid w:val="DBB3E160"/>
    <w:rsid w:val="E7F69339"/>
    <w:rsid w:val="F7F685FC"/>
    <w:rsid w:val="FC7A0996"/>
    <w:rsid w:val="FFCD8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EastAsia" w:cstheme="minorBidi"/>
      <w:sz w:val="22"/>
      <w:szCs w:val="22"/>
      <w:lang w:val="en-US" w:eastAsia="en-US" w:bidi="ar-SA"/>
    </w:rPr>
  </w:style>
  <w:style w:type="paragraph" w:styleId="2">
    <w:name w:val="heading 1"/>
    <w:next w:val="1"/>
    <w:unhideWhenUsed/>
    <w:qFormat/>
    <w:uiPriority w:val="9"/>
    <w:pPr>
      <w:keepNext/>
      <w:keepLines/>
      <w:spacing w:before="360" w:after="360" w:line="360" w:lineRule="auto"/>
      <w:ind w:right="240" w:rightChars="100" w:firstLine="141" w:firstLineChars="50"/>
      <w:outlineLvl w:val="0"/>
    </w:pPr>
    <w:rPr>
      <w:rFonts w:ascii="宋体" w:hAnsi="宋体" w:eastAsia="宋体" w:cs="宋体"/>
      <w:b/>
      <w:color w:val="000000"/>
      <w:kern w:val="2"/>
      <w:sz w:val="28"/>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7"/>
    <w:qFormat/>
    <w:uiPriority w:val="0"/>
  </w:style>
  <w:style w:type="paragraph" w:styleId="4">
    <w:name w:val="footer"/>
    <w:basedOn w:val="1"/>
    <w:unhideWhenUsed/>
    <w:qFormat/>
    <w:uiPriority w:val="99"/>
    <w:pPr>
      <w:tabs>
        <w:tab w:val="center" w:pos="4153"/>
        <w:tab w:val="right" w:pos="8306"/>
      </w:tabs>
      <w:snapToGrid w:val="0"/>
      <w:spacing w:line="240" w:lineRule="auto"/>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Normal (Web)"/>
    <w:basedOn w:val="1"/>
    <w:uiPriority w:val="0"/>
    <w:rPr>
      <w:sz w:val="24"/>
    </w:rPr>
  </w:style>
  <w:style w:type="paragraph" w:styleId="7">
    <w:name w:val="annotation subject"/>
    <w:basedOn w:val="3"/>
    <w:next w:val="3"/>
    <w:link w:val="18"/>
    <w:qFormat/>
    <w:uiPriority w:val="0"/>
    <w:rPr>
      <w:b/>
      <w:bCs/>
    </w:rPr>
  </w:style>
  <w:style w:type="character" w:styleId="10">
    <w:name w:val="page number"/>
    <w:basedOn w:val="9"/>
    <w:unhideWhenUsed/>
    <w:qFormat/>
    <w:uiPriority w:val="99"/>
  </w:style>
  <w:style w:type="character" w:styleId="11">
    <w:name w:val="annotation reference"/>
    <w:basedOn w:val="9"/>
    <w:qFormat/>
    <w:uiPriority w:val="0"/>
    <w:rPr>
      <w:sz w:val="21"/>
      <w:szCs w:val="21"/>
    </w:rPr>
  </w:style>
  <w:style w:type="paragraph" w:customStyle="1" w:styleId="12">
    <w:name w:val="修订1"/>
    <w:hidden/>
    <w:unhideWhenUsed/>
    <w:qFormat/>
    <w:uiPriority w:val="99"/>
    <w:rPr>
      <w:rFonts w:asciiTheme="minorHAnsi" w:hAnsiTheme="minorHAnsi" w:eastAsiaTheme="minorEastAsia" w:cstheme="minorBidi"/>
      <w:sz w:val="22"/>
      <w:szCs w:val="22"/>
      <w:lang w:val="en-US" w:eastAsia="en-US" w:bidi="ar-SA"/>
    </w:rPr>
  </w:style>
  <w:style w:type="paragraph" w:customStyle="1" w:styleId="13">
    <w:name w:val="修订2"/>
    <w:hidden/>
    <w:unhideWhenUsed/>
    <w:qFormat/>
    <w:uiPriority w:val="99"/>
    <w:rPr>
      <w:rFonts w:asciiTheme="minorHAnsi" w:hAnsiTheme="minorHAnsi" w:eastAsiaTheme="minorEastAsia" w:cstheme="minorBidi"/>
      <w:sz w:val="22"/>
      <w:szCs w:val="22"/>
      <w:lang w:val="en-US" w:eastAsia="en-US" w:bidi="ar-SA"/>
    </w:rPr>
  </w:style>
  <w:style w:type="paragraph" w:customStyle="1" w:styleId="14">
    <w:name w:val="修订3"/>
    <w:hidden/>
    <w:unhideWhenUsed/>
    <w:qFormat/>
    <w:uiPriority w:val="99"/>
    <w:rPr>
      <w:rFonts w:asciiTheme="minorHAnsi" w:hAnsiTheme="minorHAnsi" w:eastAsiaTheme="minorEastAsia" w:cstheme="minorBidi"/>
      <w:sz w:val="22"/>
      <w:szCs w:val="22"/>
      <w:lang w:val="en-US" w:eastAsia="en-US" w:bidi="ar-SA"/>
    </w:rPr>
  </w:style>
  <w:style w:type="paragraph" w:customStyle="1" w:styleId="15">
    <w:name w:val="修订4"/>
    <w:hidden/>
    <w:unhideWhenUsed/>
    <w:qFormat/>
    <w:uiPriority w:val="99"/>
    <w:rPr>
      <w:rFonts w:asciiTheme="minorHAnsi" w:hAnsiTheme="minorHAnsi" w:eastAsiaTheme="minorEastAsia" w:cstheme="minorBidi"/>
      <w:sz w:val="22"/>
      <w:szCs w:val="22"/>
      <w:lang w:val="en-US" w:eastAsia="en-US" w:bidi="ar-SA"/>
    </w:rPr>
  </w:style>
  <w:style w:type="paragraph" w:customStyle="1" w:styleId="16">
    <w:name w:val="修订5"/>
    <w:hidden/>
    <w:unhideWhenUsed/>
    <w:qFormat/>
    <w:uiPriority w:val="99"/>
    <w:rPr>
      <w:rFonts w:asciiTheme="minorHAnsi" w:hAnsiTheme="minorHAnsi" w:eastAsiaTheme="minorEastAsia" w:cstheme="minorBidi"/>
      <w:sz w:val="22"/>
      <w:szCs w:val="22"/>
      <w:lang w:val="en-US" w:eastAsia="en-US" w:bidi="ar-SA"/>
    </w:rPr>
  </w:style>
  <w:style w:type="character" w:customStyle="1" w:styleId="17">
    <w:name w:val="批注文字 字符"/>
    <w:basedOn w:val="9"/>
    <w:link w:val="3"/>
    <w:qFormat/>
    <w:uiPriority w:val="0"/>
    <w:rPr>
      <w:rFonts w:asciiTheme="minorHAnsi" w:hAnsiTheme="minorHAnsi" w:eastAsiaTheme="minorEastAsia" w:cstheme="minorBidi"/>
      <w:sz w:val="22"/>
      <w:szCs w:val="22"/>
      <w:lang w:eastAsia="en-US"/>
    </w:rPr>
  </w:style>
  <w:style w:type="character" w:customStyle="1" w:styleId="18">
    <w:name w:val="批注主题 字符"/>
    <w:basedOn w:val="17"/>
    <w:link w:val="7"/>
    <w:qFormat/>
    <w:uiPriority w:val="0"/>
    <w:rPr>
      <w:rFonts w:asciiTheme="minorHAnsi" w:hAnsiTheme="minorHAnsi" w:eastAsiaTheme="minorEastAsia" w:cstheme="minorBidi"/>
      <w:b/>
      <w:bCs/>
      <w:sz w:val="22"/>
      <w:szCs w:val="22"/>
      <w:lang w:eastAsia="en-US"/>
    </w:rPr>
  </w:style>
  <w:style w:type="paragraph" w:customStyle="1" w:styleId="19">
    <w:name w:val="修订6"/>
    <w:hidden/>
    <w:unhideWhenUsed/>
    <w:uiPriority w:val="99"/>
    <w:rPr>
      <w:rFonts w:asciiTheme="minorHAnsi" w:hAnsiTheme="minorHAnsi" w:eastAsiaTheme="minorEastAsia" w:cstheme="minorBidi"/>
      <w:sz w:val="22"/>
      <w:szCs w:val="22"/>
      <w:lang w:val="en-US" w:eastAsia="en-US" w:bidi="ar-SA"/>
    </w:rPr>
  </w:style>
  <w:style w:type="paragraph" w:customStyle="1" w:styleId="20">
    <w:name w:val="修订7"/>
    <w:hidden/>
    <w:unhideWhenUsed/>
    <w:uiPriority w:val="99"/>
    <w:rPr>
      <w:rFonts w:asciiTheme="minorHAnsi" w:hAnsiTheme="minorHAnsi" w:eastAsiaTheme="minorEastAsia" w:cstheme="minorBidi"/>
      <w:sz w:val="22"/>
      <w:szCs w:val="22"/>
      <w:lang w:val="en-US" w:eastAsia="en-US" w:bidi="ar-SA"/>
    </w:rPr>
  </w:style>
  <w:style w:type="paragraph" w:customStyle="1" w:styleId="21">
    <w:name w:val="p1"/>
    <w:basedOn w:val="1"/>
    <w:uiPriority w:val="0"/>
    <w:pPr>
      <w:spacing w:after="0"/>
    </w:pPr>
    <w:rPr>
      <w:rFonts w:ascii="Helvetica" w:hAnsi="Helvetica" w:eastAsia="Helvetica" w:cs="Times New Roman"/>
      <w:color w:val="000000"/>
      <w:sz w:val="21"/>
      <w:szCs w:val="21"/>
      <w:lang w:eastAsia="zh-CN"/>
    </w:rPr>
  </w:style>
  <w:style w:type="paragraph" w:customStyle="1" w:styleId="22">
    <w:name w:val="修订8"/>
    <w:hidden/>
    <w:unhideWhenUsed/>
    <w:uiPriority w:val="99"/>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19abed05-5970-4173-a1d3-177f3d730f14</errorID>
      <errorWord>《关于上市公司实施员工持股计划试点的指导意见》（以下简称“《试点指导意见》”）</errorWord>
      <group>L1_Knowledge</group>
      <groupName>知识性问题</groupName>
      <ability>L2_Knowledge</ability>
      <abilityName>其他知识</abilityName>
      <candidateList>
        <item>《关于上市公司实施员工持股计划试点的指导意见》（以下简称《试点指导意见》）</item>
      </candidateList>
      <explain>疑似政策文件、法律法规名称等书写不规范，请注意检查。</explain>
      <paraID>48E053C8</paraID>
      <start>83</start>
      <end>122</end>
      <status>unmodified</status>
      <modifiedWord/>
      <trackRevisions>false</trackRevisions>
    </reviewItem>
    <reviewItem>
      <errorID>a194ac7e-65f2-4432-9399-17f6691ea2a7</errorID>
      <errorWord>《深圳证券交易所上市公司自律监管指引第2号—创业板上市公司规范运作》（以下简称“《监管指引》”）</errorWord>
      <group>L1_Knowledge</group>
      <groupName>知识性问题</groupName>
      <ability>L2_Knowledge</ability>
      <abilityName>其他知识</abilityName>
      <candidateList>
        <item>《深圳证券交易所上市公司自律监管指引第2号—创业板上市公司规范运作》（以下简称《监管指引》）</item>
      </candidateList>
      <explain>疑似政策文件、法律法规名称等书写不规范，请注意检查。</explain>
      <paraID>48E053C8</paraID>
      <start>123</start>
      <end>171</end>
      <status>unmodified</status>
      <modifiedWord/>
      <trackRevisions>false</trackRevisions>
    </reviewItem>
    <reviewItem>
      <errorID>df7aec6d-4491-41bb-a7b4-4c1eb1dbb25a</errorID>
      <errorWord>（</errorWord>
      <group>L1_Punc</group>
      <groupName>标点问题</groupName>
      <ability>L2_Punc_CN</ability>
      <abilityName>标点符号问题</abilityName>
      <candidateList/>
      <explain>同一形式括号套用。</explain>
      <paraID>48E053C8</paraID>
      <start>270</start>
      <end>271</end>
      <status>unmodified</status>
      <modifiedWord/>
      <trackRevisions>false</trackRevisions>
    </reviewItem>
    <reviewItem>
      <errorID>4395f514-d843-4463-8006-f6f255a29a33</errorID>
      <errorWord>）</errorWord>
      <group>L1_Punc</group>
      <groupName>标点问题</groupName>
      <ability>L2_Punc_CN</ability>
      <abilityName>标点符号问题</abilityName>
      <candidateList/>
      <explain>同一形式括号套用。</explain>
      <paraID>48E053C8</paraID>
      <start>273</start>
      <end>274</end>
      <status>unmodified</status>
      <modifiedWord/>
      <trackRevisions>false</trackRevisions>
    </reviewItem>
    <reviewItem>
      <errorID>2f58331f-dfc5-40c1-831c-b522e324826a</errorID>
      <errorWord>“</errorWord>
      <group>L1_Punc</group>
      <groupName>标点问题</groupName>
      <ability>L2_Punc_CN</ability>
      <abilityName>标点符号问题</abilityName>
      <candidateList>
        <item/>
      </candidateList>
      <explain/>
      <paraID>7B785881</paraID>
      <start>24</start>
      <end>25</end>
      <status>unmodified</status>
      <modifiedWord/>
      <trackRevisions>false</trackRevisions>
    </reviewItem>
    <reviewItem>
      <errorID>7895c18b-a816-4fb0-82c3-95e468a943e3</errorID>
      <errorWord>[2021]2257号</errorWord>
      <group>L1_Knowledge</group>
      <groupName>知识性问题</groupName>
      <ability>L2_Knowledge</ability>
      <abilityName>其他知识</abilityName>
      <candidateList>
        <item>〔2021〕2257号</item>
      </candidateList>
      <explain>发文字号格式错误。</explain>
      <paraID>7B785881</paraID>
      <start>29</start>
      <end>40</end>
      <status>unmodified</status>
      <modifiedWord/>
      <trackRevisions>false</trackRevisions>
    </reviewItem>
    <reviewItem>
      <errorID>37b322c1-8f84-435e-9f50-f8e16eec0d64</errorID>
      <errorWord>”</errorWord>
      <group>L1_Punc</group>
      <groupName>标点问题</groupName>
      <ability>L2_Punc_CN</ability>
      <abilityName>标点符号问题</abilityName>
      <candidateList>
        <item/>
      </candidateList>
      <explain/>
      <paraID>7B785881</paraID>
      <start>40</start>
      <end>41</end>
      <status>unmodified</status>
      <modifiedWord/>
      <trackRevisions>false</trackRevisions>
    </reviewItem>
    <reviewItem>
      <errorID>524a7a98-f040-4c3e-a3c6-93c9a3fecf31</errorID>
      <errorWord>“</errorWord>
      <group>L1_Punc</group>
      <groupName>标点问题</groupName>
      <ability>L2_Punc_CN</ability>
      <abilityName>标点符号问题</abilityName>
      <candidateList>
        <item/>
      </candidateList>
      <explain/>
      <paraID>7B785881</paraID>
      <start>105</start>
      <end>106</end>
      <status>unmodified</status>
      <modifiedWord/>
      <trackRevisions>false</trackRevisions>
    </reviewItem>
    <reviewItem>
      <errorID>2690d392-693f-4844-a64b-5c5e44fddff4</errorID>
      <errorWord>[2021]905号</errorWord>
      <group>L1_Knowledge</group>
      <groupName>知识性问题</groupName>
      <ability>L2_Knowledge</ability>
      <abilityName>其他知识</abilityName>
      <candidateList>
        <item>〔2021〕905号</item>
      </candidateList>
      <explain>发文字号格式错误。</explain>
      <paraID>7B785881</paraID>
      <start>109</start>
      <end>119</end>
      <status>unmodified</status>
      <modifiedWord/>
      <trackRevisions>false</trackRevisions>
    </reviewItem>
    <reviewItem>
      <errorID>a8597613-feed-4f46-afd9-c783f057ad3a</errorID>
      <errorWord>”</errorWord>
      <group>L1_Punc</group>
      <groupName>标点问题</groupName>
      <ability>L2_Punc_CN</ability>
      <abilityName>标点符号问题</abilityName>
      <candidateList>
        <item/>
      </candidateList>
      <explain/>
      <paraID>7B785881</paraID>
      <start>119</start>
      <end>120</end>
      <status>unmodified</status>
      <modifiedWord/>
      <trackRevisions>false</trackRevisions>
    </reviewItem>
    <reviewItem>
      <errorID>b4f75689-b6af-4dd5-8306-bfed9581e95d</errorID>
      <errorWord>法律、法规</errorWord>
      <group>L1_Word</group>
      <groupName>字词问题</groupName>
      <ability>L2_Typo</ability>
      <abilityName>字词错误</abilityName>
      <candidateList>
        <item>法律法规</item>
      </candidateList>
      <explain/>
      <paraID>341DDFB8</paraID>
      <start>34</start>
      <end>39</end>
      <status>unmodified</status>
      <modifiedWord/>
      <trackRevisions>false</trackRevisions>
    </reviewItem>
    <reviewItem>
      <errorID>9e08aece-19f2-4a7a-8f0f-d40e9c6318f3</errorID>
      <errorWord>&lt;</errorWord>
      <group>L1_Format</group>
      <groupName>格式问题</groupName>
      <ability>L2_HalfPunc_CN</ability>
      <abilityName>全半角问题</abilityName>
      <candidateList>
        <item>〈</item>
      </candidateList>
      <explain>文本全半角错误。</explain>
      <paraID>4FF02109</paraID>
      <start>11</start>
      <end>12</end>
      <status>unmodified</status>
      <modifiedWord/>
      <trackRevisions>false</trackRevisions>
    </reviewItem>
    <reviewItem>
      <errorID>7c1c5a19-3bb5-416a-a38a-d61324bb0724</errorID>
      <errorWord>&gt;</errorWord>
      <group>L1_Format</group>
      <groupName>格式问题</groupName>
      <ability>L2_HalfPunc_CN</ability>
      <abilityName>全半角问题</abilityName>
      <candidateList>
        <item>〉</item>
      </candidateList>
      <explain>文本全半角错误。</explain>
      <paraID>4FF02109</paraID>
      <start>27</start>
      <end>28</end>
      <status>unmodified</status>
      <modifiedWord/>
      <trackRevisions>false</trackRevisions>
    </reviewItem>
    <reviewItem>
      <errorID>9ee79c4b-6745-43a8-b009-d600e3eddd6d</errorID>
      <errorWord>&lt;</errorWord>
      <group>L1_Format</group>
      <groupName>格式问题</groupName>
      <ability>L2_HalfPunc_CN</ability>
      <abilityName>全半角问题</abilityName>
      <candidateList>
        <item>〈</item>
      </candidateList>
      <explain>文本全半角错误。</explain>
      <paraID>4FF02109</paraID>
      <start>53</start>
      <end>54</end>
      <status>unmodified</status>
      <modifiedWord/>
      <trackRevisions>false</trackRevisions>
    </reviewItem>
    <reviewItem>
      <errorID>d855be06-7020-47fd-88fd-40cee8ebc5e2</errorID>
      <errorWord>&gt;</errorWord>
      <group>L1_Format</group>
      <groupName>格式问题</groupName>
      <ability>L2_HalfPunc_CN</ability>
      <abilityName>全半角问题</abilityName>
      <candidateList>
        <item>〉</item>
      </candidateList>
      <explain>文本全半角错误。</explain>
      <paraID>4FF02109</paraID>
      <start>69</start>
      <end>70</end>
      <status>unmodified</status>
      <modifiedWord/>
      <trackRevisions>false</trackRevisions>
    </reviewItem>
    <reviewItem>
      <errorID>ce2af9ec-b0ec-4e92-8e07-e388541c503b</errorID>
      <errorWord>&lt;</errorWord>
      <group>L1_Format</group>
      <groupName>格式问题</groupName>
      <ability>L2_HalfPunc_CN</ability>
      <abilityName>全半角问题</abilityName>
      <candidateList>
        <item>〈</item>
      </candidateList>
      <explain>文本全半角错误。</explain>
      <paraID>4FF02109</paraID>
      <start>81</start>
      <end>82</end>
      <status>unmodified</status>
      <modifiedWord/>
      <trackRevisions>false</trackRevisions>
    </reviewItem>
    <reviewItem>
      <errorID>f2fa3b30-5bc5-4788-a6a9-df9b54d3d402</errorID>
      <errorWord>&gt;</errorWord>
      <group>L1_Format</group>
      <groupName>格式问题</groupName>
      <ability>L2_HalfPunc_CN</ability>
      <abilityName>全半角问题</abilityName>
      <candidateList>
        <item>〉</item>
      </candidateList>
      <explain>文本全半角错误。</explain>
      <paraID>4FF02109</paraID>
      <start>97</start>
      <end>98</end>
      <status>unmodified</status>
      <modifiedWord/>
      <trackRevisions>false</trackRevisions>
    </reviewItem>
    <reviewItem>
      <errorID>9ac14e11-3019-4adc-a3ac-8cc454f707cc</errorID>
      <errorWord>法律、法规</errorWord>
      <group>L1_Word</group>
      <groupName>字词问题</groupName>
      <ability>L2_Typo</ability>
      <abilityName>字词错误</abilityName>
      <candidateList>
        <item>法律法规</item>
      </candidateList>
      <explain/>
      <paraID>350BBB58</paraID>
      <start>33</start>
      <end>38</end>
      <status>unmodified</status>
      <modifiedWord/>
      <trackRevisions>false</trackRevisions>
    </reviewItem>
    <reviewItem>
      <errorID>dc89b08f-7651-4b2c-a82a-83d85a5dc828</errorID>
      <errorWord>&lt;</errorWord>
      <group>L1_Format</group>
      <groupName>格式问题</groupName>
      <ability>L2_HalfPunc_CN</ability>
      <abilityName>全半角问题</abilityName>
      <candidateList>
        <item>〈</item>
      </candidateList>
      <explain>文本全半角错误。</explain>
      <paraID>3B0F6FF7</paraID>
      <start>25</start>
      <end>26</end>
      <status>unmodified</status>
      <modifiedWord/>
      <trackRevisions>false</trackRevisions>
    </reviewItem>
    <reviewItem>
      <errorID>5bd89304-dca9-404b-9a25-fb70c9832347</errorID>
      <errorWord>&gt;</errorWord>
      <group>L1_Format</group>
      <groupName>格式问题</groupName>
      <ability>L2_HalfPunc_CN</ability>
      <abilityName>全半角问题</abilityName>
      <candidateList>
        <item>〉</item>
      </candidateList>
      <explain>文本全半角错误。</explain>
      <paraID>3B0F6FF7</paraID>
      <start>41</start>
      <end>42</end>
      <status>unmodified</status>
      <modifiedWord/>
      <trackRevisions>false</trackRevisions>
    </reviewItem>
    <reviewItem>
      <errorID>1aad874d-6f23-4614-af8c-6f170531ece8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5A472EFF</paraID>
      <start>0</start>
      <end>2</end>
      <status>unmodified</status>
      <modifiedWord/>
      <trackRevisions>false</trackRevisions>
    </reviewItem>
    <reviewItem>
      <errorID>05d56d2f-ba63-40a0-8927-7c76935512c6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77E2C56C</paraID>
      <start>0</start>
      <end>2</end>
      <status>unmodified</status>
      <modifiedWord/>
      <trackRevisions>false</trackRevisions>
    </reviewItem>
    <reviewItem>
      <errorID>e7eb8fe0-7a40-4cdb-9445-6888b3969495</errorID>
      <errorWord>认购</errorWord>
      <group>L1_Word</group>
      <groupName>字词问题</groupName>
      <ability>L2_Typo</ability>
      <abilityName>字词错误</abilityName>
      <candidateList>
        <item>的认购</item>
      </candidateList>
      <explain/>
      <paraID>3BC44B86</paraID>
      <start>94</start>
      <end>99</end>
      <status>modified</status>
      <modifiedWord>的认购</modifiedWord>
      <trackRevisions>true</trackRevisions>
    </reviewItem>
    <reviewItem>
      <errorID>80c60d57-9758-4586-a80c-01f67eaaa47a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5296AA31</paraID>
      <start>0</start>
      <end>2</end>
      <status>unmodified</status>
      <modifiedWord/>
      <trackRevisions>false</trackRevisions>
    </reviewItem>
    <reviewItem>
      <errorID>a46e2a17-c45d-4950-905b-c6627d831d1e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790C0924</paraID>
      <start>0</start>
      <end>2</end>
      <status>unmodified</status>
      <modifiedWord/>
      <trackRevisions>false</trackRevisions>
    </reviewItem>
    <reviewItem>
      <errorID>e99f50d3-440d-469f-a90e-febc50f6e1cc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7EDF7542</paraID>
      <start>0</start>
      <end>2</end>
      <status>unmodified</status>
      <modifiedWord/>
      <trackRevisions>false</trackRevisions>
    </reviewItem>
    <reviewItem>
      <errorID>9644edd2-41c3-4d4f-9b02-b21d4eda9205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4F63A356</paraID>
      <start>0</start>
      <end>2</end>
      <status>unmodified</status>
      <modifiedWord/>
      <trackRevisions>false</trackRevisions>
    </reviewItem>
    <reviewItem>
      <errorID>76e2d7f1-87e7-4d09-82e5-aa288be80cc2</errorID>
      <errorWord>；</errorWord>
      <group>L1_Punc</group>
      <groupName>标点问题</groupName>
      <ability>L2_Punc_CN</ability>
      <abilityName>标点符号问题</abilityName>
      <candidateList>
        <item>。</item>
      </candidateList>
      <explain/>
      <paraID> 4D93D41</paraID>
      <start>15</start>
      <end>16</end>
      <status>unmodified</status>
      <modifiedWord/>
      <trackRevisions>false</trackRevisions>
    </reviewItem>
    <reviewItem>
      <errorID>ed87d2a5-da91-4e02-92ea-4e2663139351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6D3D431</paraID>
      <start>0</start>
      <end>2</end>
      <status>unmodified</status>
      <modifiedWord/>
      <trackRevisions>false</trackRevisions>
    </reviewItem>
    <reviewItem>
      <errorID>50cc6429-b51d-41cf-a565-4248eac61790</errorID>
      <errorWord>，</errorWord>
      <group>L1_Punc</group>
      <groupName>标点问题</groupName>
      <ability>L2_Punc_CN</ability>
      <abilityName>标点符号问题</abilityName>
      <candidateList>
        <item>；</item>
      </candidateList>
      <explain/>
      <paraID>3C7DE7DE</paraID>
      <start>63</start>
      <end>64</end>
      <status>unmodified</status>
      <modifiedWord/>
      <trackRevisions>false</trackRevisions>
    </reviewItem>
    <reviewItem>
      <errorID>f8db95a6-376a-4304-900e-921c5045dc9e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7856E9E5</paraID>
      <start>0</start>
      <end>3</end>
      <status>unmodified</status>
      <modifiedWord/>
      <trackRevisions>false</trackRevisions>
    </reviewItem>
    <reviewItem>
      <errorID>03d7ac35-c72f-4a6b-8bbc-fb54709112ba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45351062</paraID>
      <start>0</start>
      <end>3</end>
      <status>unmodified</status>
      <modifiedWord/>
      <trackRevisions>false</trackRevisions>
    </reviewItem>
    <reviewItem>
      <errorID>917343ac-c43f-4b1f-adf9-1044afefe665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4B1F739C</paraID>
      <start>0</start>
      <end>3</end>
      <status>unmodified</status>
      <modifiedWord/>
      <trackRevisions>false</trackRevisions>
    </reviewItem>
    <reviewItem>
      <errorID>e0766551-d683-44da-87b5-13ad1d7c197b</errorID>
      <errorWord>资金的</errorWord>
      <group>L1_Word</group>
      <groupName>字词问题</groupName>
      <ability>L2_Typo</ability>
      <abilityName>字词错误</abilityName>
      <candidateList>
        <item>资金</item>
      </candidateList>
      <explain/>
      <paraID>3EAFD205</paraID>
      <start>68</start>
      <end>71</end>
      <status>unmodified</status>
      <modifiedWord/>
      <trackRevisions>false</trackRevisions>
    </reviewItem>
    <reviewItem>
      <errorID>d6042343-8eb3-4a6f-8de8-f7f80835e797</errorID>
      <errorWord>本持股计划</errorWord>
      <group>L1_Other</group>
      <groupName>其他问题</groupName>
      <ability>L2_Consistency</ability>
      <abilityName>一致性检查</abilityName>
      <candidateList>
        <item>本次员工持股计划</item>
      </candidateList>
      <explain>术语一致性错误，全文统一使用“本次员工持股计划”表述目标员工持股计划，此处表述不一致</explain>
      <paraID>46F3C706</paraID>
      <start>9</start>
      <end>22</end>
      <status>modified</status>
      <modifiedWord>本次员工持股计划</modifiedWord>
      <trackRevisions>true</trackRevisions>
    </reviewItem>
    <reviewItem>
      <errorID>0f780dad-68ca-4de4-9aed-82ef565c72cd</errorID>
      <errorWord>本持股计划</errorWord>
      <group>L1_Other</group>
      <groupName>其他问题</groupName>
      <ability>L2_Consistency</ability>
      <abilityName>一致性检查</abilityName>
      <candidateList>
        <item>本次员工持股计划</item>
      </candidateList>
      <explain>术语一致性错误，全文统一使用“本次员工持股计划”表述目标员工持股计划，此处表述不一致</explain>
      <paraID>46F3C706</paraID>
      <start>47</start>
      <end>60</end>
      <status>modified</status>
      <modifiedWord>本次员工持股计划</modifiedWord>
      <trackRevisions>true</trackRevisions>
    </reviewItem>
    <reviewItem>
      <errorID>a04ec785-0c7b-4f43-a429-b9be7acf1777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22F0004</paraID>
      <start>0</start>
      <end>2</end>
      <status>unmodified</status>
      <modifiedWord/>
      <trackRevisions>false</trackRevisions>
    </reviewItem>
    <reviewItem>
      <errorID>9363700f-2b73-41fe-ba34-51a6abcac010</errorID>
      <errorWord>&lt;</errorWord>
      <group>L1_Format</group>
      <groupName>格式问题</groupName>
      <ability>L2_HalfPunc_CN</ability>
      <abilityName>全半角问题</abilityName>
      <candidateList>
        <item>〈</item>
      </candidateList>
      <explain>文本全半角错误。</explain>
      <paraID> 22F0004</paraID>
      <start>30</start>
      <end>31</end>
      <status>unmodified</status>
      <modifiedWord/>
      <trackRevisions>false</trackRevisions>
    </reviewItem>
    <reviewItem>
      <errorID>21dfe3f2-d8cc-4b91-8962-38b513ab439e</errorID>
      <errorWord>&gt;</errorWord>
      <group>L1_Format</group>
      <groupName>格式问题</groupName>
      <ability>L2_HalfPunc_CN</ability>
      <abilityName>全半角问题</abilityName>
      <candidateList>
        <item>〉</item>
      </candidateList>
      <explain>文本全半角错误。</explain>
      <paraID> 22F0004</paraID>
      <start>46</start>
      <end>47</end>
      <status>unmodified</status>
      <modifiedWord/>
      <trackRevisions>false</trackRevisions>
    </reviewItem>
    <reviewItem>
      <errorID>e9ac9632-44f1-49b0-ba1e-a3002a134f45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2211541F</paraID>
      <start>0</start>
      <end>2</end>
      <status>unmodified</status>
      <modifiedWord/>
      <trackRevisions>false</trackRevisions>
    </reviewItem>
    <reviewItem>
      <errorID>b478f0e1-3a81-4a46-b6f4-3a9bb23efc4f</errorID>
      <errorWord>&lt;</errorWord>
      <group>L1_Format</group>
      <groupName>格式问题</groupName>
      <ability>L2_HalfPunc_CN</ability>
      <abilityName>全半角问题</abilityName>
      <candidateList>
        <item>〈</item>
      </candidateList>
      <explain>文本全半角错误。</explain>
      <paraID>2211541F</paraID>
      <start>42</start>
      <end>43</end>
      <status>unmodified</status>
      <modifiedWord/>
      <trackRevisions>false</trackRevisions>
    </reviewItem>
    <reviewItem>
      <errorID>a8d042c6-4a16-429d-a00d-6b0df5318b1f</errorID>
      <errorWord>&gt;</errorWord>
      <group>L1_Format</group>
      <groupName>格式问题</groupName>
      <ability>L2_HalfPunc_CN</ability>
      <abilityName>全半角问题</abilityName>
      <candidateList>
        <item>〉</item>
      </candidateList>
      <explain>文本全半角错误。</explain>
      <paraID>2211541F</paraID>
      <start>58</start>
      <end>59</end>
      <status>unmodified</status>
      <modifiedWord/>
      <trackRevisions>false</trackRevisions>
    </reviewItem>
    <reviewItem>
      <errorID>9c14dbae-b9e9-4804-ba04-1ee0f82fcf26</errorID>
      <errorWord>&lt;</errorWord>
      <group>L1_Format</group>
      <groupName>格式问题</groupName>
      <ability>L2_HalfPunc_CN</ability>
      <abilityName>全半角问题</abilityName>
      <candidateList>
        <item>〈</item>
      </candidateList>
      <explain>文本全半角错误。</explain>
      <paraID>2211541F</paraID>
      <start>70</start>
      <end>71</end>
      <status>unmodified</status>
      <modifiedWord/>
      <trackRevisions>false</trackRevisions>
    </reviewItem>
    <reviewItem>
      <errorID>65a32bcf-7a1c-4f04-baf2-13e78f8eb47f</errorID>
      <errorWord>&gt;</errorWord>
      <group>L1_Format</group>
      <groupName>格式问题</groupName>
      <ability>L2_HalfPunc_CN</ability>
      <abilityName>全半角问题</abilityName>
      <candidateList>
        <item>〉</item>
      </candidateList>
      <explain>文本全半角错误。</explain>
      <paraID>2211541F</paraID>
      <start>86</start>
      <end>87</end>
      <status>unmodified</status>
      <modifiedWord/>
      <trackRevisions>false</trackRevisions>
    </reviewItem>
    <reviewItem>
      <errorID>d2603b8c-7d42-45b5-a44b-53d5c19f5b85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51903F82</paraID>
      <start>0</start>
      <end>2</end>
      <status>unmodified</status>
      <modifiedWord/>
      <trackRevisions>false</trackRevisions>
    </reviewItem>
    <reviewItem>
      <errorID>128f3c66-3d69-48cc-982a-def7cfebd042</errorID>
      <errorWord>&lt;</errorWord>
      <group>L1_Format</group>
      <groupName>格式问题</groupName>
      <ability>L2_HalfPunc_CN</ability>
      <abilityName>全半角问题</abilityName>
      <candidateList>
        <item>〈</item>
      </candidateList>
      <explain>文本全半角错误。</explain>
      <paraID>51903F82</paraID>
      <start>36</start>
      <end>37</end>
      <status>unmodified</status>
      <modifiedWord/>
      <trackRevisions>false</trackRevisions>
    </reviewItem>
    <reviewItem>
      <errorID>687462b5-df0f-437d-a3a9-0a1fee6389da</errorID>
      <errorWord>&gt;</errorWord>
      <group>L1_Format</group>
      <groupName>格式问题</groupName>
      <ability>L2_HalfPunc_CN</ability>
      <abilityName>全半角问题</abilityName>
      <candidateList>
        <item>〉</item>
      </candidateList>
      <explain>文本全半角错误。</explain>
      <paraID>51903F82</paraID>
      <start>52</start>
      <end>53</end>
      <status>unmodified</status>
      <modifiedWord/>
      <trackRevisions>false</trackRevisions>
    </reviewItem>
    <reviewItem>
      <errorID>436cccdf-9bf3-498a-a520-694b21fb3a08</errorID>
      <errorWord>&lt;</errorWord>
      <group>L1_Format</group>
      <groupName>格式问题</groupName>
      <ability>L2_HalfPunc_CN</ability>
      <abilityName>全半角问题</abilityName>
      <candidateList>
        <item>〈</item>
      </candidateList>
      <explain>文本全半角错误。</explain>
      <paraID>51903F82</paraID>
      <start>63</start>
      <end>64</end>
      <status>unmodified</status>
      <modifiedWord/>
      <trackRevisions>false</trackRevisions>
    </reviewItem>
    <reviewItem>
      <errorID>97e2c3ab-c427-44ce-81e8-9853f9a64b71</errorID>
      <errorWord>&gt;</errorWord>
      <group>L1_Format</group>
      <groupName>格式问题</groupName>
      <ability>L2_HalfPunc_CN</ability>
      <abilityName>全半角问题</abilityName>
      <candidateList>
        <item>〉</item>
      </candidateList>
      <explain>文本全半角错误。</explain>
      <paraID>51903F82</paraID>
      <start>79</start>
      <end>80</end>
      <status>unmodified</status>
      <modifiedWord/>
      <trackRevisions>false</trackRevisions>
    </reviewItem>
    <reviewItem>
      <errorID>2e0bfd92-ed96-4695-b9d2-f3a1debe6c51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25E12CFA</paraID>
      <start>0</start>
      <end>2</end>
      <status>unmodified</status>
      <modifiedWord/>
      <trackRevisions>false</trackRevisions>
    </reviewItem>
    <reviewItem>
      <errorID>33261335-4ab8-4af5-9dff-1547429b0d80</errorID>
      <errorWord>法律、法规</errorWord>
      <group>L1_Word</group>
      <groupName>字词问题</groupName>
      <ability>L2_Typo</ability>
      <abilityName>字词错误</abilityName>
      <candidateList>
        <item>法律法规</item>
      </candidateList>
      <explain/>
      <paraID>3F31850A</paraID>
      <start>43</start>
      <end>48</end>
      <status>unmodified</status>
      <modifiedWord/>
      <trackRevisions>false</trackRevisions>
    </reviewItem>
    <reviewItem>
      <errorID>19b8e012-b80a-414e-989f-24f7e8d28e6f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69C9969D</paraID>
      <start>0</start>
      <end>2</end>
      <status>unmodified</status>
      <modifiedWord/>
      <trackRevisions>false</trackRevisions>
    </reviewItem>
    <reviewItem>
      <errorID>8e1379d3-c9fd-4ce0-94ae-703bc567f413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75A3F7E6</paraID>
      <start>0</start>
      <end>2</end>
      <status>unmodified</status>
      <modifiedWord/>
      <trackRevisions>false</trackRevisions>
    </reviewItem>
    <reviewItem>
      <errorID>e71de09a-c8f9-4f15-80c0-b43e44a33b76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2E6A1DDA</paraID>
      <start>0</start>
      <end>2</end>
      <status>unmodified</status>
      <modifiedWord/>
      <trackRevisions>false</trackRevisions>
    </reviewItem>
    <reviewItem>
      <errorID>b8c4fb6c-2bf1-4955-965d-7974a924e9ca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3808123B</paraID>
      <start>0</start>
      <end>2</end>
      <status>unmodified</status>
      <modifiedWord/>
      <trackRevisions>false</trackRevisions>
    </reviewItem>
    <reviewItem>
      <errorID>faab1c15-02d7-4f22-b262-8d780279aefa</errorID>
      <errorWord>除外</errorWord>
      <group>L1_Word</group>
      <groupName>字词问题</groupName>
      <ability>L2_Typo</ability>
      <abilityName>字词错误</abilityName>
      <candidateList>
        <item>此外</item>
      </candidateList>
      <explain/>
      <paraID>133D9FA6</paraID>
      <start>0</start>
      <end>4</end>
      <status>modified</status>
      <modifiedWord>此外</modifiedWord>
      <trackRevisions>true</trackRevisions>
    </reviewItem>
    <reviewItem>
      <errorID>b3e3390c-4e6d-4bbf-a6ed-130749768e47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19B385CC</paraID>
      <start>0</start>
      <end>2</end>
      <status>unmodified</status>
      <modifiedWord/>
      <trackRevisions>false</trackRevisions>
    </reviewItem>
    <reviewItem>
      <errorID>e78cc749-074b-47cf-911a-480a9f766354</errorID>
      <errorWord>（</errorWord>
      <group>L1_Punc</group>
      <groupName>标点问题</groupName>
      <ability>L2_Punc_CN</ability>
      <abilityName>标点符号问题</abilityName>
      <candidateList/>
      <explain>同一形式括号套用。</explain>
      <paraID>40959335</paraID>
      <start>23</start>
      <end>24</end>
      <status>unmodified</status>
      <modifiedWord/>
      <trackRevisions>false</trackRevisions>
    </reviewItem>
    <reviewItem>
      <errorID>326fb197-2e92-4f2a-b583-339458332dcb</errorID>
      <errorWord>）</errorWord>
      <group>L1_Punc</group>
      <groupName>标点问题</groupName>
      <ability>L2_Punc_CN</ability>
      <abilityName>标点符号问题</abilityName>
      <candidateList/>
      <explain>同一形式括号套用。</explain>
      <paraID>40959335</paraID>
      <start>26</start>
      <end>27</end>
      <status>unmodified</status>
      <modifiedWord/>
      <trackRevisions>false</trackRevisions>
    </reviewItem>
    <reviewItem>
      <errorID>2d3bf3a1-d18e-47d2-a14f-5c1360bb1fc0</errorID>
      <errorWord>（</errorWord>
      <group>L1_Punc</group>
      <groupName>标点问题</groupName>
      <ability>L2_Punc_CN</ability>
      <abilityName>标点符号问题</abilityName>
      <candidateList/>
      <explain>同一形式括号套用。</explain>
      <paraID>40959335</paraID>
      <start>47</start>
      <end>48</end>
      <status>unmodified</status>
      <modifiedWord/>
      <trackRevisions>false</trackRevisions>
    </reviewItem>
    <reviewItem>
      <errorID>b99287da-9b0e-42ce-83a9-9603223a39b5</errorID>
      <errorWord>）</errorWord>
      <group>L1_Punc</group>
      <groupName>标点问题</groupName>
      <ability>L2_Punc_CN</ability>
      <abilityName>标点符号问题</abilityName>
      <candidateList/>
      <explain>同一形式括号套用。</explain>
      <paraID>40959335</paraID>
      <start>50</start>
      <end>51</end>
      <status>unmodified</status>
      <modifiedWord/>
      <trackRevisions>false</trackRevisions>
    </reviewItem>
  </reviewItems>
  <config/>
</contractReview>
</file>

<file path=customXml/itemProps1.xml><?xml version="1.0" encoding="utf-8"?>
<ds:datastoreItem xmlns:ds="http://schemas.openxmlformats.org/officeDocument/2006/customXml" ds:itemID="{5ED757D1-16FB-4858-9F7F-DEB8F19757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1192</Words>
  <Characters>6798</Characters>
  <Lines>56</Lines>
  <Paragraphs>15</Paragraphs>
  <TotalTime>41</TotalTime>
  <ScaleCrop>false</ScaleCrop>
  <LinksUpToDate>false</LinksUpToDate>
  <CharactersWithSpaces>7975</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2026-04-23T08:20:00Z</dcterms:created>
  <dc:creator>Ganus Law</dc:creator>
  <cp:lastModifiedBy>Jin</cp:lastModifiedBy>
  <cp:lastPrinted>2025-08-24T02:35:00Z</cp:lastPrinted>
  <dcterms:modified xsi:type="dcterms:W3CDTF">2026-09-07T17:10:26Z</dcterms:modified>
  <dc:title>法律意见书-草案</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KSOTemplateDocerSaveRecord">
    <vt:lpwstr>eyJoZGlkIjoiYWNhMjBkMzJjNWE2MzVhMmY2OGIyMTJjMjBlZjQ2NjMiLCJ1c2VySWQiOiIyMDQ3NjIyNTEifQ==</vt:lpwstr>
  </property>
  <property fmtid="{D5CDD505-2E9C-101B-9397-08002B2CF9AE}" pid="4" name="ICV">
    <vt:lpwstr>BCB1DA02FA0242E89D460DC7EFB7B808_13</vt:lpwstr>
  </property>
</Properties>
</file>