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3ECC61" w14:textId="4BF82DAA" w:rsidR="00904D7A" w:rsidRPr="0046383F" w:rsidRDefault="002E58B6">
      <w:pPr>
        <w:spacing w:line="360" w:lineRule="auto"/>
        <w:jc w:val="center"/>
        <w:rPr>
          <w:rFonts w:ascii="仿宋" w:eastAsia="仿宋" w:hAnsi="仿宋" w:cs="Times New Roman"/>
          <w:sz w:val="28"/>
          <w:szCs w:val="20"/>
          <w:lang w:eastAsia="zh-CN"/>
        </w:rPr>
      </w:pPr>
      <w:r>
        <w:rPr>
          <w:rFonts w:ascii="仿宋" w:eastAsia="仿宋" w:hAnsi="仿宋" w:cs="Times New Roman" w:hint="eastAsia"/>
          <w:sz w:val="28"/>
          <w:szCs w:val="20"/>
          <w:lang w:eastAsia="zh-CN"/>
        </w:rPr>
        <w:t xml:space="preserve">证券代码：301178    证券简称：天亿马    </w:t>
      </w:r>
      <w:r w:rsidRPr="0046383F">
        <w:rPr>
          <w:rFonts w:ascii="仿宋" w:eastAsia="仿宋" w:hAnsi="仿宋" w:cs="Times New Roman" w:hint="eastAsia"/>
          <w:sz w:val="28"/>
          <w:szCs w:val="20"/>
          <w:lang w:eastAsia="zh-CN"/>
        </w:rPr>
        <w:t>公告编号：</w:t>
      </w:r>
      <w:r w:rsidR="00BE7BFB" w:rsidRPr="0046383F">
        <w:rPr>
          <w:rFonts w:ascii="仿宋" w:eastAsia="仿宋" w:hAnsi="仿宋" w:cs="Times New Roman" w:hint="eastAsia"/>
          <w:sz w:val="28"/>
          <w:szCs w:val="20"/>
          <w:lang w:eastAsia="zh-CN"/>
        </w:rPr>
        <w:t>202</w:t>
      </w:r>
      <w:r w:rsidR="00BE7BFB">
        <w:rPr>
          <w:rFonts w:ascii="仿宋" w:eastAsia="仿宋" w:hAnsi="仿宋" w:cs="Times New Roman"/>
          <w:sz w:val="28"/>
          <w:szCs w:val="20"/>
          <w:lang w:eastAsia="zh-CN"/>
        </w:rPr>
        <w:t>6</w:t>
      </w:r>
      <w:r w:rsidRPr="0046383F">
        <w:rPr>
          <w:rFonts w:ascii="仿宋" w:eastAsia="仿宋" w:hAnsi="仿宋" w:cs="Times New Roman" w:hint="eastAsia"/>
          <w:sz w:val="28"/>
          <w:szCs w:val="20"/>
          <w:lang w:eastAsia="zh-CN"/>
        </w:rPr>
        <w:t>-0</w:t>
      </w:r>
      <w:r w:rsidR="009D0828">
        <w:rPr>
          <w:rFonts w:ascii="仿宋" w:eastAsia="仿宋" w:hAnsi="仿宋" w:cs="Times New Roman"/>
          <w:sz w:val="28"/>
          <w:szCs w:val="20"/>
          <w:lang w:eastAsia="zh-CN"/>
        </w:rPr>
        <w:t>62</w:t>
      </w:r>
    </w:p>
    <w:p w14:paraId="41339C99" w14:textId="77777777" w:rsidR="00904D7A" w:rsidRDefault="002E58B6">
      <w:pPr>
        <w:widowControl w:val="0"/>
        <w:kinsoku/>
        <w:snapToGrid/>
        <w:spacing w:line="360" w:lineRule="auto"/>
        <w:jc w:val="center"/>
        <w:textAlignment w:val="auto"/>
        <w:rPr>
          <w:rFonts w:ascii="黑体" w:eastAsia="黑体" w:hAnsi="黑体" w:cs="Times New Roman"/>
          <w:snapToGrid/>
          <w:kern w:val="2"/>
          <w:sz w:val="36"/>
          <w:szCs w:val="36"/>
          <w:lang w:eastAsia="zh-CN"/>
        </w:rPr>
      </w:pPr>
      <w:r>
        <w:rPr>
          <w:rFonts w:ascii="黑体" w:eastAsia="黑体" w:hAnsi="黑体" w:cs="Times New Roman" w:hint="eastAsia"/>
          <w:snapToGrid/>
          <w:kern w:val="2"/>
          <w:sz w:val="36"/>
          <w:szCs w:val="36"/>
          <w:lang w:eastAsia="zh-CN"/>
        </w:rPr>
        <w:t>广东天亿马信息产业股份有限公司</w:t>
      </w:r>
    </w:p>
    <w:p w14:paraId="1865C6F5" w14:textId="77777777" w:rsidR="00904D7A" w:rsidRDefault="002E58B6">
      <w:pPr>
        <w:widowControl w:val="0"/>
        <w:kinsoku/>
        <w:snapToGrid/>
        <w:spacing w:line="360" w:lineRule="auto"/>
        <w:jc w:val="center"/>
        <w:textAlignment w:val="auto"/>
        <w:rPr>
          <w:rFonts w:ascii="宋体" w:eastAsia="宋体" w:hAnsi="宋体" w:cs="宋体"/>
          <w:sz w:val="30"/>
          <w:szCs w:val="30"/>
          <w:lang w:eastAsia="zh-CN"/>
        </w:rPr>
      </w:pPr>
      <w:r>
        <w:rPr>
          <w:rFonts w:ascii="黑体" w:eastAsia="黑体" w:hAnsi="黑体" w:cs="Times New Roman" w:hint="eastAsia"/>
          <w:snapToGrid/>
          <w:kern w:val="2"/>
          <w:sz w:val="36"/>
          <w:szCs w:val="36"/>
          <w:lang w:eastAsia="zh-CN"/>
        </w:rPr>
        <w:t>关于本次交易方案调整不构成重大调整的公告</w:t>
      </w:r>
    </w:p>
    <w:tbl>
      <w:tblPr>
        <w:tblStyle w:val="TableNormal"/>
        <w:tblW w:w="7962" w:type="dxa"/>
        <w:tblInd w:w="299"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7962"/>
      </w:tblGrid>
      <w:tr w:rsidR="00904D7A" w14:paraId="5A9F8D6B" w14:textId="77777777">
        <w:trPr>
          <w:trHeight w:val="776"/>
        </w:trPr>
        <w:tc>
          <w:tcPr>
            <w:tcW w:w="7962" w:type="dxa"/>
          </w:tcPr>
          <w:p w14:paraId="138E715C" w14:textId="77777777" w:rsidR="00904D7A" w:rsidRDefault="002E58B6">
            <w:pPr>
              <w:kinsoku/>
              <w:autoSpaceDE/>
              <w:autoSpaceDN/>
              <w:adjustRightInd/>
              <w:snapToGrid/>
              <w:spacing w:line="440" w:lineRule="exact"/>
              <w:ind w:firstLineChars="200" w:firstLine="560"/>
              <w:jc w:val="both"/>
              <w:textAlignment w:val="auto"/>
              <w:rPr>
                <w:rFonts w:ascii="楷体" w:eastAsia="楷体" w:hAnsi="楷体" w:cs="宋体"/>
                <w:snapToGrid/>
                <w:sz w:val="28"/>
                <w:szCs w:val="24"/>
                <w:lang w:eastAsia="zh-CN"/>
              </w:rPr>
            </w:pPr>
            <w:r>
              <w:rPr>
                <w:rFonts w:ascii="楷体" w:eastAsia="楷体" w:hAnsi="楷体" w:cs="宋体" w:hint="eastAsia"/>
                <w:snapToGrid/>
                <w:sz w:val="28"/>
                <w:szCs w:val="24"/>
                <w:lang w:eastAsia="zh-CN"/>
              </w:rPr>
              <w:t>本公司及董事会全体成员保证信息披露的内容真实、准确、完整，没有虚假记载、误导性陈述或者重大遗漏。</w:t>
            </w:r>
          </w:p>
        </w:tc>
      </w:tr>
    </w:tbl>
    <w:p w14:paraId="36012826" w14:textId="77777777" w:rsidR="00904D7A" w:rsidRDefault="00904D7A">
      <w:pPr>
        <w:spacing w:line="360" w:lineRule="auto"/>
        <w:rPr>
          <w:rFonts w:ascii="宋体" w:eastAsia="宋体" w:hAnsi="宋体" w:cs="宋体"/>
          <w:sz w:val="24"/>
          <w:szCs w:val="24"/>
          <w:lang w:eastAsia="zh-CN"/>
        </w:rPr>
      </w:pPr>
    </w:p>
    <w:p w14:paraId="6E66B581" w14:textId="0DFA5BA8" w:rsidR="00904D7A" w:rsidRDefault="002E58B6">
      <w:pPr>
        <w:widowControl w:val="0"/>
        <w:kinsoku/>
        <w:autoSpaceDE/>
        <w:autoSpaceDN/>
        <w:adjustRightInd/>
        <w:snapToGrid/>
        <w:spacing w:line="360" w:lineRule="auto"/>
        <w:ind w:firstLineChars="200" w:firstLine="480"/>
        <w:jc w:val="both"/>
        <w:textAlignment w:val="auto"/>
        <w:rPr>
          <w:rFonts w:ascii="仿宋" w:eastAsia="仿宋" w:hAnsi="仿宋" w:cs="仿宋"/>
          <w:snapToGrid/>
          <w:kern w:val="2"/>
          <w:sz w:val="24"/>
          <w:szCs w:val="24"/>
          <w:lang w:eastAsia="zh-CN"/>
        </w:rPr>
      </w:pPr>
      <w:r>
        <w:rPr>
          <w:rFonts w:ascii="仿宋" w:eastAsia="仿宋" w:hAnsi="仿宋" w:cs="仿宋" w:hint="eastAsia"/>
          <w:snapToGrid/>
          <w:kern w:val="2"/>
          <w:sz w:val="24"/>
          <w:szCs w:val="24"/>
          <w:lang w:eastAsia="zh-CN"/>
        </w:rPr>
        <w:t>2025年6月23日，广东天亿马信息产业股份有限公司（以下简称“公司”）召开第三届董事会第三十二次会议，审议通过了《关于&lt;广东天亿马信息产业股份有限公司发行股份及支付现金购买资产并募集配套资金暨关联交易预案&gt;及其摘要的议案》等相关议案。</w:t>
      </w:r>
    </w:p>
    <w:p w14:paraId="56B579B7" w14:textId="4D07FF7C" w:rsidR="00904D7A" w:rsidRDefault="002E58B6">
      <w:pPr>
        <w:widowControl w:val="0"/>
        <w:kinsoku/>
        <w:autoSpaceDE/>
        <w:autoSpaceDN/>
        <w:adjustRightInd/>
        <w:snapToGrid/>
        <w:spacing w:line="360" w:lineRule="auto"/>
        <w:ind w:firstLineChars="200" w:firstLine="480"/>
        <w:jc w:val="both"/>
        <w:textAlignment w:val="auto"/>
        <w:rPr>
          <w:rFonts w:ascii="仿宋" w:eastAsia="仿宋" w:hAnsi="仿宋" w:cs="仿宋"/>
          <w:snapToGrid/>
          <w:kern w:val="2"/>
          <w:sz w:val="24"/>
          <w:szCs w:val="24"/>
          <w:lang w:eastAsia="zh-CN"/>
        </w:rPr>
      </w:pPr>
      <w:r>
        <w:rPr>
          <w:rFonts w:ascii="仿宋" w:eastAsia="仿宋" w:hAnsi="仿宋" w:cs="仿宋" w:hint="eastAsia"/>
          <w:snapToGrid/>
          <w:kern w:val="2"/>
          <w:sz w:val="24"/>
          <w:szCs w:val="24"/>
          <w:lang w:eastAsia="zh-CN"/>
        </w:rPr>
        <w:t>2025年11月18日，公司召开第四届董事会第三次会议，审议通过了关于《&lt;广东天亿马信息产业股份有限公司发行股份及支付现金购买资产并募集配套资金暨关联交易报告书（草案）&gt;及其摘要的议案》《关于本次交易方案调整不构成重大调整的议案》等相关议案，对本次重组方案进行了调整。</w:t>
      </w:r>
    </w:p>
    <w:p w14:paraId="46E118EE" w14:textId="1F8D39DD" w:rsidR="00812533" w:rsidRDefault="00812533">
      <w:pPr>
        <w:widowControl w:val="0"/>
        <w:kinsoku/>
        <w:autoSpaceDE/>
        <w:autoSpaceDN/>
        <w:adjustRightInd/>
        <w:snapToGrid/>
        <w:spacing w:line="360" w:lineRule="auto"/>
        <w:ind w:firstLineChars="200" w:firstLine="480"/>
        <w:jc w:val="both"/>
        <w:textAlignment w:val="auto"/>
        <w:rPr>
          <w:rFonts w:ascii="仿宋" w:eastAsia="仿宋" w:hAnsi="仿宋" w:cs="仿宋"/>
          <w:snapToGrid/>
          <w:kern w:val="2"/>
          <w:sz w:val="24"/>
          <w:szCs w:val="24"/>
          <w:lang w:eastAsia="zh-CN"/>
        </w:rPr>
      </w:pPr>
      <w:r>
        <w:rPr>
          <w:rFonts w:ascii="仿宋" w:eastAsia="仿宋" w:hAnsi="仿宋" w:cs="仿宋" w:hint="eastAsia"/>
          <w:snapToGrid/>
          <w:kern w:val="2"/>
          <w:sz w:val="24"/>
          <w:szCs w:val="24"/>
          <w:lang w:eastAsia="zh-CN"/>
        </w:rPr>
        <w:t>2</w:t>
      </w:r>
      <w:r>
        <w:rPr>
          <w:rFonts w:ascii="仿宋" w:eastAsia="仿宋" w:hAnsi="仿宋" w:cs="仿宋"/>
          <w:snapToGrid/>
          <w:kern w:val="2"/>
          <w:sz w:val="24"/>
          <w:szCs w:val="24"/>
          <w:lang w:eastAsia="zh-CN"/>
        </w:rPr>
        <w:t>026</w:t>
      </w:r>
      <w:r>
        <w:rPr>
          <w:rFonts w:ascii="仿宋" w:eastAsia="仿宋" w:hAnsi="仿宋" w:cs="仿宋" w:hint="eastAsia"/>
          <w:snapToGrid/>
          <w:kern w:val="2"/>
          <w:sz w:val="24"/>
          <w:szCs w:val="24"/>
          <w:lang w:eastAsia="zh-CN"/>
        </w:rPr>
        <w:t>年</w:t>
      </w:r>
      <w:r>
        <w:rPr>
          <w:rFonts w:ascii="仿宋" w:eastAsia="仿宋" w:hAnsi="仿宋" w:cs="仿宋"/>
          <w:snapToGrid/>
          <w:kern w:val="2"/>
          <w:sz w:val="24"/>
          <w:szCs w:val="24"/>
          <w:lang w:eastAsia="zh-CN"/>
        </w:rPr>
        <w:t>9</w:t>
      </w:r>
      <w:r>
        <w:rPr>
          <w:rFonts w:ascii="仿宋" w:eastAsia="仿宋" w:hAnsi="仿宋" w:cs="仿宋" w:hint="eastAsia"/>
          <w:snapToGrid/>
          <w:kern w:val="2"/>
          <w:sz w:val="24"/>
          <w:szCs w:val="24"/>
          <w:lang w:eastAsia="zh-CN"/>
        </w:rPr>
        <w:t>月2</w:t>
      </w:r>
      <w:r>
        <w:rPr>
          <w:rFonts w:ascii="仿宋" w:eastAsia="仿宋" w:hAnsi="仿宋" w:cs="仿宋"/>
          <w:snapToGrid/>
          <w:kern w:val="2"/>
          <w:sz w:val="24"/>
          <w:szCs w:val="24"/>
          <w:lang w:eastAsia="zh-CN"/>
        </w:rPr>
        <w:t>9</w:t>
      </w:r>
      <w:r>
        <w:rPr>
          <w:rFonts w:ascii="仿宋" w:eastAsia="仿宋" w:hAnsi="仿宋" w:cs="仿宋" w:hint="eastAsia"/>
          <w:snapToGrid/>
          <w:kern w:val="2"/>
          <w:sz w:val="24"/>
          <w:szCs w:val="24"/>
          <w:lang w:eastAsia="zh-CN"/>
        </w:rPr>
        <w:t>日，公司召开第四届董事会第十二次会议，审议通过了关于</w:t>
      </w:r>
      <w:r w:rsidR="00C95A45">
        <w:rPr>
          <w:rFonts w:ascii="仿宋" w:eastAsia="仿宋" w:hAnsi="仿宋" w:cs="仿宋" w:hint="eastAsia"/>
          <w:snapToGrid/>
          <w:kern w:val="2"/>
          <w:sz w:val="24"/>
          <w:szCs w:val="24"/>
          <w:lang w:eastAsia="zh-CN"/>
        </w:rPr>
        <w:t>《关于批准本次发行股份及支付现金购买资产</w:t>
      </w:r>
      <w:bookmarkStart w:id="0" w:name="_GoBack"/>
      <w:bookmarkEnd w:id="0"/>
      <w:r w:rsidRPr="00812533">
        <w:rPr>
          <w:rFonts w:ascii="仿宋" w:eastAsia="仿宋" w:hAnsi="仿宋" w:cs="仿宋" w:hint="eastAsia"/>
          <w:snapToGrid/>
          <w:kern w:val="2"/>
          <w:sz w:val="24"/>
          <w:szCs w:val="24"/>
          <w:lang w:eastAsia="zh-CN"/>
        </w:rPr>
        <w:t>并募集配套资金交易相关的加期审计报告、</w:t>
      </w:r>
      <w:r w:rsidRPr="00812533">
        <w:rPr>
          <w:rFonts w:ascii="仿宋" w:eastAsia="仿宋" w:hAnsi="仿宋" w:cs="仿宋"/>
          <w:snapToGrid/>
          <w:kern w:val="2"/>
          <w:sz w:val="24"/>
          <w:szCs w:val="24"/>
          <w:lang w:eastAsia="zh-CN"/>
        </w:rPr>
        <w:t xml:space="preserve"> </w:t>
      </w:r>
      <w:r w:rsidRPr="00812533">
        <w:rPr>
          <w:rFonts w:ascii="仿宋" w:eastAsia="仿宋" w:hAnsi="仿宋" w:cs="仿宋" w:hint="eastAsia"/>
          <w:snapToGrid/>
          <w:kern w:val="2"/>
          <w:sz w:val="24"/>
          <w:szCs w:val="24"/>
          <w:lang w:eastAsia="zh-CN"/>
        </w:rPr>
        <w:t>备考审阅报告的议案》《关于</w:t>
      </w:r>
      <w:r w:rsidRPr="00812533">
        <w:rPr>
          <w:rFonts w:ascii="仿宋" w:eastAsia="仿宋" w:hAnsi="仿宋" w:cs="仿宋"/>
          <w:snapToGrid/>
          <w:kern w:val="2"/>
          <w:sz w:val="24"/>
          <w:szCs w:val="24"/>
          <w:lang w:eastAsia="zh-CN"/>
        </w:rPr>
        <w:t>&lt;</w:t>
      </w:r>
      <w:r w:rsidRPr="00812533">
        <w:rPr>
          <w:rFonts w:ascii="仿宋" w:eastAsia="仿宋" w:hAnsi="仿宋" w:cs="仿宋" w:hint="eastAsia"/>
          <w:snapToGrid/>
          <w:kern w:val="2"/>
          <w:sz w:val="24"/>
          <w:szCs w:val="24"/>
          <w:lang w:eastAsia="zh-CN"/>
        </w:rPr>
        <w:t>广东天亿马信息产业股份有限公司发行股份及支付现金购买资产并募集配套资金报告书（草案）（四次修订稿）</w:t>
      </w:r>
      <w:r w:rsidRPr="00812533">
        <w:rPr>
          <w:rFonts w:ascii="仿宋" w:eastAsia="仿宋" w:hAnsi="仿宋" w:cs="仿宋"/>
          <w:snapToGrid/>
          <w:kern w:val="2"/>
          <w:sz w:val="24"/>
          <w:szCs w:val="24"/>
          <w:lang w:eastAsia="zh-CN"/>
        </w:rPr>
        <w:t xml:space="preserve"> &gt;</w:t>
      </w:r>
      <w:r w:rsidRPr="00812533">
        <w:rPr>
          <w:rFonts w:ascii="仿宋" w:eastAsia="仿宋" w:hAnsi="仿宋" w:cs="仿宋" w:hint="eastAsia"/>
          <w:snapToGrid/>
          <w:kern w:val="2"/>
          <w:sz w:val="24"/>
          <w:szCs w:val="24"/>
          <w:lang w:eastAsia="zh-CN"/>
        </w:rPr>
        <w:t>及其摘要的议案》《关于公司签署附条件生效的</w:t>
      </w:r>
      <w:r w:rsidRPr="00812533">
        <w:rPr>
          <w:rFonts w:ascii="仿宋" w:eastAsia="仿宋" w:hAnsi="仿宋" w:cs="仿宋"/>
          <w:snapToGrid/>
          <w:kern w:val="2"/>
          <w:sz w:val="24"/>
          <w:szCs w:val="24"/>
          <w:lang w:eastAsia="zh-CN"/>
        </w:rPr>
        <w:t>&lt;</w:t>
      </w:r>
      <w:r w:rsidRPr="00812533">
        <w:rPr>
          <w:rFonts w:ascii="仿宋" w:eastAsia="仿宋" w:hAnsi="仿宋" w:cs="仿宋" w:hint="eastAsia"/>
          <w:snapToGrid/>
          <w:kern w:val="2"/>
          <w:sz w:val="24"/>
          <w:szCs w:val="24"/>
          <w:lang w:eastAsia="zh-CN"/>
        </w:rPr>
        <w:t>业绩承诺补偿协议书之补充协议（一）</w:t>
      </w:r>
      <w:r w:rsidRPr="00812533">
        <w:rPr>
          <w:rFonts w:ascii="仿宋" w:eastAsia="仿宋" w:hAnsi="仿宋" w:cs="仿宋"/>
          <w:snapToGrid/>
          <w:kern w:val="2"/>
          <w:sz w:val="24"/>
          <w:szCs w:val="24"/>
          <w:lang w:eastAsia="zh-CN"/>
        </w:rPr>
        <w:t>&gt;</w:t>
      </w:r>
      <w:r w:rsidRPr="00812533">
        <w:rPr>
          <w:rFonts w:ascii="仿宋" w:eastAsia="仿宋" w:hAnsi="仿宋" w:cs="仿宋" w:hint="eastAsia"/>
          <w:snapToGrid/>
          <w:kern w:val="2"/>
          <w:sz w:val="24"/>
          <w:szCs w:val="24"/>
          <w:lang w:eastAsia="zh-CN"/>
        </w:rPr>
        <w:t>的议案》《关于本次交易方案调整不构成重大调整的议案》</w:t>
      </w:r>
      <w:r>
        <w:rPr>
          <w:rFonts w:ascii="仿宋" w:eastAsia="仿宋" w:hAnsi="仿宋" w:cs="仿宋" w:hint="eastAsia"/>
          <w:snapToGrid/>
          <w:kern w:val="2"/>
          <w:sz w:val="24"/>
          <w:szCs w:val="24"/>
          <w:lang w:eastAsia="zh-CN"/>
        </w:rPr>
        <w:t>等相关议案，对本次重组方案进行了调整。</w:t>
      </w:r>
    </w:p>
    <w:p w14:paraId="1881723F"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sidRPr="00C84416">
        <w:rPr>
          <w:rFonts w:ascii="仿宋" w:eastAsia="仿宋" w:hAnsi="仿宋" w:cs="仿宋" w:hint="eastAsia"/>
          <w:b/>
          <w:bCs/>
          <w:kern w:val="2"/>
          <w:sz w:val="24"/>
          <w:szCs w:val="24"/>
          <w:lang w:eastAsia="zh-CN"/>
        </w:rPr>
        <w:t>一、</w:t>
      </w:r>
      <w:r w:rsidRPr="00C84416">
        <w:rPr>
          <w:rFonts w:ascii="仿宋" w:eastAsia="仿宋" w:hAnsi="仿宋" w:cs="仿宋" w:hint="eastAsia"/>
          <w:b/>
          <w:bCs/>
          <w:sz w:val="24"/>
          <w:szCs w:val="24"/>
          <w:lang w:eastAsia="zh-CN"/>
        </w:rPr>
        <w:t>本次交易方案调整的具体情况</w:t>
      </w:r>
    </w:p>
    <w:p w14:paraId="44B2BA3D" w14:textId="77777777" w:rsidR="00217952" w:rsidRDefault="00217952" w:rsidP="00217952">
      <w:pPr>
        <w:widowControl w:val="0"/>
        <w:kinsoku/>
        <w:autoSpaceDE/>
        <w:autoSpaceDN/>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Pr>
          <w:rFonts w:ascii="仿宋" w:eastAsia="仿宋" w:hAnsi="仿宋" w:cs="Times New Roman"/>
          <w:b/>
          <w:bCs/>
          <w:snapToGrid/>
          <w:color w:val="auto"/>
          <w:kern w:val="2"/>
          <w:sz w:val="24"/>
          <w:szCs w:val="24"/>
          <w:lang w:eastAsia="zh-CN"/>
        </w:rPr>
        <w:t>（一）业绩承诺调整</w:t>
      </w:r>
    </w:p>
    <w:tbl>
      <w:tblPr>
        <w:tblW w:w="5000" w:type="pct"/>
        <w:tblBorders>
          <w:top w:val="thinThickSmallGap" w:sz="24" w:space="0" w:color="auto"/>
          <w:left w:val="single" w:sz="4" w:space="0" w:color="auto"/>
          <w:bottom w:val="thinThickSmallGap" w:sz="2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064"/>
        <w:gridCol w:w="3723"/>
        <w:gridCol w:w="3725"/>
      </w:tblGrid>
      <w:tr w:rsidR="00217952" w14:paraId="0470217C"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179F922D"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kern w:val="2"/>
                <w:lang w:eastAsia="zh-CN"/>
              </w:rPr>
            </w:pPr>
            <w:r>
              <w:rPr>
                <w:rFonts w:ascii="仿宋" w:eastAsia="仿宋" w:hAnsi="仿宋" w:cs="Times New Roman"/>
                <w:b/>
                <w:bCs/>
                <w:snapToGrid/>
                <w:color w:val="auto"/>
                <w:lang w:eastAsia="zh-CN" w:bidi="ar"/>
              </w:rPr>
              <w:t>调整事项</w:t>
            </w:r>
          </w:p>
        </w:tc>
        <w:tc>
          <w:tcPr>
            <w:tcW w:w="2187" w:type="pct"/>
            <w:tcBorders>
              <w:tl2br w:val="nil"/>
              <w:tr2bl w:val="nil"/>
            </w:tcBorders>
            <w:shd w:val="clear" w:color="auto" w:fill="FFFFFF"/>
            <w:tcMar>
              <w:top w:w="60" w:type="dxa"/>
              <w:left w:w="60" w:type="dxa"/>
              <w:bottom w:w="60" w:type="dxa"/>
              <w:right w:w="60" w:type="dxa"/>
            </w:tcMar>
            <w:vAlign w:val="center"/>
          </w:tcPr>
          <w:p w14:paraId="5FB77DEB"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kern w:val="2"/>
                <w:lang w:eastAsia="zh-CN"/>
              </w:rPr>
            </w:pPr>
            <w:r>
              <w:rPr>
                <w:rFonts w:ascii="仿宋" w:eastAsia="仿宋" w:hAnsi="仿宋" w:cs="Times New Roman"/>
                <w:b/>
                <w:bCs/>
                <w:snapToGrid/>
                <w:color w:val="auto"/>
                <w:lang w:eastAsia="zh-CN" w:bidi="ar"/>
              </w:rPr>
              <w:t>调整前</w:t>
            </w:r>
          </w:p>
        </w:tc>
        <w:tc>
          <w:tcPr>
            <w:tcW w:w="2188" w:type="pct"/>
            <w:tcBorders>
              <w:tl2br w:val="nil"/>
              <w:tr2bl w:val="nil"/>
            </w:tcBorders>
            <w:shd w:val="clear" w:color="auto" w:fill="FFFFFF"/>
            <w:tcMar>
              <w:top w:w="60" w:type="dxa"/>
              <w:left w:w="60" w:type="dxa"/>
              <w:bottom w:w="60" w:type="dxa"/>
              <w:right w:w="60" w:type="dxa"/>
            </w:tcMar>
            <w:vAlign w:val="center"/>
          </w:tcPr>
          <w:p w14:paraId="1D669BB5"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kern w:val="2"/>
                <w:lang w:eastAsia="zh-CN"/>
              </w:rPr>
            </w:pPr>
            <w:r>
              <w:rPr>
                <w:rFonts w:ascii="仿宋" w:eastAsia="仿宋" w:hAnsi="仿宋" w:cs="Times New Roman"/>
                <w:b/>
                <w:bCs/>
                <w:snapToGrid/>
                <w:color w:val="auto"/>
                <w:lang w:eastAsia="zh-CN" w:bidi="ar"/>
              </w:rPr>
              <w:t>调整后</w:t>
            </w:r>
          </w:p>
        </w:tc>
      </w:tr>
      <w:tr w:rsidR="00217952" w14:paraId="083D9454"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5CC14466"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kern w:val="2"/>
                <w:lang w:eastAsia="zh-CN"/>
              </w:rPr>
            </w:pPr>
            <w:r>
              <w:rPr>
                <w:rFonts w:ascii="仿宋" w:eastAsia="仿宋" w:hAnsi="仿宋" w:cs="Times New Roman"/>
                <w:snapToGrid/>
                <w:color w:val="auto"/>
                <w:kern w:val="2"/>
                <w:lang w:eastAsia="zh-CN"/>
              </w:rPr>
              <w:t>业绩承诺期</w:t>
            </w:r>
          </w:p>
        </w:tc>
        <w:tc>
          <w:tcPr>
            <w:tcW w:w="2187" w:type="pct"/>
            <w:tcBorders>
              <w:tl2br w:val="nil"/>
              <w:tr2bl w:val="nil"/>
            </w:tcBorders>
            <w:shd w:val="clear" w:color="auto" w:fill="FFFFFF"/>
            <w:tcMar>
              <w:top w:w="60" w:type="dxa"/>
              <w:left w:w="60" w:type="dxa"/>
              <w:bottom w:w="60" w:type="dxa"/>
              <w:right w:w="60" w:type="dxa"/>
            </w:tcMar>
            <w:vAlign w:val="center"/>
          </w:tcPr>
          <w:p w14:paraId="7D69D94A"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kern w:val="2"/>
                <w:lang w:eastAsia="zh-CN"/>
              </w:rPr>
            </w:pPr>
            <w:r>
              <w:rPr>
                <w:rFonts w:ascii="仿宋" w:eastAsia="仿宋" w:hAnsi="仿宋" w:cs="Times New Roman"/>
                <w:snapToGrid/>
                <w:color w:val="auto"/>
                <w:lang w:eastAsia="zh-CN" w:bidi="ar"/>
              </w:rPr>
              <w:t>本次交易的业绩承诺期为2025年度、2026年度及2027年度</w:t>
            </w:r>
          </w:p>
        </w:tc>
        <w:tc>
          <w:tcPr>
            <w:tcW w:w="2188" w:type="pct"/>
            <w:tcBorders>
              <w:tl2br w:val="nil"/>
              <w:tr2bl w:val="nil"/>
            </w:tcBorders>
            <w:shd w:val="clear" w:color="auto" w:fill="FFFFFF"/>
            <w:tcMar>
              <w:top w:w="60" w:type="dxa"/>
              <w:left w:w="60" w:type="dxa"/>
              <w:bottom w:w="60" w:type="dxa"/>
              <w:right w:w="60" w:type="dxa"/>
            </w:tcMar>
            <w:vAlign w:val="center"/>
          </w:tcPr>
          <w:p w14:paraId="60C1DCB9"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kern w:val="2"/>
                <w:lang w:eastAsia="zh-CN"/>
              </w:rPr>
            </w:pPr>
            <w:r>
              <w:rPr>
                <w:rFonts w:ascii="仿宋" w:eastAsia="仿宋" w:hAnsi="仿宋" w:cs="Times New Roman"/>
                <w:snapToGrid/>
                <w:color w:val="auto"/>
                <w:lang w:eastAsia="zh-CN" w:bidi="ar"/>
              </w:rPr>
              <w:t>本次交易的业绩承诺期为2026年度和2027年度</w:t>
            </w:r>
          </w:p>
        </w:tc>
      </w:tr>
      <w:tr w:rsidR="00217952" w14:paraId="7A95C849"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3D701C4E"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kern w:val="2"/>
                <w:lang w:eastAsia="zh-CN"/>
              </w:rPr>
            </w:pPr>
            <w:r>
              <w:rPr>
                <w:rFonts w:ascii="仿宋" w:eastAsia="仿宋" w:hAnsi="仿宋" w:cs="Times New Roman"/>
                <w:snapToGrid/>
                <w:color w:val="auto"/>
                <w:kern w:val="2"/>
                <w:lang w:eastAsia="zh-CN"/>
              </w:rPr>
              <w:t>业绩承诺净利润</w:t>
            </w:r>
          </w:p>
        </w:tc>
        <w:tc>
          <w:tcPr>
            <w:tcW w:w="2187" w:type="pct"/>
            <w:tcBorders>
              <w:tl2br w:val="nil"/>
              <w:tr2bl w:val="nil"/>
            </w:tcBorders>
            <w:shd w:val="clear" w:color="auto" w:fill="FFFFFF"/>
            <w:tcMar>
              <w:top w:w="60" w:type="dxa"/>
              <w:left w:w="60" w:type="dxa"/>
              <w:bottom w:w="60" w:type="dxa"/>
              <w:right w:w="60" w:type="dxa"/>
            </w:tcMar>
            <w:vAlign w:val="center"/>
          </w:tcPr>
          <w:p w14:paraId="10FAA23F"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Calibri"/>
                <w:snapToGrid/>
                <w:color w:val="auto"/>
                <w:kern w:val="2"/>
                <w:lang w:eastAsia="zh-CN" w:bidi="ar"/>
              </w:rPr>
              <w:t>业绩承诺方承诺目标公司在2025年度、2026年度和2027年度实现的实际净利润分别不低于人民币9,000万元、9,500万元和10,500万元</w:t>
            </w:r>
          </w:p>
        </w:tc>
        <w:tc>
          <w:tcPr>
            <w:tcW w:w="2188" w:type="pct"/>
            <w:tcBorders>
              <w:tl2br w:val="nil"/>
              <w:tr2bl w:val="nil"/>
            </w:tcBorders>
            <w:shd w:val="clear" w:color="auto" w:fill="FFFFFF"/>
            <w:tcMar>
              <w:top w:w="60" w:type="dxa"/>
              <w:left w:w="60" w:type="dxa"/>
              <w:bottom w:w="60" w:type="dxa"/>
              <w:right w:w="60" w:type="dxa"/>
            </w:tcMar>
            <w:vAlign w:val="center"/>
          </w:tcPr>
          <w:p w14:paraId="7A2F106B"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业绩承诺方承诺目标公司在2026年度和2027年度实现的实际净利润分别不低于人民币9,500万元和10,500万元</w:t>
            </w:r>
          </w:p>
        </w:tc>
      </w:tr>
    </w:tbl>
    <w:p w14:paraId="5F319C9E" w14:textId="77777777" w:rsidR="00217952" w:rsidRDefault="00217952" w:rsidP="00217952">
      <w:pPr>
        <w:widowControl w:val="0"/>
        <w:kinsoku/>
        <w:autoSpaceDE/>
        <w:autoSpaceDN/>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Pr>
          <w:rFonts w:ascii="仿宋" w:eastAsia="仿宋" w:hAnsi="仿宋" w:cs="Times New Roman"/>
          <w:b/>
          <w:bCs/>
          <w:snapToGrid/>
          <w:color w:val="auto"/>
          <w:kern w:val="2"/>
          <w:sz w:val="24"/>
          <w:szCs w:val="24"/>
          <w:lang w:eastAsia="zh-CN"/>
        </w:rPr>
        <w:t>（二）业绩补偿调整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064"/>
        <w:gridCol w:w="3866"/>
        <w:gridCol w:w="3582"/>
      </w:tblGrid>
      <w:tr w:rsidR="00217952" w14:paraId="73DC7C1F"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0D523C3B"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lastRenderedPageBreak/>
              <w:t>调整事项</w:t>
            </w:r>
          </w:p>
        </w:tc>
        <w:tc>
          <w:tcPr>
            <w:tcW w:w="2271" w:type="pct"/>
            <w:tcBorders>
              <w:tl2br w:val="nil"/>
              <w:tr2bl w:val="nil"/>
            </w:tcBorders>
            <w:shd w:val="clear" w:color="auto" w:fill="FFFFFF"/>
            <w:tcMar>
              <w:top w:w="60" w:type="dxa"/>
              <w:left w:w="60" w:type="dxa"/>
              <w:bottom w:w="60" w:type="dxa"/>
              <w:right w:w="60" w:type="dxa"/>
            </w:tcMar>
            <w:vAlign w:val="center"/>
          </w:tcPr>
          <w:p w14:paraId="26DD6D51"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调整前</w:t>
            </w:r>
          </w:p>
        </w:tc>
        <w:tc>
          <w:tcPr>
            <w:tcW w:w="2104" w:type="pct"/>
            <w:tcBorders>
              <w:tl2br w:val="nil"/>
              <w:tr2bl w:val="nil"/>
            </w:tcBorders>
            <w:shd w:val="clear" w:color="auto" w:fill="FFFFFF"/>
            <w:tcMar>
              <w:top w:w="60" w:type="dxa"/>
              <w:left w:w="60" w:type="dxa"/>
              <w:bottom w:w="60" w:type="dxa"/>
              <w:right w:w="60" w:type="dxa"/>
            </w:tcMar>
            <w:vAlign w:val="center"/>
          </w:tcPr>
          <w:p w14:paraId="17B773A7"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调整后</w:t>
            </w:r>
          </w:p>
        </w:tc>
      </w:tr>
      <w:tr w:rsidR="00217952" w14:paraId="50A08CF1"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6C92A2C7"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业绩承诺补偿</w:t>
            </w:r>
          </w:p>
        </w:tc>
        <w:tc>
          <w:tcPr>
            <w:tcW w:w="2271" w:type="pct"/>
            <w:tcBorders>
              <w:tl2br w:val="nil"/>
              <w:tr2bl w:val="nil"/>
            </w:tcBorders>
            <w:shd w:val="clear" w:color="auto" w:fill="FFFFFF"/>
            <w:tcMar>
              <w:top w:w="60" w:type="dxa"/>
              <w:left w:w="60" w:type="dxa"/>
              <w:bottom w:w="60" w:type="dxa"/>
              <w:right w:w="60" w:type="dxa"/>
            </w:tcMar>
            <w:vAlign w:val="center"/>
          </w:tcPr>
          <w:p w14:paraId="507B8D53"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甲方应在业绩承诺期每个会计年度结束后4个月内聘请符合《中华人民共和国证券法》要求的会计师事务所对目标公司在该年度实际盈利情况进行审计，如发生以下情形之一的，业绩补偿义务方应按照本协议之约定对甲方予以补偿：（1）目标公司2025年度的实际净利润数低于2025年度承诺净利润数的90%（即目标公司2025年度实际净利润数低于8,100万元）；（2）目标公司2025年度、2026年度的累计实际净利润数低于2025年度、2026年度累计承诺净利润数的90%（即目标公司2025年度、2026年度的累计实际净利润数低于16,650万元）；（3）目标公司在业绩承诺期内实现的三年累计实际净利润数低于其三年累计承诺净利润数（即目标公司业绩承诺期内的累计实际净利润数低于29,000万元）。为免疑义，若目标公司2025年度、2026年度的实际净利润虽低于该年度相应的承诺净利润，但均不低于该年度相应承诺净利润的90%，则仅需要在2027年度届满后计算目标公司是否实现三年累计承诺净利润，以判断业绩补偿义务方是否需根据本协议之约定予以补偿</w:t>
            </w:r>
          </w:p>
        </w:tc>
        <w:tc>
          <w:tcPr>
            <w:tcW w:w="2104" w:type="pct"/>
            <w:tcBorders>
              <w:tl2br w:val="nil"/>
              <w:tr2bl w:val="nil"/>
            </w:tcBorders>
            <w:shd w:val="clear" w:color="auto" w:fill="FFFFFF"/>
            <w:tcMar>
              <w:top w:w="60" w:type="dxa"/>
              <w:left w:w="60" w:type="dxa"/>
              <w:bottom w:w="60" w:type="dxa"/>
              <w:right w:w="60" w:type="dxa"/>
            </w:tcMar>
            <w:vAlign w:val="center"/>
          </w:tcPr>
          <w:p w14:paraId="2EE98BAF"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甲方应在业绩承诺期每个会计年度结束后4个月内聘请符合《中华人民共和国证券法》要求的会计师事务所对目标公司在该年度实际盈利情况进行审计，如发生以下情形之一的，业绩补偿义务方应按照本协议之约定对甲方予以补偿：（1）目标公司2026年度的实际净利润数低于2026年度承诺净利润数的90%（即目标公司2026年度实际净利润数低于8,550万元）；（2）目标公司在业绩承诺期内实现的两年累计实际净利润数低于其两年累计承诺净利润数（即目标公司业绩承诺期内的累计实际净利润数低于20,000万元）。为免疑义，若目标公司2026年度的实际净利润虽低于该年度相应的承诺净利润，但不低于该年度相应承诺净利润的90%，则仅需要在2027年度届满后计算目标公司是否实现两年累计承诺净利润，以判断业绩补偿义务方是否需根据本协议之约定予以补偿</w:t>
            </w:r>
          </w:p>
        </w:tc>
      </w:tr>
    </w:tbl>
    <w:p w14:paraId="3A4BE79F" w14:textId="77777777" w:rsidR="00217952" w:rsidRDefault="00217952" w:rsidP="00217952">
      <w:pPr>
        <w:widowControl w:val="0"/>
        <w:kinsoku/>
        <w:autoSpaceDE/>
        <w:autoSpaceDN/>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Pr>
          <w:rFonts w:ascii="仿宋" w:eastAsia="仿宋" w:hAnsi="仿宋" w:cs="Times New Roman"/>
          <w:b/>
          <w:bCs/>
          <w:snapToGrid/>
          <w:color w:val="auto"/>
          <w:kern w:val="2"/>
          <w:sz w:val="24"/>
          <w:szCs w:val="24"/>
          <w:lang w:eastAsia="zh-CN"/>
        </w:rPr>
        <w:t>（三）减值测试调整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1064"/>
        <w:gridCol w:w="3723"/>
        <w:gridCol w:w="3725"/>
      </w:tblGrid>
      <w:tr w:rsidR="00217952" w14:paraId="366C44F8"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0D019216"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调整事项</w:t>
            </w:r>
          </w:p>
        </w:tc>
        <w:tc>
          <w:tcPr>
            <w:tcW w:w="2187" w:type="pct"/>
            <w:tcBorders>
              <w:tl2br w:val="nil"/>
              <w:tr2bl w:val="nil"/>
            </w:tcBorders>
            <w:shd w:val="clear" w:color="auto" w:fill="FFFFFF"/>
            <w:tcMar>
              <w:top w:w="60" w:type="dxa"/>
              <w:left w:w="60" w:type="dxa"/>
              <w:bottom w:w="60" w:type="dxa"/>
              <w:right w:w="60" w:type="dxa"/>
            </w:tcMar>
            <w:vAlign w:val="center"/>
          </w:tcPr>
          <w:p w14:paraId="104E08DF"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调整前</w:t>
            </w:r>
          </w:p>
        </w:tc>
        <w:tc>
          <w:tcPr>
            <w:tcW w:w="2188" w:type="pct"/>
            <w:tcBorders>
              <w:tl2br w:val="nil"/>
              <w:tr2bl w:val="nil"/>
            </w:tcBorders>
            <w:shd w:val="clear" w:color="auto" w:fill="FFFFFF"/>
            <w:tcMar>
              <w:top w:w="60" w:type="dxa"/>
              <w:left w:w="60" w:type="dxa"/>
              <w:bottom w:w="60" w:type="dxa"/>
              <w:right w:w="60" w:type="dxa"/>
            </w:tcMar>
            <w:vAlign w:val="center"/>
          </w:tcPr>
          <w:p w14:paraId="1CB7134D"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调整后</w:t>
            </w:r>
          </w:p>
        </w:tc>
      </w:tr>
      <w:tr w:rsidR="00217952" w14:paraId="5DD85399" w14:textId="77777777" w:rsidTr="00B96BB8">
        <w:tc>
          <w:tcPr>
            <w:tcW w:w="625" w:type="pct"/>
            <w:tcBorders>
              <w:tl2br w:val="nil"/>
              <w:tr2bl w:val="nil"/>
            </w:tcBorders>
            <w:shd w:val="clear" w:color="auto" w:fill="FFFFFF"/>
            <w:tcMar>
              <w:top w:w="60" w:type="dxa"/>
              <w:left w:w="60" w:type="dxa"/>
              <w:bottom w:w="60" w:type="dxa"/>
              <w:right w:w="60" w:type="dxa"/>
            </w:tcMar>
            <w:vAlign w:val="center"/>
          </w:tcPr>
          <w:p w14:paraId="729EA952"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减值测试</w:t>
            </w:r>
          </w:p>
        </w:tc>
        <w:tc>
          <w:tcPr>
            <w:tcW w:w="2187" w:type="pct"/>
            <w:tcBorders>
              <w:tl2br w:val="nil"/>
              <w:tr2bl w:val="nil"/>
            </w:tcBorders>
            <w:shd w:val="clear" w:color="auto" w:fill="FFFFFF"/>
            <w:tcMar>
              <w:top w:w="60" w:type="dxa"/>
              <w:left w:w="60" w:type="dxa"/>
              <w:bottom w:w="60" w:type="dxa"/>
              <w:right w:w="60" w:type="dxa"/>
            </w:tcMar>
            <w:vAlign w:val="center"/>
          </w:tcPr>
          <w:p w14:paraId="4BD296B7"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尽管有上述约定，若目标公司业绩承诺期内的累计实际净利润数不低于29,000万元且逐年增长，则不触发本协议第4.2条约定的补偿义务</w:t>
            </w:r>
          </w:p>
        </w:tc>
        <w:tc>
          <w:tcPr>
            <w:tcW w:w="2188" w:type="pct"/>
            <w:tcBorders>
              <w:tl2br w:val="nil"/>
              <w:tr2bl w:val="nil"/>
            </w:tcBorders>
            <w:shd w:val="clear" w:color="auto" w:fill="FFFFFF"/>
            <w:tcMar>
              <w:top w:w="60" w:type="dxa"/>
              <w:left w:w="60" w:type="dxa"/>
              <w:bottom w:w="60" w:type="dxa"/>
              <w:right w:w="60" w:type="dxa"/>
            </w:tcMar>
            <w:vAlign w:val="center"/>
          </w:tcPr>
          <w:p w14:paraId="68ECC1EB"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尽管有上述约定，若目标公司业绩承诺期内的累计实际净利润数不低于20,000万元且逐年增长，则不触发本协议第4.2条约定的补偿义务</w:t>
            </w:r>
          </w:p>
        </w:tc>
      </w:tr>
    </w:tbl>
    <w:p w14:paraId="4F0BFEC1" w14:textId="77777777" w:rsidR="00217952" w:rsidRDefault="00217952" w:rsidP="00217952">
      <w:pPr>
        <w:widowControl w:val="0"/>
        <w:kinsoku/>
        <w:autoSpaceDE/>
        <w:autoSpaceDN/>
        <w:spacing w:beforeLines="50" w:before="120" w:afterLines="50" w:after="120" w:line="360" w:lineRule="auto"/>
        <w:ind w:firstLineChars="200" w:firstLine="482"/>
        <w:contextualSpacing/>
        <w:jc w:val="both"/>
        <w:textAlignment w:val="auto"/>
        <w:rPr>
          <w:rFonts w:ascii="仿宋" w:eastAsia="仿宋" w:hAnsi="仿宋" w:cs="Times New Roman"/>
          <w:b/>
          <w:bCs/>
          <w:snapToGrid/>
          <w:color w:val="auto"/>
          <w:kern w:val="2"/>
          <w:sz w:val="24"/>
          <w:szCs w:val="24"/>
          <w:lang w:eastAsia="zh-CN"/>
        </w:rPr>
      </w:pPr>
      <w:r>
        <w:rPr>
          <w:rFonts w:ascii="仿宋" w:eastAsia="仿宋" w:hAnsi="仿宋" w:cs="Times New Roman"/>
          <w:b/>
          <w:bCs/>
          <w:snapToGrid/>
          <w:color w:val="auto"/>
          <w:kern w:val="2"/>
          <w:sz w:val="24"/>
          <w:szCs w:val="24"/>
          <w:lang w:eastAsia="zh-CN"/>
        </w:rPr>
        <w:t>（四）股票的限售与解禁调整</w:t>
      </w:r>
    </w:p>
    <w:tbl>
      <w:tblPr>
        <w:tblW w:w="5000" w:type="pct"/>
        <w:tblBorders>
          <w:top w:val="thinThickSmallGap" w:sz="24" w:space="0" w:color="000000"/>
          <w:left w:val="single" w:sz="4" w:space="0" w:color="000000"/>
          <w:bottom w:val="thinThickSmallGap" w:sz="24" w:space="0" w:color="000000"/>
          <w:right w:val="single" w:sz="4" w:space="0" w:color="000000"/>
          <w:insideH w:val="single" w:sz="4" w:space="0" w:color="000000"/>
          <w:insideV w:val="single" w:sz="4" w:space="0" w:color="000000"/>
        </w:tblBorders>
        <w:shd w:val="clear" w:color="auto" w:fill="FFFFFF"/>
        <w:tblCellMar>
          <w:left w:w="0" w:type="dxa"/>
          <w:right w:w="0" w:type="dxa"/>
        </w:tblCellMar>
        <w:tblLook w:val="04A0" w:firstRow="1" w:lastRow="0" w:firstColumn="1" w:lastColumn="0" w:noHBand="0" w:noVBand="1"/>
      </w:tblPr>
      <w:tblGrid>
        <w:gridCol w:w="2226"/>
        <w:gridCol w:w="3143"/>
        <w:gridCol w:w="3143"/>
      </w:tblGrid>
      <w:tr w:rsidR="00217952" w14:paraId="3E76CF50" w14:textId="77777777" w:rsidTr="00B96BB8">
        <w:tc>
          <w:tcPr>
            <w:tcW w:w="1308" w:type="pct"/>
            <w:tcBorders>
              <w:tl2br w:val="nil"/>
              <w:tr2bl w:val="nil"/>
            </w:tcBorders>
            <w:shd w:val="clear" w:color="auto" w:fill="FFFFFF"/>
            <w:tcMar>
              <w:top w:w="60" w:type="dxa"/>
              <w:left w:w="60" w:type="dxa"/>
              <w:bottom w:w="60" w:type="dxa"/>
              <w:right w:w="60" w:type="dxa"/>
            </w:tcMar>
            <w:vAlign w:val="center"/>
          </w:tcPr>
          <w:p w14:paraId="1A391AB7"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调整事项</w:t>
            </w:r>
          </w:p>
        </w:tc>
        <w:tc>
          <w:tcPr>
            <w:tcW w:w="1846" w:type="pct"/>
            <w:tcBorders>
              <w:tl2br w:val="nil"/>
              <w:tr2bl w:val="nil"/>
            </w:tcBorders>
            <w:shd w:val="clear" w:color="auto" w:fill="FFFFFF"/>
            <w:tcMar>
              <w:top w:w="60" w:type="dxa"/>
              <w:left w:w="60" w:type="dxa"/>
              <w:bottom w:w="60" w:type="dxa"/>
              <w:right w:w="60" w:type="dxa"/>
            </w:tcMar>
            <w:vAlign w:val="center"/>
          </w:tcPr>
          <w:p w14:paraId="1BC2A7D6"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调整前</w:t>
            </w:r>
          </w:p>
        </w:tc>
        <w:tc>
          <w:tcPr>
            <w:tcW w:w="1846" w:type="pct"/>
            <w:tcBorders>
              <w:tl2br w:val="nil"/>
              <w:tr2bl w:val="nil"/>
            </w:tcBorders>
            <w:shd w:val="clear" w:color="auto" w:fill="FFFFFF"/>
            <w:tcMar>
              <w:top w:w="60" w:type="dxa"/>
              <w:left w:w="60" w:type="dxa"/>
              <w:bottom w:w="60" w:type="dxa"/>
              <w:right w:w="60" w:type="dxa"/>
            </w:tcMar>
            <w:vAlign w:val="center"/>
          </w:tcPr>
          <w:p w14:paraId="15AD8FEA" w14:textId="77777777" w:rsidR="00217952" w:rsidRDefault="00217952" w:rsidP="00B96BB8">
            <w:pPr>
              <w:kinsoku/>
              <w:wordWrap w:val="0"/>
              <w:autoSpaceDE/>
              <w:autoSpaceDN/>
              <w:adjustRightInd/>
              <w:snapToGrid/>
              <w:jc w:val="center"/>
              <w:textAlignment w:val="auto"/>
              <w:rPr>
                <w:rFonts w:ascii="仿宋" w:eastAsia="仿宋" w:hAnsi="仿宋" w:cs="Times New Roman"/>
                <w:b/>
                <w:bCs/>
                <w:snapToGrid/>
                <w:color w:val="auto"/>
                <w:lang w:eastAsia="zh-CN" w:bidi="ar"/>
              </w:rPr>
            </w:pPr>
            <w:r>
              <w:rPr>
                <w:rFonts w:ascii="仿宋" w:eastAsia="仿宋" w:hAnsi="仿宋" w:cs="Times New Roman"/>
                <w:b/>
                <w:bCs/>
                <w:snapToGrid/>
                <w:color w:val="auto"/>
                <w:lang w:eastAsia="zh-CN" w:bidi="ar"/>
              </w:rPr>
              <w:t>调整后</w:t>
            </w:r>
          </w:p>
        </w:tc>
      </w:tr>
      <w:tr w:rsidR="00217952" w14:paraId="4B4CB464" w14:textId="77777777" w:rsidTr="00B96BB8">
        <w:tc>
          <w:tcPr>
            <w:tcW w:w="1308" w:type="pct"/>
            <w:tcBorders>
              <w:tl2br w:val="nil"/>
              <w:tr2bl w:val="nil"/>
            </w:tcBorders>
            <w:shd w:val="clear" w:color="auto" w:fill="FFFFFF"/>
            <w:tcMar>
              <w:top w:w="60" w:type="dxa"/>
              <w:left w:w="60" w:type="dxa"/>
              <w:bottom w:w="60" w:type="dxa"/>
              <w:right w:w="60" w:type="dxa"/>
            </w:tcMar>
            <w:vAlign w:val="center"/>
          </w:tcPr>
          <w:p w14:paraId="6EFBF897"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股份锁定期</w:t>
            </w:r>
          </w:p>
        </w:tc>
        <w:tc>
          <w:tcPr>
            <w:tcW w:w="1846" w:type="pct"/>
            <w:tcBorders>
              <w:tl2br w:val="nil"/>
              <w:tr2bl w:val="nil"/>
            </w:tcBorders>
            <w:shd w:val="clear" w:color="auto" w:fill="FFFFFF"/>
            <w:tcMar>
              <w:top w:w="60" w:type="dxa"/>
              <w:left w:w="60" w:type="dxa"/>
              <w:bottom w:w="60" w:type="dxa"/>
              <w:right w:w="60" w:type="dxa"/>
            </w:tcMar>
            <w:vAlign w:val="center"/>
          </w:tcPr>
          <w:p w14:paraId="537CB277"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业绩补偿义务方通过本次交易取得的股份分期解锁，且股份解锁应当以满足下列条件为前提，未满足相关条件不得解锁，未经解锁部分不得转让，具体解锁安排如下：（1）在目标公司第一个会计年度（考核期为2025年度），甲方聘请完成证券服务业务备案的会计师事务所对目标公司在该年度实际盈利情况出具的专项审核意见，未触发业绩补偿</w:t>
            </w:r>
            <w:r>
              <w:rPr>
                <w:rFonts w:ascii="仿宋" w:eastAsia="仿宋" w:hAnsi="仿宋" w:cs="Times New Roman"/>
                <w:snapToGrid/>
                <w:color w:val="auto"/>
                <w:lang w:eastAsia="zh-CN" w:bidi="ar"/>
              </w:rPr>
              <w:lastRenderedPageBreak/>
              <w:t>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本次认购股份数量×30%-当年已补偿股份数量（如有）。若在甲方聘请的会计师事务所或复核审计师对目标公司2025年度实际盈利情况出具专项审核意见时，本次交易中的股份对价尚未发行完毕，则自股份发行结束之日起按上述公式计算业绩补偿义务方第一期可解锁股份数量。（2）在目标公司第二个会计年度（考核期为2025年度、2026年度），会计师事务所对目标公司在该年度实际盈利情况出具的专项审核意见，未触发业绩补偿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w:t>
            </w:r>
            <w:r>
              <w:rPr>
                <w:rFonts w:ascii="仿宋" w:eastAsia="仿宋" w:hAnsi="仿宋" w:cs="Times New Roman"/>
                <w:snapToGrid/>
                <w:color w:val="auto"/>
                <w:lang w:eastAsia="zh-CN" w:bidi="ar"/>
              </w:rPr>
              <w:lastRenderedPageBreak/>
              <w:t>上述专项审核意见进行复核，该会计年度的净利润以复核审计师经复核后出具的标准无保留意见的专项审核意见为准。业绩补偿义务方通过本次交易取得的股份可解锁数量的计算公式如下：</w:t>
            </w:r>
          </w:p>
          <w:p w14:paraId="71D75193"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业绩补偿义务方累计可解锁的股份数=本次认购股份数量×65%-累计已补偿股份数量（如有）。（3）在目标公司第三个会计年度（考核期为2025年度、2026年度及2027年度），会计师事务所对目标公司在该年度实际盈利情况出具的专项审核意见，未触发业绩补偿义务，或虽触发业绩补偿义务或减值补偿义务但对应的业绩补偿义务及减值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w:t>
            </w:r>
          </w:p>
          <w:p w14:paraId="6C616624"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业绩补偿义务方累计可解锁的股份数=本次认购股份数量×100%-累计已补偿股份数量（含减值测试需补偿股份数量，如有）。</w:t>
            </w:r>
          </w:p>
          <w:p w14:paraId="6F986916"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t>为免疑义，上述业绩补偿义务及减值补偿义务均指业绩补偿义务方在本协议项下的相应义务；业绩补偿义务方通过本次交易取得的股份的解锁数量及解锁安排将在甲方聘请的会计师事务所就目标公司在相应会计年度的业绩承诺实现情况出具专项报告或减值测试报告后具体确定</w:t>
            </w:r>
          </w:p>
          <w:p w14:paraId="4504747E"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p>
        </w:tc>
        <w:tc>
          <w:tcPr>
            <w:tcW w:w="1846" w:type="pct"/>
            <w:tcBorders>
              <w:tl2br w:val="nil"/>
              <w:tr2bl w:val="nil"/>
            </w:tcBorders>
            <w:shd w:val="clear" w:color="auto" w:fill="FFFFFF"/>
            <w:tcMar>
              <w:top w:w="60" w:type="dxa"/>
              <w:left w:w="60" w:type="dxa"/>
              <w:bottom w:w="60" w:type="dxa"/>
              <w:right w:w="60" w:type="dxa"/>
            </w:tcMar>
            <w:vAlign w:val="center"/>
          </w:tcPr>
          <w:p w14:paraId="56F5D738"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r>
              <w:rPr>
                <w:rFonts w:ascii="仿宋" w:eastAsia="仿宋" w:hAnsi="仿宋" w:cs="Times New Roman"/>
                <w:snapToGrid/>
                <w:color w:val="auto"/>
                <w:lang w:eastAsia="zh-CN" w:bidi="ar"/>
              </w:rPr>
              <w:lastRenderedPageBreak/>
              <w:t>业绩补偿义务方通过本次交易取得的股份分期解锁，且股份解锁应当以满足下列条件为前提，未满足相关条件不得解锁，未经解锁部分不得转让，具体解锁安排如下：（1）在目标公司第一个会计年度（考核期为2026年度），甲方聘请完成证券服务业务备案的会计师事务所对目标公司在该年度实际盈利情况出具的专项审核意见，未触发业绩补偿</w:t>
            </w:r>
            <w:r>
              <w:rPr>
                <w:rFonts w:ascii="仿宋" w:eastAsia="仿宋" w:hAnsi="仿宋" w:cs="Times New Roman"/>
                <w:snapToGrid/>
                <w:color w:val="auto"/>
                <w:lang w:eastAsia="zh-CN" w:bidi="ar"/>
              </w:rPr>
              <w:lastRenderedPageBreak/>
              <w:t>义务，或虽触发业绩补偿义务但对应的业绩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前二十的会计师事务所（以下简称“复核审计师”）对目标公司上述专项审核意见进行复核，该会计年度的净利润以复核审计师经复核后出具的标准无保留意见的专项审核意见为准。业绩补偿义务方通过本次交易取得的股份可解锁数量的计算公式如下：业绩补偿义务方可解锁的股份数=本次认购股份数量×40%-当年已补偿股份数量（如有）。若在甲方聘请的会计师事务所或复核审计师对目标公司2026年度实际盈利情况出具专项审核意见时，本次交易中的股份对价尚未发行完毕，则自股份发行结束之日起按上述公式计算业绩补偿义务方第一期可解锁股份数量。（2）在目标公司第二个会计年度（考核期为2026年度及2027年度），会计师事务所对目标公司在该年度实际盈利情况出具的专项审核意见，未触发业绩补偿义务，或虽触发业绩补偿义务或减值补偿义务但对应的业绩补偿义务及减值补偿义务已履行完毕的情况下，甲方于广东天亿马信息产业股份有限公司年度报告公告的5个工作日内或业绩补偿义务方履行完毕对应的业绩补偿义务之日起5个工作日内，向证券登记结算机构提交解锁申请（具体解锁时间以证券登记结算机构审批为准），若乙方1对结果有异议，则由甲方与乙方1协商一致由一家在中国注册会计师协会已公布的最近一年度会计师事务所综合评价中排名</w:t>
            </w:r>
            <w:r>
              <w:rPr>
                <w:rFonts w:ascii="仿宋" w:eastAsia="仿宋" w:hAnsi="仿宋" w:cs="Times New Roman"/>
                <w:snapToGrid/>
                <w:color w:val="auto"/>
                <w:lang w:eastAsia="zh-CN" w:bidi="ar"/>
              </w:rPr>
              <w:lastRenderedPageBreak/>
              <w:t>前二十的会计师事务所对目标公司上述专项审核意见进行复核，该会计年度的财务数据以复核审计师经复核后出具的标准无保留意见的专项审核意见为准。业绩补偿义务方因本次交易而获得的股份可解锁数量的计算公式如下：业绩补偿义务方累计可解锁的股份数=本次认购股份数量×100%-累计已补偿股份数量（含减值测试需补偿股份数量，如有）。为免疑义，上述业绩补偿义务及减值补偿义务均指业绩补偿义务方在本协议项下的相应义务；业绩补偿义务方通过本次交易取得的股份的解锁数量及解锁安排将在甲方聘请的会计师事务所就目标公司在相应会计年度的业绩承诺实现情况出具专项报告或减值测试报告后具体确定</w:t>
            </w:r>
          </w:p>
          <w:p w14:paraId="304E6A31" w14:textId="77777777" w:rsidR="00217952" w:rsidRDefault="00217952" w:rsidP="00B96BB8">
            <w:pPr>
              <w:kinsoku/>
              <w:wordWrap w:val="0"/>
              <w:autoSpaceDE/>
              <w:autoSpaceDN/>
              <w:adjustRightInd/>
              <w:snapToGrid/>
              <w:jc w:val="center"/>
              <w:textAlignment w:val="auto"/>
              <w:rPr>
                <w:rFonts w:ascii="仿宋" w:eastAsia="仿宋" w:hAnsi="仿宋" w:cs="Times New Roman"/>
                <w:snapToGrid/>
                <w:color w:val="auto"/>
                <w:lang w:eastAsia="zh-CN" w:bidi="ar"/>
              </w:rPr>
            </w:pPr>
          </w:p>
        </w:tc>
      </w:tr>
    </w:tbl>
    <w:p w14:paraId="58397B23" w14:textId="6F40E82A" w:rsidR="002F7F5A" w:rsidRPr="00217952" w:rsidRDefault="00E61756" w:rsidP="00217952">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sidRPr="00217952">
        <w:rPr>
          <w:rFonts w:ascii="仿宋" w:eastAsia="仿宋" w:hAnsi="仿宋" w:cs="仿宋" w:hint="eastAsia"/>
          <w:sz w:val="24"/>
          <w:szCs w:val="24"/>
          <w:lang w:eastAsia="zh-CN"/>
        </w:rPr>
        <w:lastRenderedPageBreak/>
        <w:t>除上述调整之外，本次交易的交易方案未发生其他调整事项。</w:t>
      </w:r>
    </w:p>
    <w:p w14:paraId="0C890CBA" w14:textId="750EEA25"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Pr>
          <w:rFonts w:ascii="仿宋" w:eastAsia="仿宋" w:hAnsi="仿宋" w:cs="仿宋" w:hint="eastAsia"/>
          <w:b/>
          <w:bCs/>
          <w:sz w:val="24"/>
          <w:szCs w:val="24"/>
          <w:lang w:eastAsia="zh-CN"/>
        </w:rPr>
        <w:t>二、本次交易方案调整不构成重大调整</w:t>
      </w:r>
    </w:p>
    <w:p w14:paraId="034BB0C0"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Pr>
          <w:rFonts w:ascii="仿宋" w:eastAsia="仿宋" w:hAnsi="仿宋" w:cs="仿宋" w:hint="eastAsia"/>
          <w:b/>
          <w:bCs/>
          <w:sz w:val="24"/>
          <w:szCs w:val="24"/>
          <w:lang w:eastAsia="zh-CN"/>
        </w:rPr>
        <w:t>（一）重大调整的标准</w:t>
      </w:r>
    </w:p>
    <w:p w14:paraId="01143E7E"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根据《上市公司重大资产重组管理办法》及《(上市公司重大资产重组管理办法〉第二十九条、第四十五条的适用意见——证券期货法律适用意见第15号》等法律、法规及规范性文件的规定，关于重组方案重大调整的认定适用意见如下:</w:t>
      </w:r>
    </w:p>
    <w:p w14:paraId="6CE29096"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Pr>
          <w:rFonts w:ascii="仿宋" w:eastAsia="仿宋" w:hAnsi="仿宋" w:cs="仿宋" w:hint="eastAsia"/>
          <w:b/>
          <w:bCs/>
          <w:kern w:val="2"/>
          <w:sz w:val="24"/>
          <w:szCs w:val="24"/>
          <w:lang w:eastAsia="zh-CN"/>
        </w:rPr>
        <w:t>1、</w:t>
      </w:r>
      <w:r>
        <w:rPr>
          <w:rFonts w:ascii="仿宋" w:eastAsia="仿宋" w:hAnsi="仿宋" w:cs="仿宋" w:hint="eastAsia"/>
          <w:b/>
          <w:bCs/>
          <w:sz w:val="24"/>
          <w:szCs w:val="24"/>
          <w:lang w:eastAsia="zh-CN"/>
        </w:rPr>
        <w:t>关于交易对象</w:t>
      </w:r>
    </w:p>
    <w:p w14:paraId="66F61869"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拟对交易对象进行变更的，原则上视为构成对重组方案重大调整，但是有以下两种情况的，可以视为不构成对重组方案重大调整：</w:t>
      </w:r>
    </w:p>
    <w:p w14:paraId="5BD9C233"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（1）拟减少交易对象的，如交易各方同意将该交易对象及其持有的标的资产份额剔除出重组方案，且剔除相关标的资产后按照下述有关交易标的变更的规定不构成对重组方案重大调整的；</w:t>
      </w:r>
    </w:p>
    <w:p w14:paraId="639B7133"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（2）拟调整交易对象所持标的资产份额的，如交易各方同意交易对象之间转让标的资产份额，且转让份额不超过交易作价百分之二十的。</w:t>
      </w:r>
    </w:p>
    <w:p w14:paraId="1BB685C3"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Pr>
          <w:rFonts w:ascii="仿宋" w:eastAsia="仿宋" w:hAnsi="仿宋" w:cs="仿宋" w:hint="eastAsia"/>
          <w:b/>
          <w:bCs/>
          <w:kern w:val="2"/>
          <w:sz w:val="24"/>
          <w:szCs w:val="24"/>
          <w:lang w:eastAsia="zh-CN"/>
        </w:rPr>
        <w:t>2、</w:t>
      </w:r>
      <w:r>
        <w:rPr>
          <w:rFonts w:ascii="仿宋" w:eastAsia="仿宋" w:hAnsi="仿宋" w:cs="仿宋" w:hint="eastAsia"/>
          <w:b/>
          <w:bCs/>
          <w:sz w:val="24"/>
          <w:szCs w:val="24"/>
          <w:lang w:eastAsia="zh-CN"/>
        </w:rPr>
        <w:t>关于交易标的</w:t>
      </w:r>
    </w:p>
    <w:p w14:paraId="4FA494E5"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拟对标的资产进行变更的，原则上视为构成对重组方案重大调整，但是同时满足以下条件的，可以视为不构成对重组方案重大调整：</w:t>
      </w:r>
    </w:p>
    <w:p w14:paraId="7E06A830"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（1）拟增加或减少的交易标的的交易作价、资产总额、资产净额及营业收入占原标的资产相应指标总量的比例均不超过百分之二十；</w:t>
      </w:r>
    </w:p>
    <w:p w14:paraId="7A28EC96" w14:textId="77777777"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（2）变更标的资产对交易标的的生产经营不构成实质性影响，包括不影响标的资产及业务完整性等。</w:t>
      </w:r>
    </w:p>
    <w:p w14:paraId="17E74714"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sz w:val="24"/>
          <w:szCs w:val="24"/>
          <w:lang w:eastAsia="zh-CN"/>
        </w:rPr>
      </w:pPr>
      <w:r>
        <w:rPr>
          <w:rFonts w:ascii="仿宋" w:eastAsia="仿宋" w:hAnsi="仿宋" w:cs="仿宋" w:hint="eastAsia"/>
          <w:b/>
          <w:bCs/>
          <w:kern w:val="2"/>
          <w:sz w:val="24"/>
          <w:szCs w:val="24"/>
          <w:lang w:eastAsia="zh-CN"/>
        </w:rPr>
        <w:t>3、</w:t>
      </w:r>
      <w:r>
        <w:rPr>
          <w:rFonts w:ascii="仿宋" w:eastAsia="仿宋" w:hAnsi="仿宋" w:cs="仿宋" w:hint="eastAsia"/>
          <w:b/>
          <w:bCs/>
          <w:sz w:val="24"/>
          <w:szCs w:val="24"/>
          <w:lang w:eastAsia="zh-CN"/>
        </w:rPr>
        <w:t>关于募集配套资金</w:t>
      </w:r>
    </w:p>
    <w:p w14:paraId="2E20E2C3" w14:textId="77777777" w:rsidR="00904D7A" w:rsidRPr="00936EC1"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新增或调增配套募集资金，应当视为构成对重组方案重大调整。调减或取消配套募集资金不构成重组方案的重大调整。证券交易所并购重组委员会会议可以提出本次交易符合重组条件和信息披露要求的审议意见，但要求申请人调</w:t>
      </w:r>
      <w:r w:rsidRPr="00936EC1">
        <w:rPr>
          <w:rFonts w:ascii="仿宋" w:eastAsia="仿宋" w:hAnsi="仿宋" w:cs="仿宋" w:hint="eastAsia"/>
          <w:sz w:val="24"/>
          <w:szCs w:val="24"/>
          <w:lang w:eastAsia="zh-CN"/>
        </w:rPr>
        <w:t>减或取消配套募集资金。</w:t>
      </w:r>
    </w:p>
    <w:p w14:paraId="5C3DFDCC"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sidRPr="00936EC1">
        <w:rPr>
          <w:rFonts w:ascii="仿宋" w:eastAsia="仿宋" w:hAnsi="仿宋" w:cs="仿宋" w:hint="eastAsia"/>
          <w:b/>
          <w:bCs/>
          <w:sz w:val="24"/>
          <w:szCs w:val="24"/>
          <w:lang w:eastAsia="zh-CN"/>
        </w:rPr>
        <w:t>（二）本次交易方案调整不构成重大调整</w:t>
      </w:r>
    </w:p>
    <w:p w14:paraId="62349E22" w14:textId="77777777" w:rsidR="00217952" w:rsidRDefault="00217952" w:rsidP="00217952">
      <w:pPr>
        <w:widowControl w:val="0"/>
        <w:kinsoku/>
        <w:autoSpaceDE/>
        <w:autoSpaceDN/>
        <w:spacing w:beforeLines="50" w:before="120" w:afterLines="50" w:after="120" w:line="360" w:lineRule="auto"/>
        <w:ind w:firstLineChars="200" w:firstLine="480"/>
        <w:contextualSpacing/>
        <w:jc w:val="both"/>
        <w:textAlignment w:val="auto"/>
        <w:rPr>
          <w:rFonts w:ascii="仿宋" w:eastAsia="仿宋" w:hAnsi="仿宋" w:cs="Times New Roman"/>
          <w:snapToGrid/>
          <w:color w:val="auto"/>
          <w:kern w:val="2"/>
          <w:sz w:val="24"/>
          <w:szCs w:val="24"/>
          <w:lang w:eastAsia="zh-CN"/>
        </w:rPr>
      </w:pPr>
      <w:r>
        <w:rPr>
          <w:rFonts w:ascii="仿宋" w:eastAsia="仿宋" w:hAnsi="仿宋" w:cs="Times New Roman"/>
          <w:snapToGrid/>
          <w:color w:val="auto"/>
          <w:kern w:val="2"/>
          <w:sz w:val="24"/>
          <w:szCs w:val="24"/>
          <w:lang w:eastAsia="zh-CN"/>
        </w:rPr>
        <w:t>本次交易方案调整不涉及交易对象、标的资产的变更，本次交易总对价不变，亦未新增或调增配套募集资金。根据《上市公司重大资产重组管理办法》</w:t>
      </w:r>
      <w:r>
        <w:rPr>
          <w:rFonts w:ascii="仿宋" w:eastAsia="仿宋" w:hAnsi="仿宋" w:cs="Times New Roman"/>
          <w:snapToGrid/>
          <w:color w:val="auto"/>
          <w:kern w:val="2"/>
          <w:sz w:val="24"/>
          <w:szCs w:val="24"/>
          <w:lang w:eastAsia="zh-CN"/>
        </w:rPr>
        <w:lastRenderedPageBreak/>
        <w:t>《&lt;上市公司重大资产重组管理办法&gt;第二十九条、第四十五条的适用意见——证券期货法律适用意见第15号》等相关规定，本次交易方案调整不构成重大调整。</w:t>
      </w:r>
    </w:p>
    <w:p w14:paraId="7D880B48"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Pr>
          <w:rFonts w:ascii="仿宋" w:eastAsia="仿宋" w:hAnsi="仿宋" w:cs="仿宋" w:hint="eastAsia"/>
          <w:b/>
          <w:bCs/>
          <w:sz w:val="24"/>
          <w:szCs w:val="24"/>
          <w:lang w:eastAsia="zh-CN"/>
        </w:rPr>
        <w:t>三、本次重组方案调整履行的相关程序</w:t>
      </w:r>
    </w:p>
    <w:p w14:paraId="195AD379" w14:textId="7AD22E14" w:rsidR="00904D7A" w:rsidRDefault="002E58B6">
      <w:pPr>
        <w:kinsoku/>
        <w:autoSpaceDE/>
        <w:autoSpaceDN/>
        <w:spacing w:beforeLines="50" w:before="120" w:afterLines="50" w:after="120" w:line="360" w:lineRule="auto"/>
        <w:ind w:firstLineChars="200" w:firstLine="480"/>
        <w:contextualSpacing/>
        <w:textAlignment w:val="auto"/>
        <w:rPr>
          <w:rFonts w:ascii="仿宋" w:eastAsia="仿宋" w:hAnsi="仿宋" w:cs="仿宋"/>
          <w:sz w:val="24"/>
          <w:szCs w:val="24"/>
          <w:lang w:eastAsia="zh-CN"/>
        </w:rPr>
      </w:pPr>
      <w:r>
        <w:rPr>
          <w:rFonts w:ascii="仿宋" w:eastAsia="仿宋" w:hAnsi="仿宋" w:cs="仿宋" w:hint="eastAsia"/>
          <w:sz w:val="24"/>
          <w:szCs w:val="24"/>
          <w:lang w:eastAsia="zh-CN"/>
        </w:rPr>
        <w:t>202</w:t>
      </w:r>
      <w:r w:rsidR="00CB67E7">
        <w:rPr>
          <w:rFonts w:ascii="仿宋" w:eastAsia="仿宋" w:hAnsi="仿宋" w:cs="仿宋"/>
          <w:sz w:val="24"/>
          <w:szCs w:val="24"/>
          <w:lang w:eastAsia="zh-CN"/>
        </w:rPr>
        <w:t>6</w:t>
      </w:r>
      <w:r>
        <w:rPr>
          <w:rFonts w:ascii="仿宋" w:eastAsia="仿宋" w:hAnsi="仿宋" w:cs="仿宋" w:hint="eastAsia"/>
          <w:sz w:val="24"/>
          <w:szCs w:val="24"/>
          <w:lang w:eastAsia="zh-CN"/>
        </w:rPr>
        <w:t>年</w:t>
      </w:r>
      <w:r w:rsidR="00CB67E7">
        <w:rPr>
          <w:rFonts w:ascii="仿宋" w:eastAsia="仿宋" w:hAnsi="仿宋" w:cs="仿宋"/>
          <w:sz w:val="24"/>
          <w:szCs w:val="24"/>
          <w:lang w:eastAsia="zh-CN"/>
        </w:rPr>
        <w:t>9</w:t>
      </w:r>
      <w:r>
        <w:rPr>
          <w:rFonts w:ascii="仿宋" w:eastAsia="仿宋" w:hAnsi="仿宋" w:cs="仿宋" w:hint="eastAsia"/>
          <w:sz w:val="24"/>
          <w:szCs w:val="24"/>
          <w:lang w:eastAsia="zh-CN"/>
        </w:rPr>
        <w:t>月</w:t>
      </w:r>
      <w:r w:rsidR="00CB67E7">
        <w:rPr>
          <w:rFonts w:ascii="仿宋" w:eastAsia="仿宋" w:hAnsi="仿宋" w:cs="仿宋"/>
          <w:sz w:val="24"/>
          <w:szCs w:val="24"/>
          <w:lang w:eastAsia="zh-CN"/>
        </w:rPr>
        <w:t>29</w:t>
      </w:r>
      <w:r>
        <w:rPr>
          <w:rFonts w:ascii="仿宋" w:eastAsia="仿宋" w:hAnsi="仿宋" w:cs="仿宋" w:hint="eastAsia"/>
          <w:sz w:val="24"/>
          <w:szCs w:val="24"/>
          <w:lang w:eastAsia="zh-CN"/>
        </w:rPr>
        <w:t>日，公司召开第四届董事会第</w:t>
      </w:r>
      <w:r w:rsidR="00CB67E7">
        <w:rPr>
          <w:rFonts w:ascii="仿宋" w:eastAsia="仿宋" w:hAnsi="仿宋" w:cs="仿宋" w:hint="eastAsia"/>
          <w:sz w:val="24"/>
          <w:szCs w:val="24"/>
          <w:lang w:eastAsia="zh-CN"/>
        </w:rPr>
        <w:t>十二</w:t>
      </w:r>
      <w:r>
        <w:rPr>
          <w:rFonts w:ascii="仿宋" w:eastAsia="仿宋" w:hAnsi="仿宋" w:cs="仿宋" w:hint="eastAsia"/>
          <w:sz w:val="24"/>
          <w:szCs w:val="24"/>
          <w:lang w:eastAsia="zh-CN"/>
        </w:rPr>
        <w:t>次会议，审议通过了《关于&lt;广东天亿马信息产业股份有限公司发行股份及支付现金购买资产并募集配套资金暨关联交易报告书（草案）&gt;及其摘要的议案》《关于本次交易方案调整不构成重大调整的议案》等与本次交易相关的议案，对本次重组方案进行了调整。本次交易相关议案</w:t>
      </w:r>
      <w:r w:rsidR="0064343C" w:rsidRPr="0064343C">
        <w:rPr>
          <w:rFonts w:ascii="仿宋" w:eastAsia="仿宋" w:hAnsi="仿宋" w:cs="仿宋" w:hint="eastAsia"/>
          <w:sz w:val="24"/>
          <w:szCs w:val="24"/>
          <w:lang w:eastAsia="zh-CN"/>
        </w:rPr>
        <w:t>已经第四届董事会审计委员会第十一次会议、第四届董事会第五次独立董事专门会议审议通过。</w:t>
      </w:r>
      <w:r>
        <w:rPr>
          <w:rFonts w:ascii="仿宋" w:eastAsia="仿宋" w:hAnsi="仿宋" w:cs="仿宋" w:hint="eastAsia"/>
          <w:sz w:val="24"/>
          <w:szCs w:val="24"/>
          <w:lang w:eastAsia="zh-CN"/>
        </w:rPr>
        <w:t>独立董事已就有关议案发表同意的审核意见。</w:t>
      </w:r>
    </w:p>
    <w:p w14:paraId="283CD4B7" w14:textId="77777777" w:rsidR="00904D7A" w:rsidRDefault="002E58B6">
      <w:pPr>
        <w:kinsoku/>
        <w:autoSpaceDE/>
        <w:autoSpaceDN/>
        <w:spacing w:beforeLines="50" w:before="120" w:afterLines="50" w:after="120" w:line="360" w:lineRule="auto"/>
        <w:ind w:firstLineChars="200" w:firstLine="482"/>
        <w:contextualSpacing/>
        <w:textAlignment w:val="auto"/>
        <w:rPr>
          <w:rFonts w:ascii="仿宋" w:eastAsia="仿宋" w:hAnsi="仿宋" w:cs="仿宋"/>
          <w:b/>
          <w:bCs/>
          <w:sz w:val="24"/>
          <w:szCs w:val="24"/>
          <w:lang w:eastAsia="zh-CN"/>
        </w:rPr>
      </w:pPr>
      <w:r>
        <w:rPr>
          <w:rFonts w:ascii="仿宋" w:eastAsia="仿宋" w:hAnsi="仿宋" w:cs="仿宋" w:hint="eastAsia"/>
          <w:b/>
          <w:bCs/>
          <w:sz w:val="24"/>
          <w:szCs w:val="24"/>
          <w:lang w:eastAsia="zh-CN"/>
        </w:rPr>
        <w:t>四、独立财务顾问核查意见</w:t>
      </w:r>
    </w:p>
    <w:p w14:paraId="3E4E4ED2" w14:textId="2B9B9E6D" w:rsidR="00904D7A" w:rsidRDefault="002E58B6">
      <w:pPr>
        <w:pStyle w:val="ab"/>
        <w:shd w:val="clear" w:color="auto" w:fill="FFFFFF"/>
        <w:kinsoku/>
        <w:autoSpaceDE/>
        <w:autoSpaceDN/>
        <w:spacing w:beforeLines="50" w:before="120" w:beforeAutospacing="0" w:afterLines="50" w:after="120" w:afterAutospacing="0" w:line="360" w:lineRule="auto"/>
        <w:ind w:firstLineChars="200" w:firstLine="480"/>
        <w:jc w:val="both"/>
        <w:textAlignment w:val="auto"/>
        <w:rPr>
          <w:rFonts w:ascii="仿宋" w:eastAsia="仿宋" w:hAnsi="仿宋" w:cs="仿宋"/>
          <w:shd w:val="clear" w:color="auto" w:fill="FFFFFF"/>
          <w:lang w:eastAsia="zh-CN"/>
        </w:rPr>
      </w:pPr>
      <w:r>
        <w:rPr>
          <w:rFonts w:ascii="仿宋" w:eastAsia="仿宋" w:hAnsi="仿宋" w:cs="仿宋" w:hint="eastAsia"/>
          <w:shd w:val="clear" w:color="auto" w:fill="FFFFFF"/>
          <w:lang w:eastAsia="zh-CN"/>
        </w:rPr>
        <w:t>经核查，独立财务顾问认为：根据《上市公司重大资产重组管理办法》和《&lt;上市公司重大资产重组管理办法&gt;第二十九条、第四十五条的适用意见</w:t>
      </w:r>
      <w:r>
        <w:rPr>
          <w:rFonts w:ascii="仿宋" w:eastAsia="仿宋" w:hAnsi="仿宋" w:cs="仿宋" w:hint="eastAsia"/>
          <w:szCs w:val="24"/>
          <w:lang w:eastAsia="zh-CN"/>
        </w:rPr>
        <w:t>——</w:t>
      </w:r>
      <w:r>
        <w:rPr>
          <w:rFonts w:ascii="仿宋" w:eastAsia="仿宋" w:hAnsi="仿宋" w:cs="仿宋" w:hint="eastAsia"/>
          <w:shd w:val="clear" w:color="auto" w:fill="FFFFFF"/>
          <w:lang w:eastAsia="zh-CN"/>
        </w:rPr>
        <w:t>证券期货法律适用意见第15号》等相关规定，本次交易方案调整不构成重组方案的重大调整。</w:t>
      </w:r>
    </w:p>
    <w:p w14:paraId="7A40EE90" w14:textId="2F63DCF1" w:rsidR="00904D7A" w:rsidRPr="002F59B9" w:rsidRDefault="002E58B6" w:rsidP="002F59B9">
      <w:pPr>
        <w:pStyle w:val="ab"/>
        <w:widowControl w:val="0"/>
        <w:shd w:val="clear" w:color="auto" w:fill="FFFFFF"/>
        <w:kinsoku/>
        <w:autoSpaceDE/>
        <w:autoSpaceDN/>
        <w:adjustRightInd/>
        <w:snapToGrid/>
        <w:spacing w:beforeLines="50" w:before="120" w:beforeAutospacing="0" w:afterLines="50" w:after="120" w:afterAutospacing="0" w:line="360" w:lineRule="auto"/>
        <w:ind w:firstLineChars="200" w:firstLine="480"/>
        <w:jc w:val="both"/>
        <w:textAlignment w:val="auto"/>
        <w:rPr>
          <w:rFonts w:ascii="仿宋" w:eastAsia="仿宋" w:hAnsi="仿宋" w:cs="仿宋"/>
          <w:snapToGrid/>
          <w:kern w:val="2"/>
          <w:szCs w:val="24"/>
          <w:shd w:val="clear" w:color="auto" w:fill="FFFFFF"/>
          <w:lang w:eastAsia="zh-CN"/>
        </w:rPr>
      </w:pPr>
      <w:r>
        <w:rPr>
          <w:rFonts w:ascii="仿宋" w:eastAsia="仿宋" w:hAnsi="仿宋" w:cs="仿宋" w:hint="eastAsia"/>
          <w:shd w:val="clear" w:color="auto" w:fill="FFFFFF"/>
          <w:lang w:eastAsia="zh-CN"/>
        </w:rPr>
        <w:t>特此公告。</w:t>
      </w:r>
    </w:p>
    <w:p w14:paraId="2320961A" w14:textId="77777777" w:rsidR="00904D7A" w:rsidRDefault="002E58B6">
      <w:pPr>
        <w:widowControl w:val="0"/>
        <w:kinsoku/>
        <w:autoSpaceDE/>
        <w:autoSpaceDN/>
        <w:adjustRightInd/>
        <w:snapToGrid/>
        <w:spacing w:before="120" w:after="120" w:line="440" w:lineRule="exact"/>
        <w:jc w:val="right"/>
        <w:textAlignment w:val="auto"/>
        <w:rPr>
          <w:rFonts w:ascii="仿宋" w:eastAsia="仿宋" w:hAnsi="仿宋" w:cs="仿宋"/>
          <w:snapToGrid/>
          <w:kern w:val="2"/>
          <w:sz w:val="24"/>
          <w:szCs w:val="24"/>
          <w:lang w:eastAsia="zh-CN"/>
        </w:rPr>
      </w:pPr>
      <w:r>
        <w:rPr>
          <w:rFonts w:ascii="仿宋" w:eastAsia="仿宋" w:hAnsi="仿宋" w:cs="仿宋" w:hint="eastAsia"/>
          <w:snapToGrid/>
          <w:kern w:val="2"/>
          <w:sz w:val="24"/>
          <w:szCs w:val="24"/>
          <w:lang w:eastAsia="zh-CN"/>
        </w:rPr>
        <w:t>广东天亿马信息产业股份有限公司</w:t>
      </w:r>
    </w:p>
    <w:p w14:paraId="1ED9D40B" w14:textId="77777777" w:rsidR="00904D7A" w:rsidRDefault="002E58B6">
      <w:pPr>
        <w:widowControl w:val="0"/>
        <w:kinsoku/>
        <w:autoSpaceDE/>
        <w:autoSpaceDN/>
        <w:adjustRightInd/>
        <w:snapToGrid/>
        <w:spacing w:before="120" w:after="120" w:line="440" w:lineRule="exact"/>
        <w:jc w:val="right"/>
        <w:textAlignment w:val="auto"/>
        <w:rPr>
          <w:rFonts w:ascii="仿宋" w:eastAsia="仿宋" w:hAnsi="仿宋" w:cs="仿宋"/>
          <w:snapToGrid/>
          <w:kern w:val="2"/>
          <w:sz w:val="24"/>
          <w:szCs w:val="24"/>
          <w:lang w:eastAsia="zh-CN"/>
        </w:rPr>
      </w:pPr>
      <w:r>
        <w:rPr>
          <w:rFonts w:ascii="仿宋" w:eastAsia="仿宋" w:hAnsi="仿宋" w:cs="仿宋" w:hint="eastAsia"/>
          <w:snapToGrid/>
          <w:kern w:val="2"/>
          <w:sz w:val="24"/>
          <w:szCs w:val="24"/>
          <w:lang w:eastAsia="zh-CN"/>
        </w:rPr>
        <w:t>董事会</w:t>
      </w:r>
    </w:p>
    <w:p w14:paraId="6A112EF5" w14:textId="65EADD63" w:rsidR="00904D7A" w:rsidRDefault="002E58B6">
      <w:pPr>
        <w:widowControl w:val="0"/>
        <w:kinsoku/>
        <w:autoSpaceDE/>
        <w:autoSpaceDN/>
        <w:adjustRightInd/>
        <w:snapToGrid/>
        <w:spacing w:before="120" w:after="120" w:line="440" w:lineRule="exact"/>
        <w:jc w:val="right"/>
        <w:textAlignment w:val="auto"/>
        <w:rPr>
          <w:rFonts w:ascii="仿宋" w:eastAsia="仿宋" w:hAnsi="仿宋" w:cs="仿宋"/>
          <w:snapToGrid/>
          <w:kern w:val="2"/>
          <w:sz w:val="24"/>
          <w:szCs w:val="24"/>
          <w:lang w:eastAsia="zh-CN"/>
        </w:rPr>
      </w:pPr>
      <w:r>
        <w:rPr>
          <w:rFonts w:ascii="仿宋" w:eastAsia="仿宋" w:hAnsi="仿宋" w:cs="仿宋" w:hint="eastAsia"/>
          <w:snapToGrid/>
          <w:kern w:val="2"/>
          <w:sz w:val="24"/>
          <w:szCs w:val="24"/>
          <w:lang w:eastAsia="zh-CN"/>
        </w:rPr>
        <w:t>202</w:t>
      </w:r>
      <w:r w:rsidR="00C63555">
        <w:rPr>
          <w:rFonts w:ascii="仿宋" w:eastAsia="仿宋" w:hAnsi="仿宋" w:cs="仿宋"/>
          <w:snapToGrid/>
          <w:kern w:val="2"/>
          <w:sz w:val="24"/>
          <w:szCs w:val="24"/>
          <w:lang w:eastAsia="zh-CN"/>
        </w:rPr>
        <w:t>6</w:t>
      </w:r>
      <w:r>
        <w:rPr>
          <w:rFonts w:ascii="仿宋" w:eastAsia="仿宋" w:hAnsi="仿宋" w:cs="仿宋" w:hint="eastAsia"/>
          <w:snapToGrid/>
          <w:kern w:val="2"/>
          <w:sz w:val="24"/>
          <w:szCs w:val="24"/>
          <w:lang w:eastAsia="zh-CN"/>
        </w:rPr>
        <w:t>年</w:t>
      </w:r>
      <w:r w:rsidR="00C63555">
        <w:rPr>
          <w:rFonts w:ascii="仿宋" w:eastAsia="仿宋" w:hAnsi="仿宋" w:cs="仿宋"/>
          <w:snapToGrid/>
          <w:kern w:val="2"/>
          <w:sz w:val="24"/>
          <w:szCs w:val="24"/>
          <w:lang w:eastAsia="zh-CN"/>
        </w:rPr>
        <w:t>9</w:t>
      </w:r>
      <w:r>
        <w:rPr>
          <w:rFonts w:ascii="仿宋" w:eastAsia="仿宋" w:hAnsi="仿宋" w:cs="仿宋" w:hint="eastAsia"/>
          <w:snapToGrid/>
          <w:kern w:val="2"/>
          <w:sz w:val="24"/>
          <w:szCs w:val="24"/>
          <w:lang w:eastAsia="zh-CN"/>
        </w:rPr>
        <w:t>月</w:t>
      </w:r>
      <w:r w:rsidR="00C63555">
        <w:rPr>
          <w:rFonts w:ascii="仿宋" w:eastAsia="仿宋" w:hAnsi="仿宋" w:cs="仿宋"/>
          <w:snapToGrid/>
          <w:kern w:val="2"/>
          <w:sz w:val="24"/>
          <w:szCs w:val="24"/>
          <w:lang w:eastAsia="zh-CN"/>
        </w:rPr>
        <w:t>2</w:t>
      </w:r>
      <w:r>
        <w:rPr>
          <w:rFonts w:ascii="仿宋" w:eastAsia="仿宋" w:hAnsi="仿宋" w:cs="仿宋" w:hint="eastAsia"/>
          <w:snapToGrid/>
          <w:kern w:val="2"/>
          <w:sz w:val="24"/>
          <w:szCs w:val="24"/>
          <w:lang w:eastAsia="zh-CN"/>
        </w:rPr>
        <w:t>9日</w:t>
      </w:r>
    </w:p>
    <w:p w14:paraId="5BAD9E4B" w14:textId="77777777" w:rsidR="00904D7A" w:rsidRDefault="00904D7A">
      <w:pPr>
        <w:widowControl w:val="0"/>
        <w:kinsoku/>
        <w:autoSpaceDE/>
        <w:autoSpaceDN/>
        <w:adjustRightInd/>
        <w:snapToGrid/>
        <w:spacing w:line="360" w:lineRule="auto"/>
        <w:ind w:firstLineChars="200" w:firstLine="560"/>
        <w:jc w:val="right"/>
        <w:textAlignment w:val="auto"/>
        <w:rPr>
          <w:rFonts w:ascii="仿宋" w:eastAsia="仿宋" w:hAnsi="仿宋" w:cs="仿宋"/>
          <w:snapToGrid/>
          <w:kern w:val="2"/>
          <w:sz w:val="28"/>
          <w:szCs w:val="28"/>
          <w:highlight w:val="yellow"/>
          <w:lang w:eastAsia="zh-CN"/>
        </w:rPr>
      </w:pPr>
    </w:p>
    <w:sectPr w:rsidR="00904D7A">
      <w:footerReference w:type="default" r:id="rId6"/>
      <w:pgSz w:w="11907" w:h="16839"/>
      <w:pgMar w:top="1431" w:right="1730" w:bottom="1202" w:left="1785" w:header="0" w:footer="9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BB973" w14:textId="77777777" w:rsidR="004E71BF" w:rsidRDefault="004E71BF">
      <w:r>
        <w:separator/>
      </w:r>
    </w:p>
  </w:endnote>
  <w:endnote w:type="continuationSeparator" w:id="0">
    <w:p w14:paraId="4A4C6C73" w14:textId="77777777" w:rsidR="004E71BF" w:rsidRDefault="004E7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ingFang SC">
    <w:charset w:val="86"/>
    <w:family w:val="auto"/>
    <w:pitch w:val="default"/>
    <w:sig w:usb0="00000000" w:usb1="00000000" w:usb2="00000017"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408522"/>
    </w:sdtPr>
    <w:sdtEndPr/>
    <w:sdtContent>
      <w:p w14:paraId="20E9BB6C" w14:textId="201D06EB" w:rsidR="00904D7A" w:rsidRDefault="002E58B6">
        <w:pPr>
          <w:pStyle w:val="a7"/>
          <w:jc w:val="center"/>
        </w:pPr>
        <w:r>
          <w:fldChar w:fldCharType="begin"/>
        </w:r>
        <w:r>
          <w:instrText>PAGE   \* MERGEFORMAT</w:instrText>
        </w:r>
        <w:r>
          <w:fldChar w:fldCharType="separate"/>
        </w:r>
        <w:r w:rsidR="00C95A45" w:rsidRPr="00C95A45">
          <w:rPr>
            <w:noProof/>
            <w:lang w:val="zh-CN" w:eastAsia="zh-CN"/>
          </w:rPr>
          <w:t>1</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A34FA3" w14:textId="77777777" w:rsidR="004E71BF" w:rsidRDefault="004E71BF">
      <w:r>
        <w:separator/>
      </w:r>
    </w:p>
  </w:footnote>
  <w:footnote w:type="continuationSeparator" w:id="0">
    <w:p w14:paraId="55779B6C" w14:textId="77777777" w:rsidR="004E71BF" w:rsidRDefault="004E71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7B6D87"/>
    <w:rsid w:val="95FFBBE4"/>
    <w:rsid w:val="E7338B51"/>
    <w:rsid w:val="00035185"/>
    <w:rsid w:val="000545F9"/>
    <w:rsid w:val="00087AF2"/>
    <w:rsid w:val="000D06A6"/>
    <w:rsid w:val="000D61D8"/>
    <w:rsid w:val="00127DF7"/>
    <w:rsid w:val="001315F6"/>
    <w:rsid w:val="001720A9"/>
    <w:rsid w:val="001A69C0"/>
    <w:rsid w:val="001C6624"/>
    <w:rsid w:val="00217952"/>
    <w:rsid w:val="0022059F"/>
    <w:rsid w:val="00255063"/>
    <w:rsid w:val="00266E17"/>
    <w:rsid w:val="002A405C"/>
    <w:rsid w:val="002E58B6"/>
    <w:rsid w:val="002F3A15"/>
    <w:rsid w:val="002F59B9"/>
    <w:rsid w:val="002F7F5A"/>
    <w:rsid w:val="003061F7"/>
    <w:rsid w:val="00326840"/>
    <w:rsid w:val="00373065"/>
    <w:rsid w:val="004456D6"/>
    <w:rsid w:val="0046383F"/>
    <w:rsid w:val="004E35F2"/>
    <w:rsid w:val="004E71BF"/>
    <w:rsid w:val="00553A2D"/>
    <w:rsid w:val="005720C3"/>
    <w:rsid w:val="00600F50"/>
    <w:rsid w:val="00607BB7"/>
    <w:rsid w:val="0061424C"/>
    <w:rsid w:val="0063588D"/>
    <w:rsid w:val="0064343C"/>
    <w:rsid w:val="00657329"/>
    <w:rsid w:val="00665652"/>
    <w:rsid w:val="006763E7"/>
    <w:rsid w:val="006866C3"/>
    <w:rsid w:val="006A6147"/>
    <w:rsid w:val="006D63DE"/>
    <w:rsid w:val="007014C0"/>
    <w:rsid w:val="00730479"/>
    <w:rsid w:val="00775D67"/>
    <w:rsid w:val="00777CDD"/>
    <w:rsid w:val="00797CC4"/>
    <w:rsid w:val="007B6D87"/>
    <w:rsid w:val="007C1A77"/>
    <w:rsid w:val="007D56B5"/>
    <w:rsid w:val="007E114C"/>
    <w:rsid w:val="00812533"/>
    <w:rsid w:val="008640FC"/>
    <w:rsid w:val="00883B45"/>
    <w:rsid w:val="008C10DE"/>
    <w:rsid w:val="008D2804"/>
    <w:rsid w:val="008E0438"/>
    <w:rsid w:val="00904D7A"/>
    <w:rsid w:val="00936EC1"/>
    <w:rsid w:val="00994F04"/>
    <w:rsid w:val="009A3672"/>
    <w:rsid w:val="009B46C1"/>
    <w:rsid w:val="009D0828"/>
    <w:rsid w:val="009D3F4B"/>
    <w:rsid w:val="00A100BA"/>
    <w:rsid w:val="00A63798"/>
    <w:rsid w:val="00A84D76"/>
    <w:rsid w:val="00A97940"/>
    <w:rsid w:val="00B14C75"/>
    <w:rsid w:val="00B7118D"/>
    <w:rsid w:val="00B860CF"/>
    <w:rsid w:val="00BD0C4B"/>
    <w:rsid w:val="00BE7BFB"/>
    <w:rsid w:val="00C400D1"/>
    <w:rsid w:val="00C63555"/>
    <w:rsid w:val="00C809B4"/>
    <w:rsid w:val="00C84416"/>
    <w:rsid w:val="00C959E8"/>
    <w:rsid w:val="00C95A45"/>
    <w:rsid w:val="00CA2F17"/>
    <w:rsid w:val="00CA68DC"/>
    <w:rsid w:val="00CB67E7"/>
    <w:rsid w:val="00CD0B91"/>
    <w:rsid w:val="00D17F4D"/>
    <w:rsid w:val="00D80E2E"/>
    <w:rsid w:val="00DC4545"/>
    <w:rsid w:val="00E2473C"/>
    <w:rsid w:val="00E534E2"/>
    <w:rsid w:val="00E53B68"/>
    <w:rsid w:val="00E61756"/>
    <w:rsid w:val="00E87218"/>
    <w:rsid w:val="00ED5169"/>
    <w:rsid w:val="00F11E2A"/>
    <w:rsid w:val="00F37ABE"/>
    <w:rsid w:val="084047E3"/>
    <w:rsid w:val="0B1101D0"/>
    <w:rsid w:val="1A3F5464"/>
    <w:rsid w:val="42D61E8F"/>
    <w:rsid w:val="432C0349"/>
    <w:rsid w:val="44150359"/>
    <w:rsid w:val="44572601"/>
    <w:rsid w:val="4DA2439C"/>
    <w:rsid w:val="4E636855"/>
    <w:rsid w:val="5A862943"/>
    <w:rsid w:val="5E627981"/>
    <w:rsid w:val="64F354E7"/>
    <w:rsid w:val="650D4A4F"/>
    <w:rsid w:val="65242926"/>
    <w:rsid w:val="70BB40F3"/>
    <w:rsid w:val="79DBC11F"/>
    <w:rsid w:val="7BED8E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DF7A83"/>
  <w15:docId w15:val="{EF65C0BE-2F88-460B-88FC-6C509CAEA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371">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emiHidden/>
    <w:qFormat/>
    <w:pPr>
      <w:kinsoku w:val="0"/>
      <w:autoSpaceDE w:val="0"/>
      <w:autoSpaceDN w:val="0"/>
      <w:adjustRightInd w:val="0"/>
      <w:snapToGrid w:val="0"/>
      <w:textAlignment w:val="baseline"/>
    </w:pPr>
    <w:rPr>
      <w:rFonts w:eastAsia="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style>
  <w:style w:type="paragraph" w:styleId="a4">
    <w:name w:val="Body Text"/>
    <w:basedOn w:val="a"/>
    <w:semiHidden/>
    <w:qFormat/>
    <w:rPr>
      <w:rFonts w:ascii="PingFang SC" w:eastAsia="PingFang SC" w:hAnsi="PingFang SC" w:cs="PingFang SC"/>
      <w:sz w:val="24"/>
      <w:szCs w:val="24"/>
    </w:rPr>
  </w:style>
  <w:style w:type="paragraph" w:styleId="a5">
    <w:name w:val="Balloon Text"/>
    <w:basedOn w:val="a"/>
    <w:link w:val="a6"/>
    <w:qFormat/>
    <w:rPr>
      <w:sz w:val="18"/>
      <w:szCs w:val="18"/>
    </w:rPr>
  </w:style>
  <w:style w:type="paragraph" w:styleId="a7">
    <w:name w:val="footer"/>
    <w:basedOn w:val="a"/>
    <w:link w:val="a8"/>
    <w:uiPriority w:val="99"/>
    <w:qFormat/>
    <w:pPr>
      <w:tabs>
        <w:tab w:val="center" w:pos="4153"/>
        <w:tab w:val="right" w:pos="8306"/>
      </w:tabs>
    </w:pPr>
    <w:rPr>
      <w:sz w:val="18"/>
      <w:szCs w:val="18"/>
    </w:rPr>
  </w:style>
  <w:style w:type="paragraph" w:styleId="a9">
    <w:name w:val="header"/>
    <w:basedOn w:val="a"/>
    <w:link w:val="aa"/>
    <w:qFormat/>
    <w:pPr>
      <w:tabs>
        <w:tab w:val="center" w:pos="4153"/>
        <w:tab w:val="right" w:pos="8306"/>
      </w:tabs>
      <w:jc w:val="center"/>
    </w:pPr>
    <w:rPr>
      <w:sz w:val="18"/>
      <w:szCs w:val="18"/>
    </w:rPr>
  </w:style>
  <w:style w:type="paragraph" w:styleId="ab">
    <w:name w:val="Normal (Web)"/>
    <w:basedOn w:val="a"/>
    <w:qFormat/>
    <w:pPr>
      <w:spacing w:beforeAutospacing="1" w:afterAutospacing="1"/>
    </w:pPr>
    <w:rPr>
      <w:rFonts w:cs="Times New Roman"/>
      <w:sz w:val="24"/>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1">
    <w:name w:val="修订1"/>
    <w:hidden/>
    <w:uiPriority w:val="99"/>
    <w:unhideWhenUsed/>
    <w:qFormat/>
    <w:rPr>
      <w:rFonts w:eastAsia="Arial"/>
      <w:snapToGrid w:val="0"/>
      <w:color w:val="000000"/>
      <w:sz w:val="21"/>
      <w:szCs w:val="21"/>
      <w:lang w:eastAsia="en-US"/>
    </w:rPr>
  </w:style>
  <w:style w:type="character" w:customStyle="1" w:styleId="aa">
    <w:name w:val="页眉 字符"/>
    <w:basedOn w:val="a0"/>
    <w:link w:val="a9"/>
    <w:qFormat/>
    <w:rPr>
      <w:rFonts w:eastAsia="Arial"/>
      <w:snapToGrid w:val="0"/>
      <w:color w:val="000000"/>
      <w:sz w:val="18"/>
      <w:szCs w:val="18"/>
      <w:lang w:eastAsia="en-US"/>
    </w:rPr>
  </w:style>
  <w:style w:type="character" w:customStyle="1" w:styleId="a8">
    <w:name w:val="页脚 字符"/>
    <w:basedOn w:val="a0"/>
    <w:link w:val="a7"/>
    <w:uiPriority w:val="99"/>
    <w:qFormat/>
    <w:rPr>
      <w:rFonts w:eastAsia="Arial"/>
      <w:snapToGrid w:val="0"/>
      <w:color w:val="000000"/>
      <w:sz w:val="18"/>
      <w:szCs w:val="18"/>
      <w:lang w:eastAsia="en-US"/>
    </w:rPr>
  </w:style>
  <w:style w:type="character" w:customStyle="1" w:styleId="a6">
    <w:name w:val="批注框文本 字符"/>
    <w:basedOn w:val="a0"/>
    <w:link w:val="a5"/>
    <w:qFormat/>
    <w:rPr>
      <w:rFonts w:eastAsia="Arial"/>
      <w:snapToGrid w:val="0"/>
      <w:color w:val="000000"/>
      <w:sz w:val="18"/>
      <w:szCs w:val="18"/>
      <w:lang w:eastAsia="en-US"/>
    </w:rPr>
  </w:style>
  <w:style w:type="paragraph" w:customStyle="1" w:styleId="2">
    <w:name w:val="修订2"/>
    <w:hidden/>
    <w:uiPriority w:val="99"/>
    <w:unhideWhenUsed/>
    <w:qFormat/>
    <w:rPr>
      <w:rFonts w:eastAsia="Arial"/>
      <w:snapToGrid w:val="0"/>
      <w:color w:val="000000"/>
      <w:sz w:val="21"/>
      <w:szCs w:val="21"/>
      <w:lang w:eastAsia="en-US"/>
    </w:rPr>
  </w:style>
  <w:style w:type="paragraph" w:styleId="ac">
    <w:name w:val="Revision"/>
    <w:hidden/>
    <w:uiPriority w:val="99"/>
    <w:unhideWhenUsed/>
    <w:rsid w:val="002F59B9"/>
    <w:rPr>
      <w:rFonts w:eastAsia="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871</Words>
  <Characters>4971</Characters>
  <Application>Microsoft Office Word</Application>
  <DocSecurity>0</DocSecurity>
  <Lines>41</Lines>
  <Paragraphs>11</Paragraphs>
  <ScaleCrop>false</ScaleCrop>
  <Company>Microsoft</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松 张</dc:creator>
  <cp:lastModifiedBy>China</cp:lastModifiedBy>
  <cp:revision>56</cp:revision>
  <dcterms:created xsi:type="dcterms:W3CDTF">2025-06-06T22:36:00Z</dcterms:created>
  <dcterms:modified xsi:type="dcterms:W3CDTF">2026-09-29T08:24:00Z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2025-06-13T16:12:47Z</vt:filetime>
  </property>
  <property fmtid="{D5CDD505-2E9C-101B-9397-08002B2CF9AE}" pid="4" name="KSOProductBuildVer">
    <vt:lpwstr>2052-12.1.0.23542</vt:lpwstr>
  </property>
  <property fmtid="{D5CDD505-2E9C-101B-9397-08002B2CF9AE}" pid="5" name="ICV">
    <vt:lpwstr>8462723751178D370EE04B68E7A3C690_42</vt:lpwstr>
  </property>
  <property fmtid="{D5CDD505-2E9C-101B-9397-08002B2CF9AE}" pid="6" name="KSOTemplateDocerSaveRecord">
    <vt:lpwstr>eyJoZGlkIjoiYjc3NTVmODk5OWI4YTU0YmU5MTlhYzJjMjBkNzFlNmEiLCJ1c2VySWQiOiIyNDMwNTgyMjAifQ==</vt:lpwstr>
  </property>
</Properties>
</file>