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A2" w:rsidRDefault="00A014A2" w:rsidP="00AC318C">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w:t>
      </w:r>
      <w:r w:rsidR="00E665C8">
        <w:rPr>
          <w:rFonts w:ascii="仿宋" w:eastAsia="仿宋" w:hAnsi="仿宋"/>
          <w:color w:val="000000"/>
          <w:sz w:val="28"/>
        </w:rPr>
        <w:t>3</w:t>
      </w:r>
      <w:r>
        <w:rPr>
          <w:rFonts w:ascii="仿宋" w:eastAsia="仿宋" w:hAnsi="仿宋" w:hint="eastAsia"/>
          <w:color w:val="000000"/>
          <w:sz w:val="28"/>
        </w:rPr>
        <w:t>-</w:t>
      </w:r>
      <w:r w:rsidR="00001060">
        <w:rPr>
          <w:rFonts w:ascii="仿宋" w:eastAsia="仿宋" w:hAnsi="仿宋" w:hint="eastAsia"/>
          <w:color w:val="000000"/>
          <w:sz w:val="28"/>
        </w:rPr>
        <w:t>0</w:t>
      </w:r>
      <w:r w:rsidR="00AC0DDD">
        <w:rPr>
          <w:rFonts w:ascii="仿宋" w:eastAsia="仿宋" w:hAnsi="仿宋" w:hint="eastAsia"/>
          <w:color w:val="000000"/>
          <w:sz w:val="28"/>
        </w:rPr>
        <w:t>89</w:t>
      </w:r>
    </w:p>
    <w:p w:rsidR="00A014A2" w:rsidRPr="009E2E6B" w:rsidRDefault="00A014A2" w:rsidP="00AC318C">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A014A2" w:rsidRPr="009E2E6B" w:rsidRDefault="006E57EA" w:rsidP="00AC318C">
      <w:pPr>
        <w:spacing w:afterLines="100" w:after="312" w:line="360" w:lineRule="auto"/>
        <w:jc w:val="center"/>
        <w:rPr>
          <w:rFonts w:ascii="黑体" w:eastAsia="黑体" w:hAnsi="黑体"/>
          <w:sz w:val="36"/>
          <w:szCs w:val="36"/>
        </w:rPr>
      </w:pPr>
      <w:r w:rsidRPr="006E57EA">
        <w:rPr>
          <w:rFonts w:ascii="黑体" w:eastAsia="黑体" w:hAnsi="黑体" w:hint="eastAsia"/>
          <w:sz w:val="36"/>
          <w:szCs w:val="36"/>
        </w:rPr>
        <w:t>关于</w:t>
      </w:r>
      <w:r>
        <w:rPr>
          <w:rFonts w:ascii="黑体" w:eastAsia="黑体" w:hAnsi="黑体" w:hint="eastAsia"/>
          <w:sz w:val="36"/>
          <w:szCs w:val="36"/>
        </w:rPr>
        <w:t>《</w:t>
      </w:r>
      <w:r w:rsidRPr="006E57EA">
        <w:rPr>
          <w:rFonts w:ascii="黑体" w:eastAsia="黑体" w:hAnsi="黑体" w:hint="eastAsia"/>
          <w:sz w:val="36"/>
          <w:szCs w:val="36"/>
        </w:rPr>
        <w:t>2023年限制性股票激励计划（草案）</w:t>
      </w:r>
      <w:r>
        <w:rPr>
          <w:rFonts w:ascii="黑体" w:eastAsia="黑体" w:hAnsi="黑体" w:hint="eastAsia"/>
          <w:sz w:val="36"/>
          <w:szCs w:val="36"/>
        </w:rPr>
        <w:t>》</w:t>
      </w:r>
      <w:r w:rsidRPr="006E57EA">
        <w:rPr>
          <w:rFonts w:ascii="黑体" w:eastAsia="黑体" w:hAnsi="黑体" w:hint="eastAsia"/>
          <w:sz w:val="36"/>
          <w:szCs w:val="36"/>
        </w:rPr>
        <w:t>及相关文件的修订说明公告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014A2" w:rsidRPr="00BC6BED" w:rsidTr="00012C30">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014A2" w:rsidRPr="00D81E9D" w:rsidRDefault="00A014A2" w:rsidP="00604577">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w:t>
            </w:r>
            <w:r w:rsidR="00604577">
              <w:rPr>
                <w:rFonts w:ascii="楷体" w:eastAsia="楷体" w:hAnsi="楷体" w:cs="宋体" w:hint="eastAsia"/>
                <w:color w:val="000000"/>
                <w:kern w:val="0"/>
                <w:sz w:val="28"/>
              </w:rPr>
              <w:t>董事</w:t>
            </w:r>
            <w:r w:rsidRPr="00BC6BED">
              <w:rPr>
                <w:rFonts w:ascii="楷体" w:eastAsia="楷体" w:hAnsi="楷体" w:cs="宋体" w:hint="eastAsia"/>
                <w:color w:val="000000"/>
                <w:kern w:val="0"/>
                <w:sz w:val="28"/>
              </w:rPr>
              <w:t>会全体成员保证信息披露内容的真实、准确和完整，没有虚假记载、误导性陈述或重大遗漏。</w:t>
            </w:r>
          </w:p>
        </w:tc>
      </w:tr>
    </w:tbl>
    <w:p w:rsidR="00A014A2" w:rsidRDefault="00A014A2" w:rsidP="00CC6F28"/>
    <w:p w:rsidR="0062372C" w:rsidRDefault="0062372C" w:rsidP="00AC318C">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广东天亿马信息产业股份有限公司（以下简称“公司”）于202</w:t>
      </w:r>
      <w:r w:rsidR="00E665C8">
        <w:rPr>
          <w:rFonts w:ascii="仿宋" w:eastAsia="仿宋" w:hAnsi="仿宋"/>
          <w:color w:val="000000"/>
          <w:sz w:val="28"/>
        </w:rPr>
        <w:t>3</w:t>
      </w:r>
      <w:r>
        <w:rPr>
          <w:rFonts w:ascii="仿宋" w:eastAsia="仿宋" w:hAnsi="仿宋" w:hint="eastAsia"/>
          <w:color w:val="000000"/>
          <w:sz w:val="28"/>
        </w:rPr>
        <w:t>年</w:t>
      </w:r>
      <w:r w:rsidR="00001060">
        <w:rPr>
          <w:rFonts w:ascii="仿宋" w:eastAsia="仿宋" w:hAnsi="仿宋" w:hint="eastAsia"/>
          <w:color w:val="000000"/>
          <w:sz w:val="28"/>
        </w:rPr>
        <w:t>8</w:t>
      </w:r>
      <w:r>
        <w:rPr>
          <w:rFonts w:ascii="仿宋" w:eastAsia="仿宋" w:hAnsi="仿宋" w:hint="eastAsia"/>
          <w:color w:val="000000"/>
          <w:sz w:val="28"/>
        </w:rPr>
        <w:t>月</w:t>
      </w:r>
      <w:r w:rsidR="001F67A2">
        <w:rPr>
          <w:rFonts w:ascii="仿宋" w:eastAsia="仿宋" w:hAnsi="仿宋" w:hint="eastAsia"/>
          <w:color w:val="000000"/>
          <w:sz w:val="28"/>
        </w:rPr>
        <w:t>18</w:t>
      </w:r>
      <w:r>
        <w:rPr>
          <w:rFonts w:ascii="仿宋" w:eastAsia="仿宋" w:hAnsi="仿宋" w:hint="eastAsia"/>
          <w:color w:val="000000"/>
          <w:sz w:val="28"/>
        </w:rPr>
        <w:t>日在公司会议室以现场表决的方式召开公司第三届</w:t>
      </w:r>
      <w:r w:rsidR="0066584E">
        <w:rPr>
          <w:rFonts w:ascii="仿宋" w:eastAsia="仿宋" w:hAnsi="仿宋" w:hint="eastAsia"/>
          <w:color w:val="000000"/>
          <w:sz w:val="28"/>
        </w:rPr>
        <w:t>董事会</w:t>
      </w:r>
      <w:r>
        <w:rPr>
          <w:rFonts w:ascii="仿宋" w:eastAsia="仿宋" w:hAnsi="仿宋" w:hint="eastAsia"/>
          <w:color w:val="000000"/>
          <w:sz w:val="28"/>
        </w:rPr>
        <w:t>第</w:t>
      </w:r>
      <w:r w:rsidR="00E665C8">
        <w:rPr>
          <w:rFonts w:ascii="仿宋" w:eastAsia="仿宋" w:hAnsi="仿宋" w:hint="eastAsia"/>
          <w:color w:val="000000"/>
          <w:sz w:val="28"/>
        </w:rPr>
        <w:t>十</w:t>
      </w:r>
      <w:r w:rsidR="008A4DC3">
        <w:rPr>
          <w:rFonts w:ascii="仿宋" w:eastAsia="仿宋" w:hAnsi="仿宋" w:hint="eastAsia"/>
          <w:color w:val="000000"/>
          <w:sz w:val="28"/>
        </w:rPr>
        <w:t>五</w:t>
      </w:r>
      <w:r>
        <w:rPr>
          <w:rFonts w:ascii="仿宋" w:eastAsia="仿宋" w:hAnsi="仿宋" w:hint="eastAsia"/>
          <w:color w:val="000000"/>
          <w:sz w:val="28"/>
        </w:rPr>
        <w:t>次会议</w:t>
      </w:r>
      <w:r w:rsidR="008A4DC3">
        <w:rPr>
          <w:rFonts w:ascii="仿宋" w:eastAsia="仿宋" w:hAnsi="仿宋" w:hint="eastAsia"/>
          <w:color w:val="000000"/>
          <w:sz w:val="28"/>
        </w:rPr>
        <w:t>和第三届监事会第十三次会议</w:t>
      </w:r>
      <w:r>
        <w:rPr>
          <w:rFonts w:ascii="仿宋" w:eastAsia="仿宋" w:hAnsi="仿宋" w:hint="eastAsia"/>
          <w:color w:val="000000"/>
          <w:sz w:val="28"/>
        </w:rPr>
        <w:t>，</w:t>
      </w:r>
      <w:r w:rsidR="008A4DC3">
        <w:rPr>
          <w:rFonts w:ascii="仿宋" w:eastAsia="仿宋" w:hAnsi="仿宋" w:hint="eastAsia"/>
          <w:color w:val="000000"/>
          <w:sz w:val="28"/>
        </w:rPr>
        <w:t>审议通过了《</w:t>
      </w:r>
      <w:r w:rsidR="008A4DC3" w:rsidRPr="00E91E60">
        <w:rPr>
          <w:rFonts w:ascii="仿宋" w:eastAsia="仿宋" w:hAnsi="仿宋" w:hint="eastAsia"/>
          <w:color w:val="000000"/>
          <w:sz w:val="28"/>
        </w:rPr>
        <w:t>关于&lt;广东天亿马信息产业股份有限公司2023年限制性股票激励计划（草案修订稿）&gt;及其摘要的议案</w:t>
      </w:r>
      <w:r w:rsidR="008A4DC3">
        <w:rPr>
          <w:rFonts w:ascii="仿宋" w:eastAsia="仿宋" w:hAnsi="仿宋" w:hint="eastAsia"/>
          <w:color w:val="000000"/>
          <w:sz w:val="28"/>
        </w:rPr>
        <w:t>》《</w:t>
      </w:r>
      <w:r w:rsidR="008A4DC3" w:rsidRPr="008A4DC3">
        <w:rPr>
          <w:rFonts w:ascii="仿宋" w:eastAsia="仿宋" w:hAnsi="仿宋" w:hint="eastAsia"/>
          <w:color w:val="000000"/>
          <w:sz w:val="28"/>
        </w:rPr>
        <w:t>关于&lt;广东天亿马信息产业股份有限公司2023年限制性股票激励计划实施考核管理办法（修订稿）&gt;的议案</w:t>
      </w:r>
      <w:r w:rsidR="008A4DC3">
        <w:rPr>
          <w:rFonts w:ascii="仿宋" w:eastAsia="仿宋" w:hAnsi="仿宋" w:hint="eastAsia"/>
          <w:color w:val="000000"/>
          <w:sz w:val="28"/>
        </w:rPr>
        <w:t>》</w:t>
      </w:r>
      <w:r w:rsidR="00E863E7">
        <w:rPr>
          <w:rFonts w:ascii="仿宋" w:eastAsia="仿宋" w:hAnsi="仿宋" w:hint="eastAsia"/>
          <w:color w:val="000000"/>
          <w:sz w:val="28"/>
        </w:rPr>
        <w:t>，同意</w:t>
      </w:r>
      <w:r w:rsidR="00617319">
        <w:rPr>
          <w:rFonts w:ascii="仿宋" w:eastAsia="仿宋" w:hAnsi="仿宋" w:hint="eastAsia"/>
          <w:color w:val="000000"/>
          <w:sz w:val="28"/>
        </w:rPr>
        <w:t>修订公司</w:t>
      </w:r>
      <w:r w:rsidR="00E863E7">
        <w:rPr>
          <w:rFonts w:ascii="仿宋" w:eastAsia="仿宋" w:hAnsi="仿宋" w:hint="eastAsia"/>
          <w:color w:val="000000"/>
          <w:sz w:val="28"/>
        </w:rPr>
        <w:t>2023年限制性股票激励计划（以下简称“本次激励计划”）。该事项尚需提交公司股东大会审议，现将有关情况说明如下：</w:t>
      </w:r>
    </w:p>
    <w:p w:rsidR="00E863E7" w:rsidRPr="001A1E8E" w:rsidRDefault="00E863E7" w:rsidP="006033E3">
      <w:pPr>
        <w:spacing w:line="360" w:lineRule="auto"/>
        <w:ind w:firstLineChars="200" w:firstLine="562"/>
        <w:jc w:val="left"/>
        <w:outlineLvl w:val="0"/>
        <w:rPr>
          <w:rFonts w:ascii="仿宋" w:eastAsia="仿宋" w:hAnsi="仿宋"/>
          <w:b/>
          <w:color w:val="000000"/>
          <w:sz w:val="28"/>
        </w:rPr>
      </w:pPr>
      <w:r w:rsidRPr="001A1E8E">
        <w:rPr>
          <w:rFonts w:ascii="仿宋" w:eastAsia="仿宋" w:hAnsi="仿宋" w:hint="eastAsia"/>
          <w:b/>
          <w:color w:val="000000"/>
          <w:sz w:val="28"/>
        </w:rPr>
        <w:t>一、</w:t>
      </w:r>
      <w:r w:rsidR="001A1E8E" w:rsidRPr="001A1E8E">
        <w:rPr>
          <w:rFonts w:ascii="仿宋" w:eastAsia="仿宋" w:hAnsi="仿宋" w:hint="eastAsia"/>
          <w:b/>
          <w:color w:val="000000"/>
          <w:sz w:val="28"/>
        </w:rPr>
        <w:t>股权激励计划已履行的相关审批程序</w:t>
      </w:r>
    </w:p>
    <w:p w:rsidR="0062372C" w:rsidRDefault="00063C99" w:rsidP="001A1E8E">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1A1E8E">
        <w:rPr>
          <w:rFonts w:ascii="仿宋" w:eastAsia="仿宋" w:hAnsi="仿宋" w:hint="eastAsia"/>
          <w:color w:val="000000"/>
          <w:sz w:val="28"/>
        </w:rPr>
        <w:t>2023年8月2日，公司召开第三届董事会第十四次会议，审议通过了《</w:t>
      </w:r>
      <w:r w:rsidR="001A1E8E" w:rsidRPr="001A1E8E">
        <w:rPr>
          <w:rFonts w:ascii="仿宋" w:eastAsia="仿宋" w:hAnsi="仿宋" w:hint="eastAsia"/>
          <w:color w:val="000000"/>
          <w:sz w:val="28"/>
        </w:rPr>
        <w:t>关于&lt;广东天亿马信息产业股份有限公司2023年限制性股票激励计划（草案）&gt;及其摘要的议案</w:t>
      </w:r>
      <w:r w:rsidR="001A1E8E">
        <w:rPr>
          <w:rFonts w:ascii="仿宋" w:eastAsia="仿宋" w:hAnsi="仿宋" w:hint="eastAsia"/>
          <w:color w:val="000000"/>
          <w:sz w:val="28"/>
        </w:rPr>
        <w:t>》</w:t>
      </w:r>
      <w:r w:rsidR="001A1E8E" w:rsidRPr="001A1E8E">
        <w:rPr>
          <w:rFonts w:ascii="仿宋" w:eastAsia="仿宋" w:hAnsi="仿宋" w:hint="eastAsia"/>
          <w:color w:val="000000"/>
          <w:sz w:val="28"/>
        </w:rPr>
        <w:t>《关于&lt;广东天亿马信息产业股份有限公司2023年限制性股票激励计划实施考核管理办法&gt;的议案》《关于提请股东大会授权董事会办理公司2023年限制性股票激励计划相关事宜的议案》</w:t>
      </w:r>
      <w:r w:rsidR="0031633C">
        <w:rPr>
          <w:rFonts w:ascii="仿宋" w:eastAsia="仿宋" w:hAnsi="仿宋" w:hint="eastAsia"/>
          <w:color w:val="000000"/>
          <w:sz w:val="28"/>
        </w:rPr>
        <w:t>，公司独立董事就本次激励计划发表了独立</w:t>
      </w:r>
      <w:r w:rsidR="0031633C">
        <w:rPr>
          <w:rFonts w:ascii="仿宋" w:eastAsia="仿宋" w:hAnsi="仿宋" w:hint="eastAsia"/>
          <w:color w:val="000000"/>
          <w:sz w:val="28"/>
        </w:rPr>
        <w:lastRenderedPageBreak/>
        <w:t>意见。</w:t>
      </w:r>
    </w:p>
    <w:p w:rsidR="0031633C" w:rsidRDefault="00063C99" w:rsidP="0031633C">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31633C">
        <w:rPr>
          <w:rFonts w:ascii="仿宋" w:eastAsia="仿宋" w:hAnsi="仿宋" w:hint="eastAsia"/>
          <w:color w:val="000000"/>
          <w:sz w:val="28"/>
        </w:rPr>
        <w:t>202</w:t>
      </w:r>
      <w:r w:rsidR="00964B05">
        <w:rPr>
          <w:rFonts w:ascii="仿宋" w:eastAsia="仿宋" w:hAnsi="仿宋" w:hint="eastAsia"/>
          <w:color w:val="000000"/>
          <w:sz w:val="28"/>
        </w:rPr>
        <w:t>3</w:t>
      </w:r>
      <w:r w:rsidR="0031633C">
        <w:rPr>
          <w:rFonts w:ascii="仿宋" w:eastAsia="仿宋" w:hAnsi="仿宋" w:hint="eastAsia"/>
          <w:color w:val="000000"/>
          <w:sz w:val="28"/>
        </w:rPr>
        <w:t>年8月2日，公司召开第三届监事会第十二次会议，审议通过了《</w:t>
      </w:r>
      <w:r w:rsidR="0031633C" w:rsidRPr="001A1E8E">
        <w:rPr>
          <w:rFonts w:ascii="仿宋" w:eastAsia="仿宋" w:hAnsi="仿宋" w:hint="eastAsia"/>
          <w:color w:val="000000"/>
          <w:sz w:val="28"/>
        </w:rPr>
        <w:t>关于&lt;广东天亿马信息产业股份有限公司2023年限制性股票激励计划（草案）&gt;及其摘要的议案</w:t>
      </w:r>
      <w:r w:rsidR="0031633C">
        <w:rPr>
          <w:rFonts w:ascii="仿宋" w:eastAsia="仿宋" w:hAnsi="仿宋" w:hint="eastAsia"/>
          <w:color w:val="000000"/>
          <w:sz w:val="28"/>
        </w:rPr>
        <w:t>》</w:t>
      </w:r>
      <w:r w:rsidR="0031633C" w:rsidRPr="001A1E8E">
        <w:rPr>
          <w:rFonts w:ascii="仿宋" w:eastAsia="仿宋" w:hAnsi="仿宋" w:hint="eastAsia"/>
          <w:color w:val="000000"/>
          <w:sz w:val="28"/>
        </w:rPr>
        <w:t>《关于&lt;广东天亿马信息产业股份有限公司2023年限制性股票激励计划实施考核管理办法&gt;的议案》</w:t>
      </w:r>
      <w:r w:rsidR="00EB2026">
        <w:rPr>
          <w:rFonts w:ascii="仿宋" w:eastAsia="仿宋" w:hAnsi="仿宋" w:hint="eastAsia"/>
          <w:color w:val="000000"/>
          <w:sz w:val="28"/>
        </w:rPr>
        <w:t>《</w:t>
      </w:r>
      <w:r w:rsidR="00EB2026" w:rsidRPr="00847555">
        <w:rPr>
          <w:rFonts w:ascii="仿宋" w:eastAsia="仿宋" w:hAnsi="仿宋" w:hint="eastAsia"/>
          <w:color w:val="000000"/>
          <w:sz w:val="28"/>
        </w:rPr>
        <w:t>关于核实&lt;</w:t>
      </w:r>
      <w:r w:rsidR="00EB2026">
        <w:rPr>
          <w:rFonts w:ascii="仿宋" w:eastAsia="仿宋" w:hAnsi="仿宋" w:hint="eastAsia"/>
          <w:color w:val="000000"/>
          <w:sz w:val="28"/>
        </w:rPr>
        <w:t>广</w:t>
      </w:r>
      <w:r w:rsidR="00EB2026" w:rsidRPr="00847555">
        <w:rPr>
          <w:rFonts w:ascii="仿宋" w:eastAsia="仿宋" w:hAnsi="仿宋" w:hint="eastAsia"/>
          <w:color w:val="000000"/>
          <w:sz w:val="28"/>
        </w:rPr>
        <w:t>东天亿马信息产业股份有限公司2023年限制性股票激励计划首次授予激励对象名单&gt;</w:t>
      </w:r>
      <w:r w:rsidR="00EB2026">
        <w:rPr>
          <w:rFonts w:ascii="仿宋" w:eastAsia="仿宋" w:hAnsi="仿宋" w:hint="eastAsia"/>
          <w:color w:val="000000"/>
          <w:sz w:val="28"/>
        </w:rPr>
        <w:t>的</w:t>
      </w:r>
      <w:r w:rsidR="00EB2026" w:rsidRPr="00847555">
        <w:rPr>
          <w:rFonts w:ascii="仿宋" w:eastAsia="仿宋" w:hAnsi="仿宋" w:hint="eastAsia"/>
          <w:color w:val="000000"/>
          <w:sz w:val="28"/>
        </w:rPr>
        <w:t>议案</w:t>
      </w:r>
      <w:r w:rsidR="00EB2026">
        <w:rPr>
          <w:rFonts w:ascii="仿宋" w:eastAsia="仿宋" w:hAnsi="仿宋" w:hint="eastAsia"/>
          <w:color w:val="000000"/>
          <w:sz w:val="28"/>
        </w:rPr>
        <w:t>》，公司监事会就本次激励计划的相关事项进行核实并出具了相关核查意见。</w:t>
      </w:r>
    </w:p>
    <w:p w:rsidR="00946F40" w:rsidRDefault="00063C99" w:rsidP="00946F40">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C6493F">
        <w:rPr>
          <w:rFonts w:ascii="仿宋" w:eastAsia="仿宋" w:hAnsi="仿宋" w:hint="eastAsia"/>
          <w:color w:val="000000"/>
          <w:sz w:val="28"/>
        </w:rPr>
        <w:t>2023年8月</w:t>
      </w:r>
      <w:r w:rsidR="00D7199A">
        <w:rPr>
          <w:rFonts w:ascii="仿宋" w:eastAsia="仿宋" w:hAnsi="仿宋" w:hint="eastAsia"/>
          <w:color w:val="000000"/>
          <w:sz w:val="28"/>
        </w:rPr>
        <w:t>8日至2023年8月17日，公司对2023年限制性股票激励计划授予激励对象名单在公司内部进行了公示。在公示期内，公司监事会未接到任何组织或个人提出的异议。公司监事会就公示情况出具了《监事会关于2023年限制性股票激励计划授予激励对象名单的公示情况说明及核查意见》。</w:t>
      </w:r>
    </w:p>
    <w:p w:rsidR="00B02CA8" w:rsidRDefault="001D6C0E" w:rsidP="00B02CA8">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4E599D">
        <w:rPr>
          <w:rFonts w:ascii="仿宋" w:eastAsia="仿宋" w:hAnsi="仿宋" w:hint="eastAsia"/>
          <w:color w:val="000000"/>
          <w:sz w:val="28"/>
        </w:rPr>
        <w:t>2023年8月18日，公司召开第三届董事会第十五次会议和第三届监事会第十三次会议，审议通过了《</w:t>
      </w:r>
      <w:r w:rsidR="004E599D" w:rsidRPr="00E91E60">
        <w:rPr>
          <w:rFonts w:ascii="仿宋" w:eastAsia="仿宋" w:hAnsi="仿宋" w:hint="eastAsia"/>
          <w:color w:val="000000"/>
          <w:sz w:val="28"/>
        </w:rPr>
        <w:t>关于&lt;广东天亿马信息产业股份有限公司2023年限制性股票激励计划（草案修订稿）&gt;及其摘要的议案</w:t>
      </w:r>
      <w:r w:rsidR="004E599D">
        <w:rPr>
          <w:rFonts w:ascii="仿宋" w:eastAsia="仿宋" w:hAnsi="仿宋" w:hint="eastAsia"/>
          <w:color w:val="000000"/>
          <w:sz w:val="28"/>
        </w:rPr>
        <w:t>》《</w:t>
      </w:r>
      <w:r w:rsidR="004E599D" w:rsidRPr="008A4DC3">
        <w:rPr>
          <w:rFonts w:ascii="仿宋" w:eastAsia="仿宋" w:hAnsi="仿宋" w:hint="eastAsia"/>
          <w:color w:val="000000"/>
          <w:sz w:val="28"/>
        </w:rPr>
        <w:t>关于&lt;广东天亿马信息产业股份有限公司2023年限制性股票激励计划实施考核管理办法（修订稿）&gt;的议案</w:t>
      </w:r>
      <w:r w:rsidR="004E599D">
        <w:rPr>
          <w:rFonts w:ascii="仿宋" w:eastAsia="仿宋" w:hAnsi="仿宋" w:hint="eastAsia"/>
          <w:color w:val="000000"/>
          <w:sz w:val="28"/>
        </w:rPr>
        <w:t>》，同意调整本次激励计划</w:t>
      </w:r>
      <w:r w:rsidR="00B02CA8">
        <w:rPr>
          <w:rFonts w:ascii="仿宋" w:eastAsia="仿宋" w:hAnsi="仿宋" w:hint="eastAsia"/>
          <w:color w:val="000000"/>
          <w:sz w:val="28"/>
        </w:rPr>
        <w:t>相关内容。独立董事发表了同意的独立意见，监事会发表了同意的核查意见，律师</w:t>
      </w:r>
      <w:r w:rsidR="00607423">
        <w:rPr>
          <w:rFonts w:ascii="仿宋" w:eastAsia="仿宋" w:hAnsi="仿宋" w:hint="eastAsia"/>
          <w:color w:val="000000"/>
          <w:sz w:val="28"/>
        </w:rPr>
        <w:t>事务所</w:t>
      </w:r>
      <w:r w:rsidR="00B02CA8">
        <w:rPr>
          <w:rFonts w:ascii="仿宋" w:eastAsia="仿宋" w:hAnsi="仿宋" w:hint="eastAsia"/>
          <w:color w:val="000000"/>
          <w:sz w:val="28"/>
        </w:rPr>
        <w:t>出具了相应的法律意见书。该事项尚需提交公司2023年第四次临时股东大会审议。</w:t>
      </w:r>
    </w:p>
    <w:p w:rsidR="00445F90" w:rsidRPr="00B02CA8" w:rsidRDefault="00445F90" w:rsidP="00B02CA8">
      <w:pPr>
        <w:spacing w:line="360" w:lineRule="auto"/>
        <w:ind w:firstLineChars="200" w:firstLine="560"/>
        <w:rPr>
          <w:rFonts w:ascii="仿宋" w:eastAsia="仿宋" w:hAnsi="仿宋"/>
          <w:color w:val="000000"/>
          <w:sz w:val="28"/>
        </w:rPr>
      </w:pPr>
    </w:p>
    <w:p w:rsidR="0005670B" w:rsidRDefault="0005670B" w:rsidP="006033E3">
      <w:pPr>
        <w:spacing w:line="360" w:lineRule="auto"/>
        <w:ind w:firstLineChars="200" w:firstLine="562"/>
        <w:jc w:val="left"/>
        <w:outlineLvl w:val="0"/>
        <w:rPr>
          <w:rFonts w:ascii="仿宋" w:eastAsia="仿宋" w:hAnsi="仿宋"/>
          <w:b/>
          <w:color w:val="000000"/>
          <w:sz w:val="28"/>
        </w:rPr>
      </w:pPr>
      <w:r w:rsidRPr="00F035D7">
        <w:rPr>
          <w:rFonts w:ascii="仿宋" w:eastAsia="仿宋" w:hAnsi="仿宋" w:hint="eastAsia"/>
          <w:b/>
          <w:color w:val="000000"/>
          <w:sz w:val="28"/>
        </w:rPr>
        <w:lastRenderedPageBreak/>
        <w:t>二、</w:t>
      </w:r>
      <w:r w:rsidR="00281DFE">
        <w:rPr>
          <w:rFonts w:ascii="仿宋" w:eastAsia="仿宋" w:hAnsi="仿宋" w:hint="eastAsia"/>
          <w:b/>
          <w:color w:val="000000"/>
          <w:sz w:val="28"/>
        </w:rPr>
        <w:t>本次激励计划草案及相关文件的修订说明</w:t>
      </w:r>
    </w:p>
    <w:p w:rsidR="008D6540" w:rsidRDefault="00B54E81" w:rsidP="00063C9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为</w:t>
      </w:r>
      <w:r w:rsidRPr="00B54E81">
        <w:rPr>
          <w:rFonts w:ascii="仿宋" w:eastAsia="仿宋" w:hAnsi="仿宋" w:hint="eastAsia"/>
          <w:color w:val="000000"/>
          <w:sz w:val="28"/>
        </w:rPr>
        <w:t>充分发挥</w:t>
      </w:r>
      <w:r>
        <w:rPr>
          <w:rFonts w:ascii="仿宋" w:eastAsia="仿宋" w:hAnsi="仿宋" w:hint="eastAsia"/>
          <w:color w:val="000000"/>
          <w:sz w:val="28"/>
        </w:rPr>
        <w:t>本次</w:t>
      </w:r>
      <w:r w:rsidRPr="00B54E81">
        <w:rPr>
          <w:rFonts w:ascii="仿宋" w:eastAsia="仿宋" w:hAnsi="仿宋" w:hint="eastAsia"/>
          <w:color w:val="000000"/>
          <w:sz w:val="28"/>
        </w:rPr>
        <w:t>激励计划的激励效用</w:t>
      </w:r>
      <w:r>
        <w:rPr>
          <w:rFonts w:ascii="仿宋" w:eastAsia="仿宋" w:hAnsi="仿宋" w:hint="eastAsia"/>
          <w:color w:val="000000"/>
          <w:sz w:val="28"/>
        </w:rPr>
        <w:t>，公司拟调整本次激励计划中公司层面业绩考核指标，对</w:t>
      </w:r>
      <w:r w:rsidR="009B63AF">
        <w:rPr>
          <w:rFonts w:ascii="仿宋" w:eastAsia="仿宋" w:hAnsi="仿宋" w:hint="eastAsia"/>
          <w:color w:val="000000"/>
          <w:sz w:val="28"/>
        </w:rPr>
        <w:t>《</w:t>
      </w:r>
      <w:r w:rsidR="009B63AF" w:rsidRPr="00814E05">
        <w:rPr>
          <w:rFonts w:ascii="仿宋" w:eastAsia="仿宋" w:hAnsi="仿宋" w:hint="eastAsia"/>
          <w:color w:val="000000"/>
          <w:sz w:val="28"/>
        </w:rPr>
        <w:t>广东天亿马信息产业股份有限公司2023年限制性股票激励计划（草案）</w:t>
      </w:r>
      <w:r w:rsidR="009B63AF">
        <w:rPr>
          <w:rFonts w:ascii="仿宋" w:eastAsia="仿宋" w:hAnsi="仿宋" w:hint="eastAsia"/>
          <w:color w:val="000000"/>
          <w:sz w:val="28"/>
        </w:rPr>
        <w:t>》</w:t>
      </w:r>
      <w:r w:rsidR="00A00284">
        <w:rPr>
          <w:rFonts w:ascii="仿宋" w:eastAsia="仿宋" w:hAnsi="仿宋" w:hint="eastAsia"/>
          <w:color w:val="000000"/>
          <w:sz w:val="28"/>
        </w:rPr>
        <w:t>中“特别提示”</w:t>
      </w:r>
      <w:r w:rsidR="009B63AF">
        <w:rPr>
          <w:rFonts w:ascii="仿宋" w:eastAsia="仿宋" w:hAnsi="仿宋" w:hint="eastAsia"/>
          <w:color w:val="000000"/>
          <w:sz w:val="28"/>
        </w:rPr>
        <w:t>及</w:t>
      </w:r>
      <w:r w:rsidR="00A00284">
        <w:rPr>
          <w:rFonts w:ascii="仿宋" w:eastAsia="仿宋" w:hAnsi="仿宋" w:hint="eastAsia"/>
          <w:color w:val="000000"/>
          <w:sz w:val="28"/>
        </w:rPr>
        <w:t>“第五章 本激励计划具体内容”中</w:t>
      </w:r>
      <w:r w:rsidR="00A00284" w:rsidRPr="00A00284">
        <w:rPr>
          <w:rFonts w:ascii="仿宋" w:eastAsia="仿宋" w:hAnsi="仿宋" w:hint="eastAsia"/>
          <w:color w:val="000000"/>
          <w:sz w:val="28"/>
        </w:rPr>
        <w:t>公司层面业绩考核目标</w:t>
      </w:r>
      <w:r w:rsidR="008E2418">
        <w:rPr>
          <w:rFonts w:ascii="仿宋" w:eastAsia="仿宋" w:hAnsi="仿宋" w:hint="eastAsia"/>
          <w:color w:val="000000"/>
          <w:sz w:val="28"/>
        </w:rPr>
        <w:t>进行修订，</w:t>
      </w:r>
      <w:r w:rsidR="009B63AF" w:rsidRPr="009B63AF">
        <w:rPr>
          <w:rFonts w:ascii="仿宋" w:eastAsia="仿宋" w:hAnsi="仿宋" w:hint="eastAsia"/>
          <w:color w:val="000000"/>
          <w:sz w:val="28"/>
        </w:rPr>
        <w:t>并同步更新对应的业绩考核指标设定科学性、合理性说明；</w:t>
      </w:r>
      <w:r w:rsidR="009B63AF">
        <w:rPr>
          <w:rFonts w:ascii="仿宋" w:eastAsia="仿宋" w:hAnsi="仿宋" w:hint="eastAsia"/>
          <w:color w:val="000000"/>
          <w:sz w:val="28"/>
        </w:rPr>
        <w:t>同时</w:t>
      </w:r>
      <w:r w:rsidR="008E2418">
        <w:rPr>
          <w:rFonts w:ascii="仿宋" w:eastAsia="仿宋" w:hAnsi="仿宋" w:hint="eastAsia"/>
          <w:color w:val="000000"/>
          <w:sz w:val="28"/>
        </w:rPr>
        <w:t>对《广东天亿马信息产业股份有限公司2023年限制性股票激励计划（草案）摘要》《广东天亿马信息产业股份有限公司2023年限制性股票激励计划实施考核管理办法》中涉及的相关内容进行</w:t>
      </w:r>
      <w:r w:rsidR="009B63AF">
        <w:rPr>
          <w:rFonts w:ascii="仿宋" w:eastAsia="仿宋" w:hAnsi="仿宋" w:hint="eastAsia"/>
          <w:color w:val="000000"/>
          <w:sz w:val="28"/>
        </w:rPr>
        <w:t>同步</w:t>
      </w:r>
      <w:r w:rsidR="008E2418">
        <w:rPr>
          <w:rFonts w:ascii="仿宋" w:eastAsia="仿宋" w:hAnsi="仿宋" w:hint="eastAsia"/>
          <w:color w:val="000000"/>
          <w:sz w:val="28"/>
        </w:rPr>
        <w:t>修订</w:t>
      </w:r>
      <w:r w:rsidR="009B63AF">
        <w:rPr>
          <w:rFonts w:ascii="仿宋" w:eastAsia="仿宋" w:hAnsi="仿宋" w:hint="eastAsia"/>
          <w:color w:val="000000"/>
          <w:sz w:val="28"/>
        </w:rPr>
        <w:t>；</w:t>
      </w:r>
      <w:r w:rsidR="009B63AF" w:rsidRPr="00E21CF4">
        <w:rPr>
          <w:rFonts w:ascii="仿宋" w:eastAsia="仿宋" w:hAnsi="仿宋" w:hint="eastAsia"/>
          <w:color w:val="000000"/>
          <w:sz w:val="28"/>
        </w:rPr>
        <w:t>并</w:t>
      </w:r>
      <w:r w:rsidR="009B63AF">
        <w:rPr>
          <w:rFonts w:ascii="仿宋" w:eastAsia="仿宋" w:hAnsi="仿宋" w:hint="eastAsia"/>
          <w:color w:val="000000"/>
          <w:sz w:val="28"/>
        </w:rPr>
        <w:t>根据修订后的草案内容制定《广东天亿马信息产业股份有限公司2023年限制性股票激励计划实施考核管理办法（修订稿）》。</w:t>
      </w:r>
      <w:r w:rsidR="008E2418">
        <w:rPr>
          <w:rFonts w:ascii="仿宋" w:eastAsia="仿宋" w:hAnsi="仿宋" w:hint="eastAsia"/>
          <w:color w:val="000000"/>
          <w:sz w:val="28"/>
        </w:rPr>
        <w:t>具体如下：</w:t>
      </w:r>
    </w:p>
    <w:p w:rsidR="000E164F" w:rsidRPr="0032574F" w:rsidRDefault="000E164F" w:rsidP="000E164F">
      <w:pPr>
        <w:spacing w:beforeLines="50" w:before="156" w:line="360" w:lineRule="auto"/>
        <w:ind w:firstLineChars="200" w:firstLine="482"/>
        <w:rPr>
          <w:rFonts w:ascii="仿宋" w:eastAsia="仿宋" w:hAnsi="仿宋"/>
          <w:b/>
          <w:color w:val="000000"/>
          <w:sz w:val="24"/>
        </w:rPr>
      </w:pPr>
      <w:r w:rsidRPr="0032574F">
        <w:rPr>
          <w:rFonts w:ascii="仿宋" w:eastAsia="仿宋" w:hAnsi="仿宋" w:hint="eastAsia"/>
          <w:b/>
          <w:color w:val="000000"/>
          <w:sz w:val="24"/>
        </w:rPr>
        <w:t>修订前：</w:t>
      </w:r>
    </w:p>
    <w:p w:rsidR="000E164F" w:rsidRPr="003E3DEB" w:rsidRDefault="000E164F" w:rsidP="000E164F">
      <w:pPr>
        <w:snapToGrid w:val="0"/>
        <w:spacing w:beforeLines="50" w:before="156" w:line="360" w:lineRule="auto"/>
        <w:ind w:firstLineChars="200" w:firstLine="480"/>
        <w:rPr>
          <w:rFonts w:ascii="仿宋" w:eastAsia="仿宋" w:hAnsi="仿宋"/>
          <w:sz w:val="24"/>
        </w:rPr>
      </w:pPr>
      <w:r w:rsidRPr="003E3DEB">
        <w:rPr>
          <w:rFonts w:ascii="仿宋" w:eastAsia="仿宋" w:hAnsi="仿宋" w:hint="eastAsia"/>
          <w:sz w:val="24"/>
        </w:rPr>
        <w:t>1.</w:t>
      </w:r>
      <w:r w:rsidRPr="003E3DEB">
        <w:rPr>
          <w:rFonts w:ascii="仿宋" w:eastAsia="仿宋" w:hAnsi="仿宋"/>
          <w:sz w:val="24"/>
        </w:rPr>
        <w:t>授予第一类限制性股票的激励对象对应的公司层面业绩考核目标如下表所示：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6236"/>
      </w:tblGrid>
      <w:tr w:rsidR="000E164F" w:rsidRPr="003E3DEB" w:rsidTr="000036C8">
        <w:trPr>
          <w:trHeight w:val="397"/>
        </w:trPr>
        <w:tc>
          <w:tcPr>
            <w:tcW w:w="2128"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解除限售期</w:t>
            </w:r>
          </w:p>
        </w:tc>
        <w:tc>
          <w:tcPr>
            <w:tcW w:w="6236"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以2022年净利润为基数，2023年净利润增长率不低于10%</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第四个解除限售期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以2023年净利润为基数，2026年净利润增长率不低于30%</w:t>
            </w:r>
          </w:p>
        </w:tc>
      </w:tr>
    </w:tbl>
    <w:p w:rsidR="000E164F" w:rsidRPr="003E3DEB" w:rsidRDefault="000E164F" w:rsidP="000E164F">
      <w:pPr>
        <w:snapToGrid w:val="0"/>
        <w:ind w:firstLineChars="200" w:firstLine="420"/>
        <w:rPr>
          <w:rFonts w:ascii="仿宋" w:eastAsia="仿宋" w:hAnsi="仿宋"/>
          <w:sz w:val="24"/>
        </w:rPr>
      </w:pPr>
      <w:r w:rsidRPr="003E3DEB">
        <w:rPr>
          <w:rFonts w:ascii="仿宋" w:eastAsia="仿宋" w:hAnsi="仿宋"/>
        </w:rPr>
        <w:t>注：</w:t>
      </w:r>
      <w:bookmarkStart w:id="0" w:name="_Hlk498698363"/>
      <w:r w:rsidRPr="003E3DEB">
        <w:rPr>
          <w:rFonts w:ascii="仿宋" w:eastAsia="仿宋" w:hAnsi="仿宋"/>
        </w:rPr>
        <w:t>上述“净利润”指经审计的扣除非经常性损益后归属于上市公司股东的净利润，</w:t>
      </w:r>
      <w:bookmarkEnd w:id="0"/>
      <w:r w:rsidRPr="003E3DEB">
        <w:rPr>
          <w:rFonts w:ascii="仿宋" w:eastAsia="仿宋" w:hAnsi="仿宋"/>
        </w:rPr>
        <w:t>但剔除本次及其它员工激励计划的股份支付费用影响的数值作为计算依据，下同</w:t>
      </w:r>
      <w:r w:rsidRPr="003E3DEB">
        <w:rPr>
          <w:rFonts w:ascii="仿宋" w:eastAsia="仿宋" w:hAnsi="仿宋"/>
          <w:szCs w:val="21"/>
        </w:rPr>
        <w:t>。</w:t>
      </w:r>
    </w:p>
    <w:p w:rsidR="000E164F" w:rsidRPr="003E3DEB" w:rsidRDefault="000E164F" w:rsidP="000E164F">
      <w:pPr>
        <w:spacing w:beforeLines="50" w:before="156" w:afterLines="50" w:after="156" w:line="360" w:lineRule="auto"/>
        <w:ind w:firstLineChars="200" w:firstLine="480"/>
        <w:rPr>
          <w:rFonts w:ascii="仿宋" w:eastAsia="仿宋" w:hAnsi="仿宋"/>
          <w:sz w:val="24"/>
        </w:rPr>
      </w:pPr>
      <w:r w:rsidRPr="003E3DEB">
        <w:rPr>
          <w:rFonts w:ascii="仿宋" w:eastAsia="仿宋" w:hAnsi="仿宋"/>
          <w:sz w:val="24"/>
        </w:rPr>
        <w:t>首次授予第二类限制性股票的第一类激励对象对应的公司层面业绩考核目标如下表所示：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6236"/>
      </w:tblGrid>
      <w:tr w:rsidR="000E164F" w:rsidRPr="003E3DEB" w:rsidTr="000036C8">
        <w:trPr>
          <w:trHeight w:val="397"/>
        </w:trPr>
        <w:tc>
          <w:tcPr>
            <w:tcW w:w="2128"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归属期</w:t>
            </w:r>
          </w:p>
        </w:tc>
        <w:tc>
          <w:tcPr>
            <w:tcW w:w="6236"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以2022年净利润为基数，2023年净利润增长率不低于10%</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第四个归属期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以2023年净利润为基数，2026年净利润增长率不低于30%</w:t>
            </w:r>
          </w:p>
        </w:tc>
      </w:tr>
    </w:tbl>
    <w:p w:rsidR="000E164F" w:rsidRPr="003E3DEB" w:rsidRDefault="000E164F" w:rsidP="000E164F">
      <w:pPr>
        <w:spacing w:beforeLines="50" w:before="156" w:afterLines="50" w:after="156" w:line="360" w:lineRule="auto"/>
        <w:ind w:firstLineChars="200" w:firstLine="480"/>
        <w:rPr>
          <w:rFonts w:ascii="仿宋" w:eastAsia="仿宋" w:hAnsi="仿宋"/>
          <w:sz w:val="24"/>
        </w:rPr>
      </w:pPr>
      <w:r w:rsidRPr="003E3DEB">
        <w:rPr>
          <w:rFonts w:ascii="仿宋" w:eastAsia="仿宋" w:hAnsi="仿宋"/>
          <w:sz w:val="24"/>
        </w:rPr>
        <w:lastRenderedPageBreak/>
        <w:t>首次授予第二类限制性股票的第二类激励对象对应的公司层面业绩考核目标如下表所示：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6236"/>
      </w:tblGrid>
      <w:tr w:rsidR="000E164F" w:rsidRPr="003E3DEB" w:rsidTr="000036C8">
        <w:trPr>
          <w:trHeight w:val="397"/>
        </w:trPr>
        <w:tc>
          <w:tcPr>
            <w:tcW w:w="2128"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归属期</w:t>
            </w:r>
          </w:p>
        </w:tc>
        <w:tc>
          <w:tcPr>
            <w:tcW w:w="6236"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以2022年净利润为基数，2023年净利润增长率不低于10%</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p>
        </w:tc>
      </w:tr>
    </w:tbl>
    <w:p w:rsidR="000E164F" w:rsidRPr="003E3DEB" w:rsidRDefault="000E164F" w:rsidP="000E164F">
      <w:pPr>
        <w:snapToGrid w:val="0"/>
        <w:spacing w:beforeLines="50" w:before="156" w:line="360" w:lineRule="auto"/>
        <w:ind w:firstLineChars="200" w:firstLine="480"/>
        <w:rPr>
          <w:rFonts w:ascii="仿宋" w:eastAsia="仿宋" w:hAnsi="仿宋"/>
          <w:sz w:val="24"/>
        </w:rPr>
      </w:pPr>
      <w:r w:rsidRPr="003E3DEB">
        <w:rPr>
          <w:rFonts w:ascii="仿宋" w:eastAsia="仿宋" w:hAnsi="仿宋"/>
          <w:sz w:val="24"/>
        </w:rPr>
        <w:t>预留授予的第二类限制性股票对应的公司层面业绩考核目标如下表所示：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37"/>
      </w:tblGrid>
      <w:tr w:rsidR="000E164F" w:rsidRPr="003E3DEB" w:rsidTr="000036C8">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归属期</w:t>
            </w:r>
          </w:p>
        </w:tc>
        <w:tc>
          <w:tcPr>
            <w:tcW w:w="6237"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45"/>
        </w:trPr>
        <w:tc>
          <w:tcPr>
            <w:tcW w:w="212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第一个归属期</w:t>
            </w:r>
          </w:p>
        </w:tc>
        <w:tc>
          <w:tcPr>
            <w:tcW w:w="623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p>
        </w:tc>
      </w:tr>
      <w:tr w:rsidR="000E164F" w:rsidRPr="003E3DEB" w:rsidTr="000036C8">
        <w:trPr>
          <w:trHeight w:val="45"/>
        </w:trPr>
        <w:tc>
          <w:tcPr>
            <w:tcW w:w="212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第二个归属期</w:t>
            </w:r>
          </w:p>
        </w:tc>
        <w:tc>
          <w:tcPr>
            <w:tcW w:w="623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p>
        </w:tc>
      </w:tr>
      <w:tr w:rsidR="000E164F" w:rsidRPr="003E3DEB" w:rsidTr="000036C8">
        <w:trPr>
          <w:trHeight w:val="45"/>
        </w:trPr>
        <w:tc>
          <w:tcPr>
            <w:tcW w:w="212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第三个归属期</w:t>
            </w:r>
          </w:p>
        </w:tc>
        <w:tc>
          <w:tcPr>
            <w:tcW w:w="623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以2023年净利润为基数，2026年净利润增长率不低于30%</w:t>
            </w:r>
          </w:p>
        </w:tc>
      </w:tr>
    </w:tbl>
    <w:p w:rsidR="000E164F" w:rsidRPr="0032574F" w:rsidRDefault="000E164F" w:rsidP="000E164F">
      <w:pPr>
        <w:spacing w:beforeLines="50" w:before="156" w:line="360" w:lineRule="auto"/>
        <w:ind w:firstLineChars="200" w:firstLine="482"/>
        <w:rPr>
          <w:rFonts w:ascii="仿宋" w:eastAsia="仿宋" w:hAnsi="仿宋"/>
          <w:b/>
          <w:color w:val="000000"/>
          <w:sz w:val="24"/>
        </w:rPr>
      </w:pPr>
      <w:r w:rsidRPr="0032574F">
        <w:rPr>
          <w:rFonts w:ascii="仿宋" w:eastAsia="仿宋" w:hAnsi="仿宋" w:hint="eastAsia"/>
          <w:b/>
          <w:color w:val="000000"/>
          <w:sz w:val="24"/>
        </w:rPr>
        <w:t>修订后：</w:t>
      </w:r>
    </w:p>
    <w:p w:rsidR="000E164F" w:rsidRPr="003E3DEB" w:rsidRDefault="000E164F" w:rsidP="000E164F">
      <w:pPr>
        <w:snapToGrid w:val="0"/>
        <w:spacing w:beforeLines="50" w:before="156" w:line="360" w:lineRule="auto"/>
        <w:ind w:firstLineChars="200" w:firstLine="480"/>
        <w:rPr>
          <w:rFonts w:ascii="仿宋" w:eastAsia="仿宋" w:hAnsi="仿宋"/>
          <w:sz w:val="24"/>
        </w:rPr>
      </w:pPr>
      <w:r w:rsidRPr="003E3DEB">
        <w:rPr>
          <w:rFonts w:ascii="仿宋" w:eastAsia="仿宋" w:hAnsi="仿宋" w:hint="eastAsia"/>
          <w:sz w:val="24"/>
        </w:rPr>
        <w:t>1.</w:t>
      </w:r>
      <w:r w:rsidRPr="003E3DEB">
        <w:rPr>
          <w:rFonts w:ascii="仿宋" w:eastAsia="仿宋" w:hAnsi="仿宋"/>
          <w:sz w:val="24"/>
        </w:rPr>
        <w:t>授予第一类限制性股票的激励对象对应的公司层面业绩考核目标如下表所示：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6236"/>
      </w:tblGrid>
      <w:tr w:rsidR="000E164F" w:rsidRPr="003E3DEB" w:rsidTr="000036C8">
        <w:trPr>
          <w:trHeight w:val="397"/>
          <w:tblHeader/>
        </w:trPr>
        <w:tc>
          <w:tcPr>
            <w:tcW w:w="2128"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解除限售期</w:t>
            </w:r>
          </w:p>
        </w:tc>
        <w:tc>
          <w:tcPr>
            <w:tcW w:w="6236"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以2022年净利润为基数，2023年净利润增长率不低于10%</w:t>
            </w:r>
            <w:r w:rsidRPr="00B4730E">
              <w:rPr>
                <w:rFonts w:ascii="楷体" w:eastAsia="楷体" w:hAnsi="楷体" w:hint="eastAsia"/>
                <w:b/>
                <w:szCs w:val="21"/>
              </w:rPr>
              <w:t>；</w:t>
            </w:r>
            <w:r w:rsidRPr="00F163E5">
              <w:rPr>
                <w:rFonts w:ascii="楷体" w:eastAsia="楷体" w:hAnsi="楷体" w:hint="eastAsia"/>
                <w:b/>
                <w:szCs w:val="21"/>
              </w:rPr>
              <w:t>且以2022年营业收入为基数，2023年营业收入增长率不低于7%。</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r w:rsidRPr="00B4730E">
              <w:rPr>
                <w:rFonts w:ascii="楷体" w:eastAsia="楷体" w:hAnsi="楷体" w:hint="eastAsia"/>
                <w:b/>
                <w:szCs w:val="21"/>
              </w:rPr>
              <w:t>；且以</w:t>
            </w:r>
            <w:r w:rsidRPr="00B4730E">
              <w:rPr>
                <w:rFonts w:ascii="楷体" w:eastAsia="楷体" w:hAnsi="楷体"/>
                <w:b/>
                <w:szCs w:val="21"/>
              </w:rPr>
              <w:t>2023</w:t>
            </w:r>
            <w:r w:rsidRPr="00B4730E">
              <w:rPr>
                <w:rFonts w:ascii="楷体" w:eastAsia="楷体" w:hAnsi="楷体" w:hint="eastAsia"/>
                <w:b/>
                <w:szCs w:val="21"/>
              </w:rPr>
              <w:t>年营业收入为基数，</w:t>
            </w:r>
            <w:r w:rsidRPr="00B4730E">
              <w:rPr>
                <w:rFonts w:ascii="楷体" w:eastAsia="楷体" w:hAnsi="楷体"/>
                <w:b/>
                <w:szCs w:val="21"/>
              </w:rPr>
              <w:t>2024</w:t>
            </w:r>
            <w:r w:rsidRPr="00B4730E">
              <w:rPr>
                <w:rFonts w:ascii="楷体" w:eastAsia="楷体" w:hAnsi="楷体" w:hint="eastAsia"/>
                <w:b/>
                <w:szCs w:val="21"/>
              </w:rPr>
              <w:t>年营业收入增长率不低于7</w:t>
            </w:r>
            <w:r w:rsidRPr="00B4730E">
              <w:rPr>
                <w:rFonts w:ascii="楷体" w:eastAsia="楷体" w:hAnsi="楷体"/>
                <w:b/>
                <w:szCs w:val="21"/>
              </w:rPr>
              <w:t xml:space="preserve">% </w:t>
            </w:r>
            <w:r w:rsidRPr="00B4730E">
              <w:rPr>
                <w:rFonts w:ascii="楷体" w:eastAsia="楷体" w:hAnsi="楷体" w:hint="eastAsia"/>
                <w:b/>
                <w:szCs w:val="21"/>
              </w:rPr>
              <w:t>。</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2025</w:t>
            </w:r>
            <w:r w:rsidRPr="00380961">
              <w:rPr>
                <w:rFonts w:ascii="楷体" w:eastAsia="楷体" w:hAnsi="楷体" w:hint="eastAsia"/>
                <w:b/>
                <w:szCs w:val="21"/>
              </w:rPr>
              <w:t>年营业收入增长率不低于</w:t>
            </w:r>
            <w:r w:rsidRPr="00380961">
              <w:rPr>
                <w:rFonts w:ascii="楷体" w:eastAsia="楷体" w:hAnsi="楷体"/>
                <w:b/>
                <w:szCs w:val="21"/>
              </w:rPr>
              <w:t>12%</w:t>
            </w:r>
            <w:r w:rsidRPr="00380961">
              <w:rPr>
                <w:rFonts w:ascii="楷体" w:eastAsia="楷体" w:hAnsi="楷体" w:hint="eastAsia"/>
                <w:b/>
                <w:szCs w:val="21"/>
              </w:rPr>
              <w:t>。</w:t>
            </w:r>
          </w:p>
        </w:tc>
      </w:tr>
      <w:tr w:rsidR="000E164F" w:rsidRPr="003E3DEB" w:rsidTr="000036C8">
        <w:trPr>
          <w:trHeight w:val="113"/>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第四个解除限售期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以2023年净利润为基数，2026年净利润增长率不低于30%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2026</w:t>
            </w:r>
            <w:r w:rsidRPr="00380961">
              <w:rPr>
                <w:rFonts w:ascii="楷体" w:eastAsia="楷体" w:hAnsi="楷体" w:hint="eastAsia"/>
                <w:b/>
                <w:szCs w:val="21"/>
              </w:rPr>
              <w:t>年营业收入增长率不低于</w:t>
            </w:r>
            <w:r w:rsidRPr="00380961">
              <w:rPr>
                <w:rFonts w:ascii="楷体" w:eastAsia="楷体" w:hAnsi="楷体"/>
                <w:b/>
                <w:szCs w:val="21"/>
              </w:rPr>
              <w:t>18%</w:t>
            </w:r>
            <w:r w:rsidRPr="00380961">
              <w:rPr>
                <w:rFonts w:ascii="楷体" w:eastAsia="楷体" w:hAnsi="楷体" w:hint="eastAsia"/>
                <w:b/>
                <w:szCs w:val="21"/>
              </w:rPr>
              <w:t>。</w:t>
            </w:r>
          </w:p>
        </w:tc>
      </w:tr>
    </w:tbl>
    <w:p w:rsidR="006807D7" w:rsidRDefault="000E164F" w:rsidP="006807D7">
      <w:pPr>
        <w:snapToGrid w:val="0"/>
        <w:ind w:firstLineChars="200" w:firstLine="420"/>
        <w:rPr>
          <w:rFonts w:ascii="仿宋" w:eastAsia="仿宋" w:hAnsi="仿宋" w:hint="eastAsia"/>
          <w:szCs w:val="21"/>
        </w:rPr>
      </w:pPr>
      <w:r w:rsidRPr="003E3DEB">
        <w:rPr>
          <w:rFonts w:ascii="仿宋" w:eastAsia="仿宋" w:hAnsi="仿宋"/>
        </w:rPr>
        <w:t>注：上述“净利润”指经审计的扣除非经常性损益后归属于上市公司股东的净利润，但剔除本次及其它员工激励计划的股份支付费用影响的数值作为计算依据</w:t>
      </w:r>
      <w:r w:rsidR="006807D7" w:rsidRPr="00FD087A">
        <w:rPr>
          <w:rFonts w:ascii="仿宋" w:eastAsia="仿宋" w:hAnsi="仿宋" w:hint="eastAsia"/>
          <w:b/>
          <w:bCs/>
        </w:rPr>
        <w:t>；上述</w:t>
      </w:r>
      <w:r w:rsidR="006807D7" w:rsidRPr="00FD087A">
        <w:rPr>
          <w:rFonts w:ascii="宋体" w:hAnsi="宋体" w:hint="eastAsia"/>
          <w:b/>
          <w:bCs/>
        </w:rPr>
        <w:t>“</w:t>
      </w:r>
      <w:r w:rsidR="006807D7" w:rsidRPr="00FD087A">
        <w:rPr>
          <w:rFonts w:ascii="仿宋" w:eastAsia="仿宋" w:hAnsi="仿宋" w:hint="eastAsia"/>
          <w:b/>
          <w:bCs/>
        </w:rPr>
        <w:t>营业收入</w:t>
      </w:r>
      <w:r w:rsidR="006807D7" w:rsidRPr="00FD087A">
        <w:rPr>
          <w:rFonts w:ascii="宋体" w:hAnsi="宋体" w:hint="eastAsia"/>
          <w:b/>
          <w:bCs/>
        </w:rPr>
        <w:t>”</w:t>
      </w:r>
      <w:r w:rsidR="006807D7" w:rsidRPr="00FD087A">
        <w:rPr>
          <w:rFonts w:ascii="仿宋" w:eastAsia="仿宋" w:hAnsi="仿宋" w:hint="eastAsia"/>
          <w:b/>
          <w:bCs/>
        </w:rPr>
        <w:t>指经审计的上市公司营业收入，</w:t>
      </w:r>
      <w:r w:rsidR="006807D7" w:rsidRPr="003E3DEB">
        <w:rPr>
          <w:rFonts w:ascii="仿宋" w:eastAsia="仿宋" w:hAnsi="仿宋"/>
        </w:rPr>
        <w:t>下同</w:t>
      </w:r>
      <w:r w:rsidR="006807D7" w:rsidRPr="003E3DEB">
        <w:rPr>
          <w:rFonts w:ascii="仿宋" w:eastAsia="仿宋" w:hAnsi="仿宋"/>
          <w:szCs w:val="21"/>
        </w:rPr>
        <w:t>。</w:t>
      </w:r>
    </w:p>
    <w:p w:rsidR="00131C14" w:rsidRPr="003E3DEB" w:rsidRDefault="00131C14" w:rsidP="00131C14">
      <w:pPr>
        <w:snapToGrid w:val="0"/>
        <w:ind w:firstLineChars="200" w:firstLine="480"/>
        <w:rPr>
          <w:rFonts w:ascii="仿宋" w:eastAsia="仿宋" w:hAnsi="仿宋"/>
          <w:sz w:val="24"/>
        </w:rPr>
      </w:pPr>
    </w:p>
    <w:p w:rsidR="000E164F" w:rsidRPr="003E3DEB" w:rsidRDefault="000E164F" w:rsidP="006807D7">
      <w:pPr>
        <w:snapToGrid w:val="0"/>
        <w:ind w:firstLineChars="200" w:firstLine="480"/>
        <w:rPr>
          <w:rFonts w:ascii="仿宋" w:eastAsia="仿宋" w:hAnsi="仿宋"/>
          <w:sz w:val="24"/>
        </w:rPr>
      </w:pPr>
      <w:r w:rsidRPr="003E3DEB">
        <w:rPr>
          <w:rFonts w:ascii="仿宋" w:eastAsia="仿宋" w:hAnsi="仿宋"/>
          <w:sz w:val="24"/>
        </w:rPr>
        <w:t>首次授予第二类限制性股票的第一类激励对象对应的公司层面业绩考核目标如下表所示：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6236"/>
      </w:tblGrid>
      <w:tr w:rsidR="000E164F" w:rsidRPr="003E3DEB" w:rsidTr="000036C8">
        <w:trPr>
          <w:trHeight w:val="397"/>
        </w:trPr>
        <w:tc>
          <w:tcPr>
            <w:tcW w:w="2128"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归属期</w:t>
            </w:r>
          </w:p>
        </w:tc>
        <w:tc>
          <w:tcPr>
            <w:tcW w:w="6236"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以2022年净利润为基数，2023年净利润增长率不低于10%</w:t>
            </w:r>
            <w:r w:rsidRPr="00B4730E">
              <w:rPr>
                <w:rFonts w:ascii="楷体" w:eastAsia="楷体" w:hAnsi="楷体" w:hint="eastAsia"/>
                <w:b/>
                <w:szCs w:val="21"/>
              </w:rPr>
              <w:t>；</w:t>
            </w:r>
            <w:r w:rsidRPr="00F163E5">
              <w:rPr>
                <w:rFonts w:ascii="楷体" w:eastAsia="楷体" w:hAnsi="楷体" w:hint="eastAsia"/>
                <w:b/>
                <w:szCs w:val="21"/>
              </w:rPr>
              <w:t>且以2022年营业收入为基数，2023年营业收入增长率不低于7%。</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r w:rsidRPr="00B4730E">
              <w:rPr>
                <w:rFonts w:ascii="楷体" w:eastAsia="楷体" w:hAnsi="楷体" w:hint="eastAsia"/>
                <w:b/>
                <w:szCs w:val="21"/>
              </w:rPr>
              <w:t>；且以</w:t>
            </w:r>
            <w:r w:rsidRPr="00B4730E">
              <w:rPr>
                <w:rFonts w:ascii="楷体" w:eastAsia="楷体" w:hAnsi="楷体"/>
                <w:b/>
                <w:szCs w:val="21"/>
              </w:rPr>
              <w:t>2023</w:t>
            </w:r>
            <w:r w:rsidRPr="00B4730E">
              <w:rPr>
                <w:rFonts w:ascii="楷体" w:eastAsia="楷体" w:hAnsi="楷体" w:hint="eastAsia"/>
                <w:b/>
                <w:szCs w:val="21"/>
              </w:rPr>
              <w:t>年营业收入为基数，</w:t>
            </w:r>
            <w:r w:rsidRPr="00B4730E">
              <w:rPr>
                <w:rFonts w:ascii="楷体" w:eastAsia="楷体" w:hAnsi="楷体"/>
                <w:b/>
                <w:szCs w:val="21"/>
              </w:rPr>
              <w:t>2024</w:t>
            </w:r>
            <w:r w:rsidRPr="00B4730E">
              <w:rPr>
                <w:rFonts w:ascii="楷体" w:eastAsia="楷体" w:hAnsi="楷体" w:hint="eastAsia"/>
                <w:b/>
                <w:szCs w:val="21"/>
              </w:rPr>
              <w:t>年营业收入增长率不低于7</w:t>
            </w:r>
            <w:r w:rsidRPr="00B4730E">
              <w:rPr>
                <w:rFonts w:ascii="楷体" w:eastAsia="楷体" w:hAnsi="楷体"/>
                <w:b/>
                <w:szCs w:val="21"/>
              </w:rPr>
              <w:t xml:space="preserve">% </w:t>
            </w:r>
            <w:r w:rsidRPr="00B4730E">
              <w:rPr>
                <w:rFonts w:ascii="楷体" w:eastAsia="楷体" w:hAnsi="楷体" w:hint="eastAsia"/>
                <w:b/>
                <w:szCs w:val="21"/>
              </w:rPr>
              <w:t>。</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2025</w:t>
            </w:r>
            <w:r w:rsidRPr="00380961">
              <w:rPr>
                <w:rFonts w:ascii="楷体" w:eastAsia="楷体" w:hAnsi="楷体" w:hint="eastAsia"/>
                <w:b/>
                <w:szCs w:val="21"/>
              </w:rPr>
              <w:t>年营业收入增长率不低于</w:t>
            </w:r>
            <w:r w:rsidRPr="00380961">
              <w:rPr>
                <w:rFonts w:ascii="楷体" w:eastAsia="楷体" w:hAnsi="楷体"/>
                <w:b/>
                <w:szCs w:val="21"/>
              </w:rPr>
              <w:t>12%</w:t>
            </w:r>
            <w:r w:rsidRPr="00380961">
              <w:rPr>
                <w:rFonts w:ascii="楷体" w:eastAsia="楷体" w:hAnsi="楷体" w:hint="eastAsia"/>
                <w:b/>
                <w:szCs w:val="21"/>
              </w:rPr>
              <w:t>。</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第四个归属期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以2023年净利润为基数，2026年净利润增长率不低于30%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2026</w:t>
            </w:r>
            <w:r w:rsidRPr="00380961">
              <w:rPr>
                <w:rFonts w:ascii="楷体" w:eastAsia="楷体" w:hAnsi="楷体" w:hint="eastAsia"/>
                <w:b/>
                <w:szCs w:val="21"/>
              </w:rPr>
              <w:t>年营业收入增长率不低于</w:t>
            </w:r>
            <w:r w:rsidRPr="00380961">
              <w:rPr>
                <w:rFonts w:ascii="楷体" w:eastAsia="楷体" w:hAnsi="楷体"/>
                <w:b/>
                <w:szCs w:val="21"/>
              </w:rPr>
              <w:t>18%</w:t>
            </w:r>
            <w:r w:rsidRPr="00380961">
              <w:rPr>
                <w:rFonts w:ascii="楷体" w:eastAsia="楷体" w:hAnsi="楷体" w:hint="eastAsia"/>
                <w:b/>
                <w:szCs w:val="21"/>
              </w:rPr>
              <w:t>。</w:t>
            </w:r>
          </w:p>
        </w:tc>
      </w:tr>
    </w:tbl>
    <w:p w:rsidR="000E164F" w:rsidRPr="003E3DEB" w:rsidRDefault="000E164F" w:rsidP="000E164F">
      <w:pPr>
        <w:spacing w:beforeLines="50" w:before="156" w:afterLines="50" w:after="156" w:line="360" w:lineRule="auto"/>
        <w:ind w:firstLineChars="200" w:firstLine="480"/>
        <w:rPr>
          <w:rFonts w:ascii="仿宋" w:eastAsia="仿宋" w:hAnsi="仿宋"/>
          <w:sz w:val="24"/>
        </w:rPr>
      </w:pPr>
      <w:r w:rsidRPr="003E3DEB">
        <w:rPr>
          <w:rFonts w:ascii="仿宋" w:eastAsia="仿宋" w:hAnsi="仿宋"/>
          <w:sz w:val="24"/>
        </w:rPr>
        <w:lastRenderedPageBreak/>
        <w:t>首次授予第二类限制性股票的第二类激励对象对应的公司层面业绩考核目标如下表所示：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6236"/>
      </w:tblGrid>
      <w:tr w:rsidR="000E164F" w:rsidRPr="003E3DEB" w:rsidTr="004C208C">
        <w:trPr>
          <w:trHeight w:val="397"/>
          <w:tblHeader/>
        </w:trPr>
        <w:tc>
          <w:tcPr>
            <w:tcW w:w="2128"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归属期</w:t>
            </w:r>
          </w:p>
        </w:tc>
        <w:tc>
          <w:tcPr>
            <w:tcW w:w="6236"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以2022年净利润为基数，2023年净利润增长率不低于10%</w:t>
            </w:r>
            <w:r w:rsidRPr="00B4730E">
              <w:rPr>
                <w:rFonts w:ascii="楷体" w:eastAsia="楷体" w:hAnsi="楷体" w:hint="eastAsia"/>
                <w:b/>
                <w:szCs w:val="21"/>
              </w:rPr>
              <w:t>；</w:t>
            </w:r>
            <w:r w:rsidRPr="00F163E5">
              <w:rPr>
                <w:rFonts w:ascii="楷体" w:eastAsia="楷体" w:hAnsi="楷体" w:hint="eastAsia"/>
                <w:b/>
                <w:szCs w:val="21"/>
              </w:rPr>
              <w:t>且以2022年营业收入为基数，2023年营业收入增长率不低于7%。</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r w:rsidRPr="00B4730E">
              <w:rPr>
                <w:rFonts w:ascii="楷体" w:eastAsia="楷体" w:hAnsi="楷体" w:hint="eastAsia"/>
                <w:b/>
                <w:szCs w:val="21"/>
              </w:rPr>
              <w:t>；且以</w:t>
            </w:r>
            <w:r w:rsidRPr="00B4730E">
              <w:rPr>
                <w:rFonts w:ascii="楷体" w:eastAsia="楷体" w:hAnsi="楷体"/>
                <w:b/>
                <w:szCs w:val="21"/>
              </w:rPr>
              <w:t>2023</w:t>
            </w:r>
            <w:r w:rsidRPr="00B4730E">
              <w:rPr>
                <w:rFonts w:ascii="楷体" w:eastAsia="楷体" w:hAnsi="楷体" w:hint="eastAsia"/>
                <w:b/>
                <w:szCs w:val="21"/>
              </w:rPr>
              <w:t>年营业收入为基数，</w:t>
            </w:r>
            <w:r w:rsidRPr="00B4730E">
              <w:rPr>
                <w:rFonts w:ascii="楷体" w:eastAsia="楷体" w:hAnsi="楷体"/>
                <w:b/>
                <w:szCs w:val="21"/>
              </w:rPr>
              <w:t>2024</w:t>
            </w:r>
            <w:r w:rsidRPr="00B4730E">
              <w:rPr>
                <w:rFonts w:ascii="楷体" w:eastAsia="楷体" w:hAnsi="楷体" w:hint="eastAsia"/>
                <w:b/>
                <w:szCs w:val="21"/>
              </w:rPr>
              <w:t>年营业收入增长率不低于7</w:t>
            </w:r>
            <w:r w:rsidRPr="00B4730E">
              <w:rPr>
                <w:rFonts w:ascii="楷体" w:eastAsia="楷体" w:hAnsi="楷体"/>
                <w:b/>
                <w:szCs w:val="21"/>
              </w:rPr>
              <w:t xml:space="preserve">% </w:t>
            </w:r>
            <w:r w:rsidRPr="00B4730E">
              <w:rPr>
                <w:rFonts w:ascii="楷体" w:eastAsia="楷体" w:hAnsi="楷体" w:hint="eastAsia"/>
                <w:b/>
                <w:szCs w:val="21"/>
              </w:rPr>
              <w:t>。</w:t>
            </w:r>
          </w:p>
        </w:tc>
      </w:tr>
      <w:tr w:rsidR="000E164F" w:rsidRPr="003E3DEB" w:rsidTr="000036C8">
        <w:trPr>
          <w:trHeight w:val="20"/>
        </w:trPr>
        <w:tc>
          <w:tcPr>
            <w:tcW w:w="2128"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第三个归属期</w:t>
            </w:r>
          </w:p>
        </w:tc>
        <w:tc>
          <w:tcPr>
            <w:tcW w:w="6236"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2025</w:t>
            </w:r>
            <w:r w:rsidRPr="00380961">
              <w:rPr>
                <w:rFonts w:ascii="楷体" w:eastAsia="楷体" w:hAnsi="楷体" w:hint="eastAsia"/>
                <w:b/>
                <w:szCs w:val="21"/>
              </w:rPr>
              <w:t>年营业收入增长率不低于</w:t>
            </w:r>
            <w:r w:rsidRPr="00380961">
              <w:rPr>
                <w:rFonts w:ascii="楷体" w:eastAsia="楷体" w:hAnsi="楷体"/>
                <w:b/>
                <w:szCs w:val="21"/>
              </w:rPr>
              <w:t>12%</w:t>
            </w:r>
            <w:r w:rsidRPr="00380961">
              <w:rPr>
                <w:rFonts w:ascii="楷体" w:eastAsia="楷体" w:hAnsi="楷体" w:hint="eastAsia"/>
                <w:b/>
                <w:szCs w:val="21"/>
              </w:rPr>
              <w:t>。</w:t>
            </w:r>
          </w:p>
        </w:tc>
      </w:tr>
    </w:tbl>
    <w:p w:rsidR="000E164F" w:rsidRPr="003E3DEB" w:rsidRDefault="000E164F" w:rsidP="000E164F">
      <w:pPr>
        <w:snapToGrid w:val="0"/>
        <w:spacing w:beforeLines="50" w:before="156" w:line="360" w:lineRule="auto"/>
        <w:ind w:firstLineChars="200" w:firstLine="480"/>
        <w:rPr>
          <w:rFonts w:ascii="仿宋" w:eastAsia="仿宋" w:hAnsi="仿宋"/>
          <w:sz w:val="24"/>
        </w:rPr>
      </w:pPr>
      <w:r w:rsidRPr="003E3DEB">
        <w:rPr>
          <w:rFonts w:ascii="仿宋" w:eastAsia="仿宋" w:hAnsi="仿宋"/>
          <w:sz w:val="24"/>
        </w:rPr>
        <w:t>预留授予的第二类限制性股票对应的公司层面业绩考核目标如下表所示：</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37"/>
      </w:tblGrid>
      <w:tr w:rsidR="000E164F" w:rsidRPr="003E3DEB" w:rsidTr="000036C8">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归属期</w:t>
            </w:r>
          </w:p>
        </w:tc>
        <w:tc>
          <w:tcPr>
            <w:tcW w:w="6237" w:type="dxa"/>
            <w:tcBorders>
              <w:top w:val="single" w:sz="4" w:space="0" w:color="auto"/>
              <w:left w:val="single" w:sz="4" w:space="0" w:color="auto"/>
              <w:bottom w:val="single" w:sz="4" w:space="0" w:color="auto"/>
              <w:right w:val="single" w:sz="4" w:space="0" w:color="auto"/>
            </w:tcBorders>
            <w:shd w:val="clear" w:color="auto" w:fill="F2F2F2"/>
            <w:vAlign w:val="center"/>
          </w:tcPr>
          <w:p w:rsidR="000E164F" w:rsidRPr="003E3DEB" w:rsidRDefault="000E164F" w:rsidP="000036C8">
            <w:pPr>
              <w:jc w:val="center"/>
              <w:rPr>
                <w:rFonts w:ascii="仿宋" w:eastAsia="仿宋" w:hAnsi="仿宋"/>
                <w:b/>
              </w:rPr>
            </w:pPr>
            <w:r w:rsidRPr="003E3DEB">
              <w:rPr>
                <w:rFonts w:ascii="仿宋" w:eastAsia="仿宋" w:hAnsi="仿宋"/>
                <w:b/>
              </w:rPr>
              <w:t>业绩考核目标</w:t>
            </w:r>
          </w:p>
        </w:tc>
      </w:tr>
      <w:tr w:rsidR="000E164F" w:rsidRPr="003E3DEB" w:rsidTr="000036C8">
        <w:trPr>
          <w:trHeight w:val="45"/>
        </w:trPr>
        <w:tc>
          <w:tcPr>
            <w:tcW w:w="212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第一个归属期</w:t>
            </w:r>
          </w:p>
        </w:tc>
        <w:tc>
          <w:tcPr>
            <w:tcW w:w="623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以2023年净利润为基数，2024年净利润增长率不低于10%</w:t>
            </w:r>
            <w:r w:rsidRPr="00B4730E">
              <w:rPr>
                <w:rFonts w:ascii="楷体" w:eastAsia="楷体" w:hAnsi="楷体" w:hint="eastAsia"/>
                <w:b/>
                <w:szCs w:val="21"/>
              </w:rPr>
              <w:t>；且以</w:t>
            </w:r>
            <w:r w:rsidRPr="00B4730E">
              <w:rPr>
                <w:rFonts w:ascii="楷体" w:eastAsia="楷体" w:hAnsi="楷体"/>
                <w:b/>
                <w:szCs w:val="21"/>
              </w:rPr>
              <w:t>2023</w:t>
            </w:r>
            <w:r w:rsidRPr="00B4730E">
              <w:rPr>
                <w:rFonts w:ascii="楷体" w:eastAsia="楷体" w:hAnsi="楷体" w:hint="eastAsia"/>
                <w:b/>
                <w:szCs w:val="21"/>
              </w:rPr>
              <w:t>年营业收入为基数，</w:t>
            </w:r>
            <w:r w:rsidRPr="00B4730E">
              <w:rPr>
                <w:rFonts w:ascii="楷体" w:eastAsia="楷体" w:hAnsi="楷体"/>
                <w:b/>
                <w:szCs w:val="21"/>
              </w:rPr>
              <w:t>2024</w:t>
            </w:r>
            <w:r w:rsidRPr="00B4730E">
              <w:rPr>
                <w:rFonts w:ascii="楷体" w:eastAsia="楷体" w:hAnsi="楷体" w:hint="eastAsia"/>
                <w:b/>
                <w:szCs w:val="21"/>
              </w:rPr>
              <w:t>年营业收入增长率不低于7</w:t>
            </w:r>
            <w:r w:rsidRPr="00B4730E">
              <w:rPr>
                <w:rFonts w:ascii="楷体" w:eastAsia="楷体" w:hAnsi="楷体"/>
                <w:b/>
                <w:szCs w:val="21"/>
              </w:rPr>
              <w:t xml:space="preserve">% </w:t>
            </w:r>
            <w:r w:rsidRPr="00B4730E">
              <w:rPr>
                <w:rFonts w:ascii="楷体" w:eastAsia="楷体" w:hAnsi="楷体" w:hint="eastAsia"/>
                <w:b/>
                <w:szCs w:val="21"/>
              </w:rPr>
              <w:t>。</w:t>
            </w:r>
          </w:p>
        </w:tc>
      </w:tr>
      <w:tr w:rsidR="000E164F" w:rsidRPr="003E3DEB" w:rsidTr="000036C8">
        <w:trPr>
          <w:trHeight w:val="45"/>
        </w:trPr>
        <w:tc>
          <w:tcPr>
            <w:tcW w:w="212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第二个归属期</w:t>
            </w:r>
          </w:p>
        </w:tc>
        <w:tc>
          <w:tcPr>
            <w:tcW w:w="623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以2023年净利润为基数，2025年净利润增长率不低于20%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2025</w:t>
            </w:r>
            <w:r w:rsidRPr="00380961">
              <w:rPr>
                <w:rFonts w:ascii="楷体" w:eastAsia="楷体" w:hAnsi="楷体" w:hint="eastAsia"/>
                <w:b/>
                <w:szCs w:val="21"/>
              </w:rPr>
              <w:t>年营业收入增长率不低于</w:t>
            </w:r>
            <w:r w:rsidRPr="00380961">
              <w:rPr>
                <w:rFonts w:ascii="楷体" w:eastAsia="楷体" w:hAnsi="楷体"/>
                <w:b/>
                <w:szCs w:val="21"/>
              </w:rPr>
              <w:t>12%</w:t>
            </w:r>
            <w:r w:rsidRPr="00380961">
              <w:rPr>
                <w:rFonts w:ascii="楷体" w:eastAsia="楷体" w:hAnsi="楷体" w:hint="eastAsia"/>
                <w:b/>
                <w:szCs w:val="21"/>
              </w:rPr>
              <w:t>。</w:t>
            </w:r>
          </w:p>
        </w:tc>
      </w:tr>
      <w:tr w:rsidR="000E164F" w:rsidRPr="003E3DEB" w:rsidTr="000036C8">
        <w:trPr>
          <w:trHeight w:val="45"/>
        </w:trPr>
        <w:tc>
          <w:tcPr>
            <w:tcW w:w="212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第三个归属期</w:t>
            </w:r>
          </w:p>
        </w:tc>
        <w:tc>
          <w:tcPr>
            <w:tcW w:w="6237" w:type="dxa"/>
            <w:vAlign w:val="center"/>
          </w:tcPr>
          <w:p w:rsidR="000E164F" w:rsidRPr="003E3DEB" w:rsidRDefault="000E164F" w:rsidP="000036C8">
            <w:pPr>
              <w:jc w:val="center"/>
              <w:rPr>
                <w:rFonts w:ascii="仿宋" w:eastAsia="仿宋" w:hAnsi="仿宋"/>
                <w:szCs w:val="21"/>
              </w:rPr>
            </w:pPr>
            <w:r w:rsidRPr="003E3DEB">
              <w:rPr>
                <w:rFonts w:ascii="仿宋" w:eastAsia="仿宋" w:hAnsi="仿宋"/>
                <w:szCs w:val="21"/>
              </w:rPr>
              <w:t>以2023年净利润为基数，2026年净利润增长率不低于30%</w:t>
            </w:r>
            <w:r w:rsidRPr="00380961">
              <w:rPr>
                <w:rFonts w:ascii="楷体" w:eastAsia="楷体" w:hAnsi="楷体" w:hint="eastAsia"/>
                <w:b/>
                <w:szCs w:val="21"/>
              </w:rPr>
              <w:t>；且以</w:t>
            </w:r>
            <w:r w:rsidRPr="00380961">
              <w:rPr>
                <w:rFonts w:ascii="楷体" w:eastAsia="楷体" w:hAnsi="楷体"/>
                <w:b/>
                <w:szCs w:val="21"/>
              </w:rPr>
              <w:t>2023</w:t>
            </w:r>
            <w:r w:rsidRPr="00380961">
              <w:rPr>
                <w:rFonts w:ascii="楷体" w:eastAsia="楷体" w:hAnsi="楷体" w:hint="eastAsia"/>
                <w:b/>
                <w:szCs w:val="21"/>
              </w:rPr>
              <w:t>年营业收入为基数，</w:t>
            </w:r>
            <w:r w:rsidRPr="00380961">
              <w:rPr>
                <w:rFonts w:ascii="楷体" w:eastAsia="楷体" w:hAnsi="楷体"/>
                <w:b/>
                <w:szCs w:val="21"/>
              </w:rPr>
              <w:t>2026</w:t>
            </w:r>
            <w:r w:rsidRPr="00380961">
              <w:rPr>
                <w:rFonts w:ascii="楷体" w:eastAsia="楷体" w:hAnsi="楷体" w:hint="eastAsia"/>
                <w:b/>
                <w:szCs w:val="21"/>
              </w:rPr>
              <w:t>年营业收入增长率不低于</w:t>
            </w:r>
            <w:r w:rsidRPr="00380961">
              <w:rPr>
                <w:rFonts w:ascii="楷体" w:eastAsia="楷体" w:hAnsi="楷体"/>
                <w:b/>
                <w:szCs w:val="21"/>
              </w:rPr>
              <w:t>18%</w:t>
            </w:r>
            <w:r w:rsidRPr="00380961">
              <w:rPr>
                <w:rFonts w:ascii="楷体" w:eastAsia="楷体" w:hAnsi="楷体" w:hint="eastAsia"/>
                <w:b/>
                <w:szCs w:val="21"/>
              </w:rPr>
              <w:t>。</w:t>
            </w:r>
          </w:p>
        </w:tc>
      </w:tr>
    </w:tbl>
    <w:p w:rsidR="00F74502" w:rsidRPr="00CA0FD4" w:rsidRDefault="00F74502" w:rsidP="00CA0FD4">
      <w:pPr>
        <w:spacing w:before="240" w:line="360" w:lineRule="auto"/>
        <w:ind w:firstLineChars="200" w:firstLine="480"/>
        <w:rPr>
          <w:rFonts w:ascii="仿宋" w:eastAsia="仿宋" w:hAnsi="仿宋"/>
          <w:bCs/>
          <w:color w:val="000000"/>
          <w:sz w:val="24"/>
          <w:szCs w:val="24"/>
        </w:rPr>
      </w:pPr>
      <w:r w:rsidRPr="00CA0FD4">
        <w:rPr>
          <w:rFonts w:ascii="仿宋" w:eastAsia="仿宋" w:hAnsi="仿宋" w:hint="eastAsia"/>
          <w:bCs/>
          <w:color w:val="000000"/>
          <w:sz w:val="24"/>
          <w:szCs w:val="24"/>
        </w:rPr>
        <w:t>业绩考核指标设定科学性、合理性说明部分修订情况具体如下：</w:t>
      </w:r>
    </w:p>
    <w:p w:rsidR="00F74502" w:rsidRPr="00CA0FD4" w:rsidRDefault="00F74502" w:rsidP="00F74502">
      <w:pPr>
        <w:spacing w:beforeLines="50" w:before="156" w:line="360" w:lineRule="auto"/>
        <w:ind w:firstLineChars="200" w:firstLine="482"/>
        <w:rPr>
          <w:rFonts w:ascii="仿宋" w:eastAsia="仿宋" w:hAnsi="仿宋"/>
          <w:b/>
          <w:color w:val="000000"/>
          <w:sz w:val="24"/>
          <w:szCs w:val="24"/>
        </w:rPr>
      </w:pPr>
      <w:r w:rsidRPr="00CA0FD4">
        <w:rPr>
          <w:rFonts w:ascii="仿宋" w:eastAsia="仿宋" w:hAnsi="仿宋" w:hint="eastAsia"/>
          <w:b/>
          <w:color w:val="000000"/>
          <w:sz w:val="24"/>
          <w:szCs w:val="24"/>
        </w:rPr>
        <w:t>修订前：</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t>……</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t>为实现公司战略规划、经营目标、保持综合竞争力，本激励计划决定选用经审计的扣除非经常性损益后归属于上市公司股东的净利润作为公司层面业绩考核指标，该指标能够直接反映公司的主营业务的经营情况和盈利能力。</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t>根据本激励计划业绩指标的设定，公司以经审计的扣除非经常性损益后归属于上市公司股东的净利润，并剔除本次及其它员工激励计划在当年所产生的股份支付费用影响的数值作为考核依据。该业绩指标目标数值的设定是结合了公司现状、未来战略规划以及行业的发展等因素综合考虑而制定的，设定的考核指标对未来发展具有一定挑战性，该指标一方面有助于提升公司竞争能力以及调动员工的工作积极性，另一方面，能聚焦公司未来发展战略方向，稳定经营目标的实现。</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t>……</w:t>
      </w:r>
    </w:p>
    <w:p w:rsidR="00F74502" w:rsidRPr="00CA0FD4" w:rsidRDefault="00F74502" w:rsidP="00F74502">
      <w:pPr>
        <w:spacing w:beforeLines="50" w:before="156" w:line="360" w:lineRule="auto"/>
        <w:ind w:firstLineChars="200" w:firstLine="482"/>
        <w:rPr>
          <w:rFonts w:ascii="仿宋" w:eastAsia="仿宋" w:hAnsi="仿宋"/>
          <w:b/>
          <w:color w:val="000000"/>
          <w:sz w:val="24"/>
          <w:szCs w:val="24"/>
        </w:rPr>
      </w:pPr>
      <w:r w:rsidRPr="00CA0FD4">
        <w:rPr>
          <w:rFonts w:ascii="仿宋" w:eastAsia="仿宋" w:hAnsi="仿宋" w:hint="eastAsia"/>
          <w:b/>
          <w:color w:val="000000"/>
          <w:sz w:val="24"/>
          <w:szCs w:val="24"/>
        </w:rPr>
        <w:t>修订后：</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t>……</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lastRenderedPageBreak/>
        <w:t>为实现公司战略规划、经营目标、保持综合竞争力，本激励计划决定选用经审计的扣除非经常性损益后归属于上市公司股东的净利润</w:t>
      </w:r>
      <w:r w:rsidRPr="00CA0FD4">
        <w:rPr>
          <w:rFonts w:ascii="仿宋" w:eastAsia="仿宋" w:hAnsi="仿宋" w:hint="eastAsia"/>
          <w:b/>
          <w:bCs/>
          <w:color w:val="000000"/>
          <w:sz w:val="24"/>
          <w:szCs w:val="24"/>
        </w:rPr>
        <w:t>及经审计的上市公司营业收入</w:t>
      </w:r>
      <w:r w:rsidRPr="00CA0FD4">
        <w:rPr>
          <w:rFonts w:ascii="仿宋" w:eastAsia="仿宋" w:hAnsi="仿宋" w:hint="eastAsia"/>
          <w:color w:val="000000"/>
          <w:sz w:val="24"/>
          <w:szCs w:val="24"/>
        </w:rPr>
        <w:t>作为公司层面业绩考核指标，</w:t>
      </w:r>
      <w:r w:rsidRPr="00CA0FD4">
        <w:rPr>
          <w:rFonts w:ascii="仿宋" w:eastAsia="仿宋" w:hAnsi="仿宋" w:hint="eastAsia"/>
          <w:b/>
          <w:bCs/>
          <w:color w:val="000000"/>
          <w:sz w:val="24"/>
          <w:szCs w:val="24"/>
        </w:rPr>
        <w:t>以上</w:t>
      </w:r>
      <w:r w:rsidRPr="00CA0FD4">
        <w:rPr>
          <w:rFonts w:ascii="仿宋" w:eastAsia="仿宋" w:hAnsi="仿宋" w:hint="eastAsia"/>
          <w:color w:val="000000"/>
          <w:sz w:val="24"/>
          <w:szCs w:val="24"/>
        </w:rPr>
        <w:t>指标能够直接反映公司的主营业务的经营情况和盈利能力。</w:t>
      </w:r>
    </w:p>
    <w:p w:rsidR="00F74502" w:rsidRPr="00CA0FD4" w:rsidRDefault="00F74502" w:rsidP="00F74502">
      <w:pPr>
        <w:spacing w:line="360" w:lineRule="auto"/>
        <w:ind w:firstLineChars="200" w:firstLine="480"/>
        <w:rPr>
          <w:rFonts w:ascii="仿宋" w:eastAsia="仿宋" w:hAnsi="仿宋"/>
          <w:color w:val="000000"/>
          <w:sz w:val="24"/>
          <w:szCs w:val="24"/>
        </w:rPr>
      </w:pPr>
      <w:r w:rsidRPr="00CA0FD4">
        <w:rPr>
          <w:rFonts w:ascii="仿宋" w:eastAsia="仿宋" w:hAnsi="仿宋" w:hint="eastAsia"/>
          <w:color w:val="000000"/>
          <w:sz w:val="24"/>
          <w:szCs w:val="24"/>
        </w:rPr>
        <w:t>根据本激励计划业绩指标的设定，公司以经审计的扣除非经常性损益后归属于上市公司股东的净利润，并剔除本次及其它员工激励计划在当年所产生的股份支付费用影响的数值</w:t>
      </w:r>
      <w:r w:rsidRPr="00CA0FD4">
        <w:rPr>
          <w:rFonts w:ascii="仿宋" w:eastAsia="仿宋" w:hAnsi="仿宋" w:hint="eastAsia"/>
          <w:b/>
          <w:bCs/>
          <w:color w:val="000000"/>
          <w:sz w:val="24"/>
          <w:szCs w:val="24"/>
        </w:rPr>
        <w:t>及经审计的上市公司营业收入</w:t>
      </w:r>
      <w:r w:rsidRPr="00CA0FD4">
        <w:rPr>
          <w:rFonts w:ascii="仿宋" w:eastAsia="仿宋" w:hAnsi="仿宋" w:hint="eastAsia"/>
          <w:color w:val="000000"/>
          <w:sz w:val="24"/>
          <w:szCs w:val="24"/>
        </w:rPr>
        <w:t>作为考核依据。</w:t>
      </w:r>
      <w:r w:rsidRPr="00CA0FD4">
        <w:rPr>
          <w:rFonts w:ascii="仿宋" w:eastAsia="仿宋" w:hAnsi="仿宋" w:hint="eastAsia"/>
          <w:b/>
          <w:bCs/>
          <w:color w:val="000000"/>
          <w:sz w:val="24"/>
          <w:szCs w:val="24"/>
        </w:rPr>
        <w:t>以上</w:t>
      </w:r>
      <w:r w:rsidRPr="00CA0FD4">
        <w:rPr>
          <w:rFonts w:ascii="仿宋" w:eastAsia="仿宋" w:hAnsi="仿宋" w:hint="eastAsia"/>
          <w:color w:val="000000"/>
          <w:sz w:val="24"/>
          <w:szCs w:val="24"/>
        </w:rPr>
        <w:t>业绩指标目标数值的设定是结合了公司现状、未来战略规划以及行业的发展等因素综合考虑而制定的，设定的考核指标对未来发展具有一定挑战性，</w:t>
      </w:r>
      <w:r w:rsidRPr="00CA0FD4">
        <w:rPr>
          <w:rFonts w:ascii="仿宋" w:eastAsia="仿宋" w:hAnsi="仿宋" w:hint="eastAsia"/>
          <w:b/>
          <w:bCs/>
          <w:color w:val="000000"/>
          <w:sz w:val="24"/>
          <w:szCs w:val="24"/>
        </w:rPr>
        <w:t>以上</w:t>
      </w:r>
      <w:r w:rsidRPr="00CA0FD4">
        <w:rPr>
          <w:rFonts w:ascii="仿宋" w:eastAsia="仿宋" w:hAnsi="仿宋" w:hint="eastAsia"/>
          <w:color w:val="000000"/>
          <w:sz w:val="24"/>
          <w:szCs w:val="24"/>
        </w:rPr>
        <w:t>指标一方面有助于提升公司竞争能力以及调动员工的工作积极性，另一方面，能聚焦公司未来发展战略方向，稳定经营目标的实现。</w:t>
      </w:r>
    </w:p>
    <w:p w:rsidR="00F74502" w:rsidRPr="00CA0FD4" w:rsidRDefault="00F74502" w:rsidP="00F74502">
      <w:pPr>
        <w:spacing w:line="360" w:lineRule="auto"/>
        <w:ind w:firstLineChars="200" w:firstLine="480"/>
        <w:jc w:val="left"/>
        <w:rPr>
          <w:rFonts w:ascii="仿宋" w:eastAsia="仿宋" w:hAnsi="仿宋"/>
          <w:color w:val="000000"/>
          <w:sz w:val="24"/>
          <w:szCs w:val="24"/>
        </w:rPr>
      </w:pPr>
      <w:r w:rsidRPr="00CA0FD4">
        <w:rPr>
          <w:rFonts w:ascii="仿宋" w:eastAsia="仿宋" w:hAnsi="仿宋" w:hint="eastAsia"/>
          <w:color w:val="000000"/>
          <w:sz w:val="24"/>
          <w:szCs w:val="24"/>
        </w:rPr>
        <w:t>……</w:t>
      </w:r>
    </w:p>
    <w:p w:rsidR="00F74502" w:rsidRDefault="00F74502" w:rsidP="00F74502">
      <w:pPr>
        <w:spacing w:line="360" w:lineRule="auto"/>
        <w:ind w:firstLineChars="200" w:firstLine="560"/>
        <w:jc w:val="left"/>
        <w:rPr>
          <w:rFonts w:ascii="仿宋" w:eastAsia="仿宋" w:hAnsi="仿宋"/>
          <w:color w:val="000000"/>
          <w:sz w:val="28"/>
        </w:rPr>
      </w:pPr>
      <w:r w:rsidRPr="00C01DCB">
        <w:rPr>
          <w:rFonts w:ascii="仿宋" w:eastAsia="仿宋" w:hAnsi="仿宋" w:hint="eastAsia"/>
          <w:color w:val="000000"/>
          <w:sz w:val="28"/>
        </w:rPr>
        <w:t>除上述修订外，本次激励计划其他内容不变</w:t>
      </w:r>
      <w:r>
        <w:rPr>
          <w:rFonts w:ascii="仿宋" w:eastAsia="仿宋" w:hAnsi="仿宋" w:hint="eastAsia"/>
          <w:color w:val="000000"/>
          <w:sz w:val="28"/>
        </w:rPr>
        <w:t>，仅根据需要对有关页码格式等信息进行了调整</w:t>
      </w:r>
      <w:r w:rsidRPr="00C01DCB">
        <w:rPr>
          <w:rFonts w:ascii="仿宋" w:eastAsia="仿宋" w:hAnsi="仿宋" w:hint="eastAsia"/>
          <w:color w:val="000000"/>
          <w:sz w:val="28"/>
        </w:rPr>
        <w:t>。</w:t>
      </w:r>
    </w:p>
    <w:p w:rsidR="00445F90" w:rsidRPr="00F74502" w:rsidRDefault="00445F90" w:rsidP="00C01DCB">
      <w:pPr>
        <w:spacing w:line="360" w:lineRule="auto"/>
        <w:ind w:firstLineChars="200" w:firstLine="560"/>
        <w:jc w:val="left"/>
        <w:rPr>
          <w:rFonts w:ascii="仿宋" w:eastAsia="仿宋" w:hAnsi="仿宋"/>
          <w:color w:val="000000"/>
          <w:sz w:val="28"/>
        </w:rPr>
      </w:pPr>
    </w:p>
    <w:p w:rsidR="00385326" w:rsidRDefault="00385326" w:rsidP="006033E3">
      <w:pPr>
        <w:spacing w:line="360" w:lineRule="auto"/>
        <w:ind w:firstLineChars="200" w:firstLine="562"/>
        <w:jc w:val="left"/>
        <w:outlineLvl w:val="0"/>
        <w:rPr>
          <w:rFonts w:ascii="仿宋" w:eastAsia="仿宋" w:hAnsi="仿宋"/>
          <w:b/>
          <w:color w:val="000000"/>
          <w:sz w:val="28"/>
        </w:rPr>
      </w:pPr>
      <w:r w:rsidRPr="00B67A6B">
        <w:rPr>
          <w:rFonts w:ascii="仿宋" w:eastAsia="仿宋" w:hAnsi="仿宋" w:hint="eastAsia"/>
          <w:b/>
          <w:color w:val="000000"/>
          <w:sz w:val="28"/>
        </w:rPr>
        <w:t>三、</w:t>
      </w:r>
      <w:r w:rsidR="00393F69">
        <w:rPr>
          <w:rFonts w:ascii="仿宋" w:eastAsia="仿宋" w:hAnsi="仿宋" w:hint="eastAsia"/>
          <w:b/>
          <w:color w:val="000000"/>
          <w:sz w:val="28"/>
        </w:rPr>
        <w:t>修订本次激励计划内容的影响</w:t>
      </w:r>
    </w:p>
    <w:p w:rsidR="000C1E49" w:rsidRDefault="00D64747" w:rsidP="00D64747">
      <w:pPr>
        <w:spacing w:line="360" w:lineRule="auto"/>
        <w:ind w:firstLineChars="200" w:firstLine="560"/>
        <w:jc w:val="left"/>
        <w:rPr>
          <w:rFonts w:ascii="仿宋" w:eastAsia="仿宋" w:hAnsi="仿宋"/>
          <w:color w:val="000000"/>
          <w:sz w:val="28"/>
        </w:rPr>
      </w:pPr>
      <w:r w:rsidRPr="00D64747">
        <w:rPr>
          <w:rFonts w:ascii="仿宋" w:eastAsia="仿宋" w:hAnsi="仿宋" w:hint="eastAsia"/>
          <w:color w:val="000000"/>
          <w:sz w:val="28"/>
        </w:rPr>
        <w:t>公司</w:t>
      </w:r>
      <w:r w:rsidR="00CA0FD4">
        <w:rPr>
          <w:rFonts w:ascii="仿宋" w:eastAsia="仿宋" w:hAnsi="仿宋" w:hint="eastAsia"/>
          <w:color w:val="000000"/>
          <w:sz w:val="28"/>
        </w:rPr>
        <w:t>修订本次</w:t>
      </w:r>
      <w:r w:rsidRPr="00D64747">
        <w:rPr>
          <w:rFonts w:ascii="仿宋" w:eastAsia="仿宋" w:hAnsi="仿宋" w:hint="eastAsia"/>
          <w:color w:val="000000"/>
          <w:sz w:val="28"/>
        </w:rPr>
        <w:t>激励计划的业绩考核指标是公司根据外部经营环境和实际生产经营情况进行的合理预测和调整</w:t>
      </w:r>
      <w:r w:rsidR="000C1E49">
        <w:rPr>
          <w:rFonts w:ascii="仿宋" w:eastAsia="仿宋" w:hAnsi="仿宋" w:hint="eastAsia"/>
          <w:color w:val="000000"/>
          <w:sz w:val="28"/>
        </w:rPr>
        <w:t>。</w:t>
      </w:r>
      <w:r w:rsidR="000C1E49" w:rsidRPr="000C1E49">
        <w:rPr>
          <w:rFonts w:ascii="仿宋" w:eastAsia="仿宋" w:hAnsi="仿宋" w:hint="eastAsia"/>
          <w:color w:val="000000"/>
          <w:sz w:val="28"/>
        </w:rPr>
        <w:t>增加营业收入增长率作为公司层面的业绩考核指标，符合《上市公司股权激励管理办法》的有关规定，能够真实反映公司的经营情况和市场情况，是预测企业经营业务拓展趋势、衡量公司经营效益及成长性的有效指标。</w:t>
      </w:r>
      <w:r w:rsidR="001C15E7">
        <w:rPr>
          <w:rFonts w:ascii="仿宋" w:eastAsia="仿宋" w:hAnsi="仿宋" w:hint="eastAsia"/>
          <w:color w:val="000000"/>
          <w:sz w:val="28"/>
        </w:rPr>
        <w:t>修订</w:t>
      </w:r>
      <w:r w:rsidR="001C15E7">
        <w:rPr>
          <w:rFonts w:ascii="仿宋" w:eastAsia="仿宋" w:hAnsi="仿宋" w:hint="eastAsia"/>
          <w:color w:val="000000"/>
          <w:sz w:val="28"/>
        </w:rPr>
        <w:t>后</w:t>
      </w:r>
      <w:r w:rsidRPr="00D64747">
        <w:rPr>
          <w:rFonts w:ascii="仿宋" w:eastAsia="仿宋" w:hAnsi="仿宋" w:hint="eastAsia"/>
          <w:color w:val="000000"/>
          <w:sz w:val="28"/>
        </w:rPr>
        <w:t>的业绩考核指标依然具有挑战性，更具有合理性、科学性，</w:t>
      </w:r>
      <w:r w:rsidR="000C1E49" w:rsidRPr="000C1E49">
        <w:rPr>
          <w:rFonts w:ascii="仿宋" w:eastAsia="仿宋" w:hAnsi="仿宋" w:hint="eastAsia"/>
          <w:color w:val="000000"/>
          <w:sz w:val="28"/>
        </w:rPr>
        <w:t>能够更为全面地体现公司的经营改善情况，充分发挥激励计划的激励作用。</w:t>
      </w:r>
    </w:p>
    <w:p w:rsidR="00393F69" w:rsidRDefault="00D64747" w:rsidP="00D64747">
      <w:pPr>
        <w:spacing w:line="360" w:lineRule="auto"/>
        <w:ind w:firstLineChars="200" w:firstLine="560"/>
        <w:jc w:val="left"/>
        <w:rPr>
          <w:rFonts w:ascii="仿宋" w:eastAsia="仿宋" w:hAnsi="仿宋"/>
          <w:color w:val="000000"/>
          <w:sz w:val="28"/>
        </w:rPr>
      </w:pPr>
      <w:r w:rsidRPr="00D64747">
        <w:rPr>
          <w:rFonts w:ascii="仿宋" w:eastAsia="仿宋" w:hAnsi="仿宋" w:hint="eastAsia"/>
          <w:color w:val="000000"/>
          <w:sz w:val="28"/>
        </w:rPr>
        <w:t>本次</w:t>
      </w:r>
      <w:r w:rsidR="002A4194">
        <w:rPr>
          <w:rFonts w:ascii="仿宋" w:eastAsia="仿宋" w:hAnsi="仿宋" w:hint="eastAsia"/>
          <w:color w:val="000000"/>
          <w:sz w:val="28"/>
        </w:rPr>
        <w:t>修订</w:t>
      </w:r>
      <w:r w:rsidRPr="00D64747">
        <w:rPr>
          <w:rFonts w:ascii="仿宋" w:eastAsia="仿宋" w:hAnsi="仿宋" w:hint="eastAsia"/>
          <w:color w:val="000000"/>
          <w:sz w:val="28"/>
        </w:rPr>
        <w:t>有利于充分调动公司董事、高级管理人员、核心人员的积极性，有利于有效发挥激励作用，不会对公司的经营业绩产生重大</w:t>
      </w:r>
      <w:r w:rsidRPr="00D64747">
        <w:rPr>
          <w:rFonts w:ascii="仿宋" w:eastAsia="仿宋" w:hAnsi="仿宋" w:hint="eastAsia"/>
          <w:color w:val="000000"/>
          <w:sz w:val="28"/>
        </w:rPr>
        <w:lastRenderedPageBreak/>
        <w:t>不利影响，符合公司和股东利益，不存在损害公司及全体股东利益的情形。</w:t>
      </w:r>
    </w:p>
    <w:p w:rsidR="00445F90" w:rsidRDefault="00445F90" w:rsidP="00D64747">
      <w:pPr>
        <w:spacing w:line="360" w:lineRule="auto"/>
        <w:ind w:firstLineChars="200" w:firstLine="560"/>
        <w:jc w:val="left"/>
        <w:rPr>
          <w:rFonts w:ascii="仿宋" w:eastAsia="仿宋" w:hAnsi="仿宋"/>
          <w:color w:val="000000"/>
          <w:sz w:val="28"/>
        </w:rPr>
      </w:pPr>
    </w:p>
    <w:p w:rsidR="00C01DCB" w:rsidRDefault="00C01DCB" w:rsidP="006033E3">
      <w:pPr>
        <w:spacing w:line="360" w:lineRule="auto"/>
        <w:ind w:firstLineChars="200" w:firstLine="562"/>
        <w:jc w:val="left"/>
        <w:outlineLvl w:val="0"/>
        <w:rPr>
          <w:rFonts w:ascii="仿宋" w:eastAsia="仿宋" w:hAnsi="仿宋"/>
          <w:b/>
          <w:color w:val="000000"/>
          <w:sz w:val="28"/>
        </w:rPr>
      </w:pPr>
      <w:r>
        <w:rPr>
          <w:rFonts w:ascii="仿宋" w:eastAsia="仿宋" w:hAnsi="仿宋" w:hint="eastAsia"/>
          <w:b/>
          <w:color w:val="000000"/>
          <w:sz w:val="28"/>
        </w:rPr>
        <w:t>四</w:t>
      </w:r>
      <w:r w:rsidRPr="00B67A6B">
        <w:rPr>
          <w:rFonts w:ascii="仿宋" w:eastAsia="仿宋" w:hAnsi="仿宋" w:hint="eastAsia"/>
          <w:b/>
          <w:color w:val="000000"/>
          <w:sz w:val="28"/>
        </w:rPr>
        <w:t>、</w:t>
      </w:r>
      <w:r>
        <w:rPr>
          <w:rFonts w:ascii="仿宋" w:eastAsia="仿宋" w:hAnsi="仿宋" w:hint="eastAsia"/>
          <w:b/>
          <w:color w:val="000000"/>
          <w:sz w:val="28"/>
        </w:rPr>
        <w:t>备查文件</w:t>
      </w:r>
    </w:p>
    <w:p w:rsidR="00C01DCB" w:rsidRDefault="00DB32C3" w:rsidP="00D64747">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（一）《广东天亿马信息产业股份有限公司2023年限制性股票激励计划（草案修订稿）》及其摘要；</w:t>
      </w:r>
    </w:p>
    <w:p w:rsidR="00DB32C3" w:rsidRPr="00DB32C3" w:rsidRDefault="00DB32C3" w:rsidP="00D64747">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（二）《广东天亿马信息产业股份有限公司2023年限制性股票</w:t>
      </w:r>
      <w:r w:rsidR="00322883">
        <w:rPr>
          <w:rFonts w:ascii="仿宋" w:eastAsia="仿宋" w:hAnsi="仿宋" w:hint="eastAsia"/>
          <w:color w:val="000000"/>
          <w:sz w:val="28"/>
        </w:rPr>
        <w:t>激励计划</w:t>
      </w:r>
      <w:bookmarkStart w:id="1" w:name="_GoBack"/>
      <w:bookmarkEnd w:id="1"/>
      <w:r>
        <w:rPr>
          <w:rFonts w:ascii="仿宋" w:eastAsia="仿宋" w:hAnsi="仿宋" w:hint="eastAsia"/>
          <w:color w:val="000000"/>
          <w:sz w:val="28"/>
        </w:rPr>
        <w:t>考核管理办法（修订稿）》。</w:t>
      </w:r>
    </w:p>
    <w:p w:rsidR="00385326" w:rsidRPr="00960675" w:rsidRDefault="00385326" w:rsidP="00AC31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385326" w:rsidRPr="00E11E77" w:rsidRDefault="00385326" w:rsidP="00AC318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385326" w:rsidRPr="00E11E77" w:rsidRDefault="00DB32C3" w:rsidP="00AC318C">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董事会</w:t>
      </w:r>
    </w:p>
    <w:p w:rsidR="00915355" w:rsidRPr="00915355" w:rsidRDefault="00385326" w:rsidP="005C4BDC">
      <w:pPr>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w:t>
      </w:r>
      <w:r w:rsidR="00BD57EA">
        <w:rPr>
          <w:rFonts w:ascii="仿宋" w:eastAsia="仿宋" w:hAnsi="仿宋"/>
          <w:sz w:val="28"/>
          <w:szCs w:val="28"/>
        </w:rPr>
        <w:t>3</w:t>
      </w:r>
      <w:r>
        <w:rPr>
          <w:rFonts w:ascii="仿宋" w:eastAsia="仿宋" w:hAnsi="仿宋" w:hint="eastAsia"/>
          <w:sz w:val="28"/>
          <w:szCs w:val="28"/>
        </w:rPr>
        <w:t>年</w:t>
      </w:r>
      <w:r w:rsidR="008D1BB0">
        <w:rPr>
          <w:rFonts w:ascii="仿宋" w:eastAsia="仿宋" w:hAnsi="仿宋"/>
          <w:sz w:val="28"/>
          <w:szCs w:val="28"/>
        </w:rPr>
        <w:t>8</w:t>
      </w:r>
      <w:r>
        <w:rPr>
          <w:rFonts w:ascii="仿宋" w:eastAsia="仿宋" w:hAnsi="仿宋" w:hint="eastAsia"/>
          <w:sz w:val="28"/>
          <w:szCs w:val="28"/>
        </w:rPr>
        <w:t>月</w:t>
      </w:r>
      <w:r w:rsidR="00624014">
        <w:rPr>
          <w:rFonts w:ascii="仿宋" w:eastAsia="仿宋" w:hAnsi="仿宋" w:hint="eastAsia"/>
          <w:sz w:val="28"/>
          <w:szCs w:val="28"/>
        </w:rPr>
        <w:t>19</w:t>
      </w:r>
      <w:r>
        <w:rPr>
          <w:rFonts w:ascii="仿宋" w:eastAsia="仿宋" w:hAnsi="仿宋" w:hint="eastAsia"/>
          <w:sz w:val="28"/>
          <w:szCs w:val="28"/>
        </w:rPr>
        <w:t>日</w:t>
      </w:r>
    </w:p>
    <w:sectPr w:rsidR="00915355" w:rsidRPr="00915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20" w:rsidRDefault="00955820" w:rsidP="00A014A2">
      <w:r>
        <w:separator/>
      </w:r>
    </w:p>
  </w:endnote>
  <w:endnote w:type="continuationSeparator" w:id="0">
    <w:p w:rsidR="00955820" w:rsidRDefault="00955820" w:rsidP="00A0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20" w:rsidRDefault="00955820" w:rsidP="00A014A2">
      <w:r>
        <w:separator/>
      </w:r>
    </w:p>
  </w:footnote>
  <w:footnote w:type="continuationSeparator" w:id="0">
    <w:p w:rsidR="00955820" w:rsidRDefault="00955820" w:rsidP="00A0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554"/>
    <w:multiLevelType w:val="hybridMultilevel"/>
    <w:tmpl w:val="2A24FD44"/>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D23B5"/>
    <w:multiLevelType w:val="hybridMultilevel"/>
    <w:tmpl w:val="DAB63A96"/>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43"/>
    <w:rsid w:val="00001060"/>
    <w:rsid w:val="00002451"/>
    <w:rsid w:val="00020733"/>
    <w:rsid w:val="000229D0"/>
    <w:rsid w:val="000230F7"/>
    <w:rsid w:val="00024E3C"/>
    <w:rsid w:val="0003095E"/>
    <w:rsid w:val="000323D9"/>
    <w:rsid w:val="000339D5"/>
    <w:rsid w:val="000450F1"/>
    <w:rsid w:val="000461B2"/>
    <w:rsid w:val="000508FB"/>
    <w:rsid w:val="0005670B"/>
    <w:rsid w:val="00063C99"/>
    <w:rsid w:val="000710F1"/>
    <w:rsid w:val="000717F5"/>
    <w:rsid w:val="00083401"/>
    <w:rsid w:val="00094E5C"/>
    <w:rsid w:val="000A0F0B"/>
    <w:rsid w:val="000A1AC0"/>
    <w:rsid w:val="000A2CB3"/>
    <w:rsid w:val="000A5B17"/>
    <w:rsid w:val="000B4D2B"/>
    <w:rsid w:val="000B4F41"/>
    <w:rsid w:val="000C1E49"/>
    <w:rsid w:val="000C3319"/>
    <w:rsid w:val="000C55A0"/>
    <w:rsid w:val="000C68F9"/>
    <w:rsid w:val="000C71EC"/>
    <w:rsid w:val="000E164F"/>
    <w:rsid w:val="000E270A"/>
    <w:rsid w:val="000E5E9D"/>
    <w:rsid w:val="00103F7A"/>
    <w:rsid w:val="0011558A"/>
    <w:rsid w:val="001163F1"/>
    <w:rsid w:val="00120B87"/>
    <w:rsid w:val="00131C14"/>
    <w:rsid w:val="00146B8A"/>
    <w:rsid w:val="00173A36"/>
    <w:rsid w:val="00175552"/>
    <w:rsid w:val="001850FA"/>
    <w:rsid w:val="00192E8B"/>
    <w:rsid w:val="001A1428"/>
    <w:rsid w:val="001A1E8E"/>
    <w:rsid w:val="001A489D"/>
    <w:rsid w:val="001B4B25"/>
    <w:rsid w:val="001C15E7"/>
    <w:rsid w:val="001C1DFD"/>
    <w:rsid w:val="001C4924"/>
    <w:rsid w:val="001C7F69"/>
    <w:rsid w:val="001D292E"/>
    <w:rsid w:val="001D4795"/>
    <w:rsid w:val="001D4994"/>
    <w:rsid w:val="001D6204"/>
    <w:rsid w:val="001D6C0E"/>
    <w:rsid w:val="001E2821"/>
    <w:rsid w:val="001F67A2"/>
    <w:rsid w:val="002118E7"/>
    <w:rsid w:val="0023043D"/>
    <w:rsid w:val="00241EE4"/>
    <w:rsid w:val="0025452B"/>
    <w:rsid w:val="00260BFB"/>
    <w:rsid w:val="0026442F"/>
    <w:rsid w:val="0026739A"/>
    <w:rsid w:val="002730B8"/>
    <w:rsid w:val="0027445E"/>
    <w:rsid w:val="00275C87"/>
    <w:rsid w:val="002775BA"/>
    <w:rsid w:val="002812AF"/>
    <w:rsid w:val="00281DFE"/>
    <w:rsid w:val="00292461"/>
    <w:rsid w:val="002925FF"/>
    <w:rsid w:val="002A4194"/>
    <w:rsid w:val="002B3D0E"/>
    <w:rsid w:val="002B7928"/>
    <w:rsid w:val="002C3B1F"/>
    <w:rsid w:val="002D1A21"/>
    <w:rsid w:val="002E2CF5"/>
    <w:rsid w:val="002E4DE5"/>
    <w:rsid w:val="002E6595"/>
    <w:rsid w:val="00300802"/>
    <w:rsid w:val="0031633C"/>
    <w:rsid w:val="00322883"/>
    <w:rsid w:val="00327264"/>
    <w:rsid w:val="0033786A"/>
    <w:rsid w:val="003449AA"/>
    <w:rsid w:val="003468DF"/>
    <w:rsid w:val="00347B99"/>
    <w:rsid w:val="003505C3"/>
    <w:rsid w:val="003524BD"/>
    <w:rsid w:val="0035714C"/>
    <w:rsid w:val="00357E03"/>
    <w:rsid w:val="0036553B"/>
    <w:rsid w:val="00367D0B"/>
    <w:rsid w:val="00373484"/>
    <w:rsid w:val="003737C7"/>
    <w:rsid w:val="00374E01"/>
    <w:rsid w:val="00385326"/>
    <w:rsid w:val="003906DB"/>
    <w:rsid w:val="00393F69"/>
    <w:rsid w:val="003A19B6"/>
    <w:rsid w:val="003A1FC9"/>
    <w:rsid w:val="003A6EB2"/>
    <w:rsid w:val="003B1631"/>
    <w:rsid w:val="003C3FC0"/>
    <w:rsid w:val="003C45C2"/>
    <w:rsid w:val="003D7F0F"/>
    <w:rsid w:val="003E3086"/>
    <w:rsid w:val="003E5F2C"/>
    <w:rsid w:val="00401715"/>
    <w:rsid w:val="00407A05"/>
    <w:rsid w:val="00411F15"/>
    <w:rsid w:val="004173D4"/>
    <w:rsid w:val="00420C15"/>
    <w:rsid w:val="0042237E"/>
    <w:rsid w:val="00434863"/>
    <w:rsid w:val="00445F90"/>
    <w:rsid w:val="00447E2D"/>
    <w:rsid w:val="00451DED"/>
    <w:rsid w:val="004619B5"/>
    <w:rsid w:val="00461B47"/>
    <w:rsid w:val="00464D81"/>
    <w:rsid w:val="00465AEA"/>
    <w:rsid w:val="0046798F"/>
    <w:rsid w:val="0047261A"/>
    <w:rsid w:val="00476FE2"/>
    <w:rsid w:val="00480084"/>
    <w:rsid w:val="00486598"/>
    <w:rsid w:val="00486EC0"/>
    <w:rsid w:val="004917D8"/>
    <w:rsid w:val="004933EE"/>
    <w:rsid w:val="004957BE"/>
    <w:rsid w:val="004B2A3C"/>
    <w:rsid w:val="004B5A94"/>
    <w:rsid w:val="004C208C"/>
    <w:rsid w:val="004C5763"/>
    <w:rsid w:val="004D19F1"/>
    <w:rsid w:val="004D3C67"/>
    <w:rsid w:val="004D73A8"/>
    <w:rsid w:val="004E33A5"/>
    <w:rsid w:val="004E599D"/>
    <w:rsid w:val="004F7795"/>
    <w:rsid w:val="005043A2"/>
    <w:rsid w:val="00510E52"/>
    <w:rsid w:val="0052052A"/>
    <w:rsid w:val="00545213"/>
    <w:rsid w:val="00552423"/>
    <w:rsid w:val="005553CD"/>
    <w:rsid w:val="00574518"/>
    <w:rsid w:val="00575899"/>
    <w:rsid w:val="0059135E"/>
    <w:rsid w:val="005B743A"/>
    <w:rsid w:val="005C0FE8"/>
    <w:rsid w:val="005C4BDC"/>
    <w:rsid w:val="005D4DC1"/>
    <w:rsid w:val="005D707D"/>
    <w:rsid w:val="005E2C28"/>
    <w:rsid w:val="005E41A6"/>
    <w:rsid w:val="005E471D"/>
    <w:rsid w:val="005E524C"/>
    <w:rsid w:val="005E5B56"/>
    <w:rsid w:val="005F3E17"/>
    <w:rsid w:val="006033E3"/>
    <w:rsid w:val="006037B1"/>
    <w:rsid w:val="00604577"/>
    <w:rsid w:val="00605863"/>
    <w:rsid w:val="00607423"/>
    <w:rsid w:val="00615AA3"/>
    <w:rsid w:val="00617319"/>
    <w:rsid w:val="00622DA4"/>
    <w:rsid w:val="0062372C"/>
    <w:rsid w:val="00624014"/>
    <w:rsid w:val="00625F1D"/>
    <w:rsid w:val="00640608"/>
    <w:rsid w:val="0064133D"/>
    <w:rsid w:val="00652FD4"/>
    <w:rsid w:val="00654520"/>
    <w:rsid w:val="00654E63"/>
    <w:rsid w:val="0066584E"/>
    <w:rsid w:val="00674DC5"/>
    <w:rsid w:val="006807D7"/>
    <w:rsid w:val="00680FF4"/>
    <w:rsid w:val="006854C3"/>
    <w:rsid w:val="006948C4"/>
    <w:rsid w:val="006966B9"/>
    <w:rsid w:val="006B361A"/>
    <w:rsid w:val="006C72B6"/>
    <w:rsid w:val="006D4682"/>
    <w:rsid w:val="006E37A6"/>
    <w:rsid w:val="006E57EA"/>
    <w:rsid w:val="006F21D6"/>
    <w:rsid w:val="006F3287"/>
    <w:rsid w:val="0070372D"/>
    <w:rsid w:val="00712F3D"/>
    <w:rsid w:val="007209D0"/>
    <w:rsid w:val="007229E3"/>
    <w:rsid w:val="0073062E"/>
    <w:rsid w:val="00745DDD"/>
    <w:rsid w:val="00750302"/>
    <w:rsid w:val="007517DC"/>
    <w:rsid w:val="00754B06"/>
    <w:rsid w:val="00755BC7"/>
    <w:rsid w:val="00773B41"/>
    <w:rsid w:val="0078544A"/>
    <w:rsid w:val="007B76D2"/>
    <w:rsid w:val="007C5A55"/>
    <w:rsid w:val="007D057A"/>
    <w:rsid w:val="007E1F84"/>
    <w:rsid w:val="007E4702"/>
    <w:rsid w:val="007F07B7"/>
    <w:rsid w:val="008024D9"/>
    <w:rsid w:val="00812BF1"/>
    <w:rsid w:val="00815034"/>
    <w:rsid w:val="008178A6"/>
    <w:rsid w:val="00827FF4"/>
    <w:rsid w:val="0084285B"/>
    <w:rsid w:val="00847555"/>
    <w:rsid w:val="008642CF"/>
    <w:rsid w:val="008A4DC3"/>
    <w:rsid w:val="008B6077"/>
    <w:rsid w:val="008C77BD"/>
    <w:rsid w:val="008D1BB0"/>
    <w:rsid w:val="008D360F"/>
    <w:rsid w:val="008D40B8"/>
    <w:rsid w:val="008D5C72"/>
    <w:rsid w:val="008D6540"/>
    <w:rsid w:val="008E1033"/>
    <w:rsid w:val="008E2418"/>
    <w:rsid w:val="008F3D0A"/>
    <w:rsid w:val="008F4F38"/>
    <w:rsid w:val="00915355"/>
    <w:rsid w:val="00915FF8"/>
    <w:rsid w:val="00916712"/>
    <w:rsid w:val="00931500"/>
    <w:rsid w:val="00935701"/>
    <w:rsid w:val="00937D60"/>
    <w:rsid w:val="00942D44"/>
    <w:rsid w:val="00946CAF"/>
    <w:rsid w:val="00946F40"/>
    <w:rsid w:val="00955820"/>
    <w:rsid w:val="00960DED"/>
    <w:rsid w:val="00964B05"/>
    <w:rsid w:val="00965D06"/>
    <w:rsid w:val="00971B22"/>
    <w:rsid w:val="00992C70"/>
    <w:rsid w:val="0099739F"/>
    <w:rsid w:val="009A13A6"/>
    <w:rsid w:val="009A3601"/>
    <w:rsid w:val="009B3635"/>
    <w:rsid w:val="009B63AF"/>
    <w:rsid w:val="009C6EC9"/>
    <w:rsid w:val="009E2A1C"/>
    <w:rsid w:val="009E36DA"/>
    <w:rsid w:val="009E5DD0"/>
    <w:rsid w:val="009F0048"/>
    <w:rsid w:val="00A00284"/>
    <w:rsid w:val="00A014A2"/>
    <w:rsid w:val="00A07D99"/>
    <w:rsid w:val="00A15B38"/>
    <w:rsid w:val="00A2498D"/>
    <w:rsid w:val="00A322C3"/>
    <w:rsid w:val="00A365E4"/>
    <w:rsid w:val="00A47392"/>
    <w:rsid w:val="00A51EB1"/>
    <w:rsid w:val="00A5255A"/>
    <w:rsid w:val="00A622AB"/>
    <w:rsid w:val="00A662E4"/>
    <w:rsid w:val="00A72333"/>
    <w:rsid w:val="00A90AA4"/>
    <w:rsid w:val="00A910FC"/>
    <w:rsid w:val="00AA0658"/>
    <w:rsid w:val="00AB1A7F"/>
    <w:rsid w:val="00AB1E42"/>
    <w:rsid w:val="00AB784D"/>
    <w:rsid w:val="00AC0DDD"/>
    <w:rsid w:val="00AC318C"/>
    <w:rsid w:val="00AD48CA"/>
    <w:rsid w:val="00AD6801"/>
    <w:rsid w:val="00AE0835"/>
    <w:rsid w:val="00AE3B74"/>
    <w:rsid w:val="00AF0CFD"/>
    <w:rsid w:val="00AF4600"/>
    <w:rsid w:val="00AF5D2D"/>
    <w:rsid w:val="00B02CA8"/>
    <w:rsid w:val="00B12A36"/>
    <w:rsid w:val="00B15115"/>
    <w:rsid w:val="00B274FE"/>
    <w:rsid w:val="00B302A3"/>
    <w:rsid w:val="00B30818"/>
    <w:rsid w:val="00B46952"/>
    <w:rsid w:val="00B5194A"/>
    <w:rsid w:val="00B53C38"/>
    <w:rsid w:val="00B54E81"/>
    <w:rsid w:val="00B63858"/>
    <w:rsid w:val="00B65C49"/>
    <w:rsid w:val="00B850C8"/>
    <w:rsid w:val="00B85660"/>
    <w:rsid w:val="00B939E1"/>
    <w:rsid w:val="00B95F22"/>
    <w:rsid w:val="00B96406"/>
    <w:rsid w:val="00BB1BBE"/>
    <w:rsid w:val="00BB5E64"/>
    <w:rsid w:val="00BD57EA"/>
    <w:rsid w:val="00BD79EA"/>
    <w:rsid w:val="00BF4E23"/>
    <w:rsid w:val="00C01DCB"/>
    <w:rsid w:val="00C102CA"/>
    <w:rsid w:val="00C31E91"/>
    <w:rsid w:val="00C47AEE"/>
    <w:rsid w:val="00C57446"/>
    <w:rsid w:val="00C6493F"/>
    <w:rsid w:val="00C96C60"/>
    <w:rsid w:val="00CA0FD4"/>
    <w:rsid w:val="00CA26BE"/>
    <w:rsid w:val="00CA731F"/>
    <w:rsid w:val="00CB1FCA"/>
    <w:rsid w:val="00CB388E"/>
    <w:rsid w:val="00CC19C4"/>
    <w:rsid w:val="00CC1ACC"/>
    <w:rsid w:val="00CC6F28"/>
    <w:rsid w:val="00CC724F"/>
    <w:rsid w:val="00CD1832"/>
    <w:rsid w:val="00CD49EC"/>
    <w:rsid w:val="00CE4B4D"/>
    <w:rsid w:val="00CF2CDC"/>
    <w:rsid w:val="00D10861"/>
    <w:rsid w:val="00D26489"/>
    <w:rsid w:val="00D325C7"/>
    <w:rsid w:val="00D56D36"/>
    <w:rsid w:val="00D64747"/>
    <w:rsid w:val="00D7199A"/>
    <w:rsid w:val="00D84B41"/>
    <w:rsid w:val="00D8714C"/>
    <w:rsid w:val="00D87F71"/>
    <w:rsid w:val="00D958B6"/>
    <w:rsid w:val="00DA308E"/>
    <w:rsid w:val="00DB25C7"/>
    <w:rsid w:val="00DB293C"/>
    <w:rsid w:val="00DB32C3"/>
    <w:rsid w:val="00DB755A"/>
    <w:rsid w:val="00DE412D"/>
    <w:rsid w:val="00DF18D7"/>
    <w:rsid w:val="00E013CC"/>
    <w:rsid w:val="00E04F40"/>
    <w:rsid w:val="00E0519E"/>
    <w:rsid w:val="00E12FBF"/>
    <w:rsid w:val="00E134BD"/>
    <w:rsid w:val="00E2099D"/>
    <w:rsid w:val="00E27799"/>
    <w:rsid w:val="00E31E61"/>
    <w:rsid w:val="00E37123"/>
    <w:rsid w:val="00E45A22"/>
    <w:rsid w:val="00E50943"/>
    <w:rsid w:val="00E665C8"/>
    <w:rsid w:val="00E7175A"/>
    <w:rsid w:val="00E863E7"/>
    <w:rsid w:val="00E92AE3"/>
    <w:rsid w:val="00E93E12"/>
    <w:rsid w:val="00E93F82"/>
    <w:rsid w:val="00E964DA"/>
    <w:rsid w:val="00EB2026"/>
    <w:rsid w:val="00EB4482"/>
    <w:rsid w:val="00ED1EDE"/>
    <w:rsid w:val="00EE4048"/>
    <w:rsid w:val="00EE58F2"/>
    <w:rsid w:val="00EF77D3"/>
    <w:rsid w:val="00F014C1"/>
    <w:rsid w:val="00F0285A"/>
    <w:rsid w:val="00F04C8F"/>
    <w:rsid w:val="00F067CB"/>
    <w:rsid w:val="00F071DB"/>
    <w:rsid w:val="00F27635"/>
    <w:rsid w:val="00F34523"/>
    <w:rsid w:val="00F37C5E"/>
    <w:rsid w:val="00F506FA"/>
    <w:rsid w:val="00F614CE"/>
    <w:rsid w:val="00F74502"/>
    <w:rsid w:val="00F74A50"/>
    <w:rsid w:val="00F92772"/>
    <w:rsid w:val="00F92BF5"/>
    <w:rsid w:val="00FA0725"/>
    <w:rsid w:val="00FB00DF"/>
    <w:rsid w:val="00FB0815"/>
    <w:rsid w:val="00FB315A"/>
    <w:rsid w:val="00FC4778"/>
    <w:rsid w:val="00FE09C0"/>
    <w:rsid w:val="00FE2C7B"/>
    <w:rsid w:val="00FE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4A2"/>
    <w:rPr>
      <w:sz w:val="18"/>
      <w:szCs w:val="18"/>
    </w:rPr>
  </w:style>
  <w:style w:type="paragraph" w:styleId="a4">
    <w:name w:val="footer"/>
    <w:basedOn w:val="a"/>
    <w:link w:val="Char0"/>
    <w:uiPriority w:val="99"/>
    <w:unhideWhenUsed/>
    <w:rsid w:val="00A01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4A2"/>
    <w:rPr>
      <w:sz w:val="18"/>
      <w:szCs w:val="18"/>
    </w:rPr>
  </w:style>
  <w:style w:type="paragraph" w:styleId="a5">
    <w:name w:val="List Paragraph"/>
    <w:basedOn w:val="a"/>
    <w:uiPriority w:val="34"/>
    <w:qFormat/>
    <w:rsid w:val="00173A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4A2"/>
    <w:rPr>
      <w:sz w:val="18"/>
      <w:szCs w:val="18"/>
    </w:rPr>
  </w:style>
  <w:style w:type="paragraph" w:styleId="a4">
    <w:name w:val="footer"/>
    <w:basedOn w:val="a"/>
    <w:link w:val="Char0"/>
    <w:uiPriority w:val="99"/>
    <w:unhideWhenUsed/>
    <w:rsid w:val="00A01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4A2"/>
    <w:rPr>
      <w:sz w:val="18"/>
      <w:szCs w:val="18"/>
    </w:rPr>
  </w:style>
  <w:style w:type="paragraph" w:styleId="a5">
    <w:name w:val="List Paragraph"/>
    <w:basedOn w:val="a"/>
    <w:uiPriority w:val="34"/>
    <w:qFormat/>
    <w:rsid w:val="00173A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223F9179-C844-460E-A877-148C54EE6D07}">
  <ds:schemaRefs>
    <ds:schemaRef ds:uri="http://www.yonyou.com/datasource"/>
  </ds:schemaRefs>
</ds:datastoreItem>
</file>

<file path=customXml/itemProps2.xml><?xml version="1.0" encoding="utf-8"?>
<ds:datastoreItem xmlns:ds="http://schemas.openxmlformats.org/officeDocument/2006/customXml" ds:itemID="{D85846E1-63CC-42EE-AC7B-DF3929F3721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728</Words>
  <Characters>4156</Characters>
  <Application>Microsoft Office Word</Application>
  <DocSecurity>0</DocSecurity>
  <Lines>34</Lines>
  <Paragraphs>9</Paragraphs>
  <ScaleCrop>false</ScaleCrop>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336</cp:revision>
  <dcterms:created xsi:type="dcterms:W3CDTF">2022-04-19T12:33:00Z</dcterms:created>
  <dcterms:modified xsi:type="dcterms:W3CDTF">2023-08-18T04:07:00Z</dcterms:modified>
</cp:coreProperties>
</file>