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B15" w:rsidRDefault="001B4B15">
      <w:pPr>
        <w:pStyle w:val="text1"/>
        <w:spacing w:before="0" w:beforeAutospacing="0" w:after="0" w:afterAutospacing="0" w:line="360" w:lineRule="auto"/>
        <w:jc w:val="center"/>
        <w:rPr>
          <w:rFonts w:hint="eastAsia"/>
          <w:color w:val="auto"/>
          <w:sz w:val="24"/>
          <w:szCs w:val="24"/>
        </w:rPr>
      </w:pPr>
    </w:p>
    <w:p w:rsidR="001B4B15" w:rsidRPr="00CB5CB4" w:rsidRDefault="000F6DC5">
      <w:pPr>
        <w:pStyle w:val="text1"/>
        <w:spacing w:before="0" w:beforeAutospacing="0" w:after="0" w:afterAutospacing="0" w:line="560" w:lineRule="exact"/>
        <w:jc w:val="center"/>
        <w:rPr>
          <w:rFonts w:eastAsia="黑体"/>
          <w:color w:val="auto"/>
          <w:sz w:val="32"/>
        </w:rPr>
      </w:pPr>
      <w:r w:rsidRPr="00CB5CB4">
        <w:rPr>
          <w:rFonts w:eastAsia="黑体" w:hint="eastAsia"/>
          <w:color w:val="auto"/>
          <w:sz w:val="32"/>
        </w:rPr>
        <w:t>广东天亿马信息产业股份有限公司</w:t>
      </w:r>
    </w:p>
    <w:p w:rsidR="001B4B15" w:rsidRPr="00CB5CB4" w:rsidRDefault="000F6DC5">
      <w:pPr>
        <w:pStyle w:val="text1"/>
        <w:spacing w:before="0" w:beforeAutospacing="0" w:after="0" w:afterAutospacing="0" w:line="560" w:lineRule="exact"/>
        <w:jc w:val="center"/>
        <w:rPr>
          <w:rFonts w:eastAsia="黑体"/>
          <w:color w:val="auto"/>
          <w:sz w:val="32"/>
          <w:szCs w:val="32"/>
        </w:rPr>
      </w:pPr>
      <w:r w:rsidRPr="00CB5CB4">
        <w:rPr>
          <w:rFonts w:eastAsia="黑体" w:hint="eastAsia"/>
          <w:color w:val="auto"/>
          <w:sz w:val="32"/>
          <w:szCs w:val="32"/>
        </w:rPr>
        <w:t>2023</w:t>
      </w:r>
      <w:r w:rsidR="001B4B15" w:rsidRPr="00CB5CB4">
        <w:rPr>
          <w:rFonts w:eastAsia="黑体" w:hint="eastAsia"/>
          <w:color w:val="auto"/>
          <w:sz w:val="32"/>
          <w:szCs w:val="32"/>
        </w:rPr>
        <w:t>年</w:t>
      </w:r>
      <w:r w:rsidR="001B4B15" w:rsidRPr="00CB5CB4">
        <w:rPr>
          <w:rFonts w:eastAsia="黑体"/>
          <w:color w:val="auto"/>
          <w:sz w:val="32"/>
          <w:szCs w:val="32"/>
        </w:rPr>
        <w:t>限制性股票激励计划实施考核管理办法</w:t>
      </w:r>
      <w:r w:rsidR="003D5EC4">
        <w:rPr>
          <w:rFonts w:eastAsia="黑体" w:hint="eastAsia"/>
          <w:color w:val="auto"/>
          <w:sz w:val="32"/>
          <w:szCs w:val="32"/>
        </w:rPr>
        <w:t>（修订稿）</w:t>
      </w:r>
    </w:p>
    <w:p w:rsidR="001B4B15" w:rsidRPr="00CB5CB4" w:rsidRDefault="001B4B15">
      <w:pPr>
        <w:pStyle w:val="a8"/>
        <w:spacing w:before="0" w:beforeAutospacing="0" w:after="0" w:afterAutospacing="0" w:line="300" w:lineRule="auto"/>
        <w:ind w:firstLineChars="200" w:firstLine="482"/>
        <w:rPr>
          <w:rFonts w:ascii="Times New Roman" w:hAnsi="Times New Roman"/>
          <w:b/>
          <w:bCs/>
          <w:color w:val="000000"/>
          <w:szCs w:val="18"/>
        </w:rPr>
      </w:pPr>
    </w:p>
    <w:p w:rsidR="001B4B15" w:rsidRPr="00CB5CB4" w:rsidRDefault="000F6DC5">
      <w:pPr>
        <w:pStyle w:val="a8"/>
        <w:spacing w:beforeLines="50" w:before="156" w:beforeAutospacing="0" w:after="0" w:afterAutospacing="0" w:line="360" w:lineRule="auto"/>
        <w:ind w:firstLineChars="200" w:firstLine="480"/>
        <w:jc w:val="both"/>
        <w:rPr>
          <w:rFonts w:ascii="Times New Roman" w:hAnsi="Times New Roman"/>
          <w:bCs/>
          <w:color w:val="000000"/>
        </w:rPr>
      </w:pPr>
      <w:r w:rsidRPr="00CB5CB4">
        <w:rPr>
          <w:rFonts w:ascii="Times New Roman" w:hAnsi="Times New Roman" w:hint="eastAsia"/>
          <w:bCs/>
          <w:color w:val="000000"/>
        </w:rPr>
        <w:t>广东天亿马信息产业股份有限公司</w:t>
      </w:r>
      <w:r w:rsidR="001B4B15" w:rsidRPr="00CB5CB4">
        <w:rPr>
          <w:rFonts w:ascii="Times New Roman" w:hAnsi="Times New Roman"/>
          <w:bCs/>
          <w:color w:val="000000"/>
        </w:rPr>
        <w:t>（以下简称</w:t>
      </w:r>
      <w:r w:rsidR="001B4B15" w:rsidRPr="00B515F1">
        <w:rPr>
          <w:rFonts w:hint="eastAsia"/>
          <w:bCs/>
          <w:color w:val="000000"/>
        </w:rPr>
        <w:t>“</w:t>
      </w:r>
      <w:r w:rsidR="001B4B15" w:rsidRPr="00CB5CB4">
        <w:rPr>
          <w:rFonts w:ascii="Times New Roman" w:hAnsi="Times New Roman"/>
          <w:bCs/>
          <w:color w:val="000000"/>
        </w:rPr>
        <w:t>公司</w:t>
      </w:r>
      <w:r w:rsidR="001B4B15" w:rsidRPr="00B515F1">
        <w:rPr>
          <w:rFonts w:hint="eastAsia"/>
          <w:bCs/>
          <w:color w:val="000000"/>
        </w:rPr>
        <w:t>”</w:t>
      </w:r>
      <w:r w:rsidR="004D538D" w:rsidRPr="00CB5CB4">
        <w:rPr>
          <w:rFonts w:ascii="Times New Roman" w:hAnsi="Times New Roman" w:hint="eastAsia"/>
          <w:bCs/>
          <w:color w:val="000000"/>
        </w:rPr>
        <w:t>或</w:t>
      </w:r>
      <w:r w:rsidR="004D538D" w:rsidRPr="00B515F1">
        <w:rPr>
          <w:rFonts w:hint="eastAsia"/>
          <w:bCs/>
          <w:color w:val="000000"/>
        </w:rPr>
        <w:t>“</w:t>
      </w:r>
      <w:r w:rsidR="004D538D" w:rsidRPr="00CB5CB4">
        <w:rPr>
          <w:rFonts w:ascii="Times New Roman" w:hAnsi="Times New Roman" w:hint="eastAsia"/>
          <w:bCs/>
          <w:color w:val="000000"/>
        </w:rPr>
        <w:t>天亿马</w:t>
      </w:r>
      <w:r w:rsidR="004D538D" w:rsidRPr="00B515F1">
        <w:rPr>
          <w:rFonts w:hint="eastAsia"/>
          <w:bCs/>
          <w:color w:val="000000"/>
        </w:rPr>
        <w:t>”</w:t>
      </w:r>
      <w:r w:rsidR="001B4B15" w:rsidRPr="00CB5CB4">
        <w:rPr>
          <w:rFonts w:ascii="Times New Roman" w:hAnsi="Times New Roman" w:hint="eastAsia"/>
          <w:bCs/>
          <w:color w:val="000000"/>
        </w:rPr>
        <w:t>）为进一步完善公司法人治理结构，建立、健全公司长效激励约束机制，吸引和留住</w:t>
      </w:r>
      <w:r w:rsidRPr="00CB5CB4">
        <w:rPr>
          <w:rFonts w:ascii="Times New Roman" w:hAnsi="Times New Roman" w:hint="eastAsia"/>
          <w:bCs/>
          <w:color w:val="000000"/>
        </w:rPr>
        <w:t>公司</w:t>
      </w:r>
      <w:r w:rsidR="00721D36" w:rsidRPr="00CB5CB4">
        <w:rPr>
          <w:rFonts w:ascii="Times New Roman" w:hAnsi="Times New Roman" w:hint="eastAsia"/>
          <w:bCs/>
          <w:color w:val="000000"/>
        </w:rPr>
        <w:t>核心管理人员与关键人才</w:t>
      </w:r>
      <w:r w:rsidR="001B4B15" w:rsidRPr="00CB5CB4">
        <w:rPr>
          <w:rFonts w:ascii="Times New Roman" w:hAnsi="Times New Roman" w:hint="eastAsia"/>
          <w:bCs/>
          <w:color w:val="000000"/>
        </w:rPr>
        <w:t>，充分调动其积极性和创造性，有效提升核心团队凝聚力和企业核心竞争力，有效地将股东、公司和核心团队三方利益结合在一起，使各方共同关注公司的长远发展，确保公司发展战略和经营目标的实现，在充分保障股东利益的前提下，按照收益与贡献对等的原则，</w:t>
      </w:r>
      <w:r w:rsidR="001B4B15" w:rsidRPr="00CB5CB4">
        <w:rPr>
          <w:rFonts w:ascii="Times New Roman" w:hAnsi="Times New Roman"/>
        </w:rPr>
        <w:t>公司制订了《</w:t>
      </w:r>
      <w:r w:rsidRPr="00CB5CB4">
        <w:rPr>
          <w:rFonts w:ascii="Times New Roman" w:hAnsi="Times New Roman" w:hint="eastAsia"/>
        </w:rPr>
        <w:t>广东天亿马信息产业股份有限公司</w:t>
      </w:r>
      <w:r w:rsidRPr="00CB5CB4">
        <w:rPr>
          <w:rFonts w:ascii="Times New Roman" w:hAnsi="Times New Roman" w:hint="eastAsia"/>
          <w:bCs/>
          <w:color w:val="000000"/>
        </w:rPr>
        <w:t>2023</w:t>
      </w:r>
      <w:r w:rsidR="001B4B15" w:rsidRPr="00CB5CB4">
        <w:rPr>
          <w:rFonts w:ascii="Times New Roman" w:hAnsi="Times New Roman" w:hint="eastAsia"/>
          <w:bCs/>
          <w:color w:val="000000"/>
        </w:rPr>
        <w:t>年</w:t>
      </w:r>
      <w:r w:rsidR="001B4B15" w:rsidRPr="00CB5CB4">
        <w:rPr>
          <w:rFonts w:ascii="Times New Roman" w:hAnsi="Times New Roman"/>
        </w:rPr>
        <w:t>限制性股票激励计划（草案</w:t>
      </w:r>
      <w:r w:rsidR="00765973">
        <w:rPr>
          <w:rFonts w:ascii="Times New Roman" w:hAnsi="Times New Roman" w:hint="eastAsia"/>
        </w:rPr>
        <w:t>修订稿</w:t>
      </w:r>
      <w:r w:rsidR="001B4B15" w:rsidRPr="00CB5CB4">
        <w:rPr>
          <w:rFonts w:ascii="Times New Roman" w:hAnsi="Times New Roman"/>
        </w:rPr>
        <w:t>）》（以下简称</w:t>
      </w:r>
      <w:r w:rsidR="001B4B15" w:rsidRPr="00B515F1">
        <w:t>“</w:t>
      </w:r>
      <w:r w:rsidR="001B4B15" w:rsidRPr="00CB5CB4">
        <w:rPr>
          <w:rFonts w:ascii="Times New Roman" w:hAnsi="Times New Roman"/>
        </w:rPr>
        <w:t>本</w:t>
      </w:r>
      <w:r w:rsidR="00735E74" w:rsidRPr="00CB5CB4">
        <w:rPr>
          <w:rFonts w:ascii="Times New Roman" w:hAnsi="Times New Roman" w:hint="eastAsia"/>
        </w:rPr>
        <w:t>次</w:t>
      </w:r>
      <w:r w:rsidR="001B4B15" w:rsidRPr="00CB5CB4">
        <w:rPr>
          <w:rFonts w:ascii="Times New Roman" w:hAnsi="Times New Roman"/>
        </w:rPr>
        <w:t>激励计划</w:t>
      </w:r>
      <w:r w:rsidR="001B4B15" w:rsidRPr="00B515F1">
        <w:t>”</w:t>
      </w:r>
      <w:r w:rsidR="001B4B15" w:rsidRPr="00CB5CB4">
        <w:rPr>
          <w:rFonts w:ascii="Times New Roman" w:hAnsi="Times New Roman"/>
        </w:rPr>
        <w:t>或</w:t>
      </w:r>
      <w:r w:rsidR="001B4B15" w:rsidRPr="00B515F1">
        <w:t>“</w:t>
      </w:r>
      <w:r w:rsidR="001B4B15" w:rsidRPr="00CB5CB4">
        <w:rPr>
          <w:rFonts w:ascii="Times New Roman" w:hAnsi="Times New Roman"/>
        </w:rPr>
        <w:t>本激励计划</w:t>
      </w:r>
      <w:r w:rsidR="001B4B15" w:rsidRPr="00B515F1">
        <w:t>”</w:t>
      </w:r>
      <w:r w:rsidR="001B4B15" w:rsidRPr="00CB5CB4">
        <w:rPr>
          <w:rFonts w:ascii="Times New Roman" w:hAnsi="Times New Roman"/>
        </w:rPr>
        <w:t>）</w:t>
      </w:r>
      <w:r w:rsidR="001B4B15" w:rsidRPr="00CB5CB4">
        <w:rPr>
          <w:rFonts w:ascii="Times New Roman" w:hAnsi="Times New Roman"/>
          <w:bCs/>
          <w:color w:val="000000"/>
        </w:rPr>
        <w:t>。</w:t>
      </w:r>
    </w:p>
    <w:p w:rsidR="001B4B15" w:rsidRPr="00CB5CB4" w:rsidRDefault="001B4B15">
      <w:pPr>
        <w:pStyle w:val="a8"/>
        <w:spacing w:beforeLines="50" w:before="156" w:beforeAutospacing="0" w:after="0" w:afterAutospacing="0" w:line="360" w:lineRule="auto"/>
        <w:ind w:firstLineChars="200" w:firstLine="480"/>
        <w:jc w:val="both"/>
        <w:rPr>
          <w:rFonts w:ascii="Times New Roman" w:hAnsi="Times New Roman"/>
          <w:bCs/>
          <w:color w:val="000000"/>
        </w:rPr>
      </w:pPr>
      <w:r w:rsidRPr="00CB5CB4">
        <w:rPr>
          <w:rFonts w:ascii="Times New Roman" w:hAnsi="Times New Roman"/>
          <w:color w:val="000000"/>
          <w:szCs w:val="18"/>
        </w:rPr>
        <w:t>为保证公司本</w:t>
      </w:r>
      <w:r w:rsidR="00735E74" w:rsidRPr="00CB5CB4">
        <w:rPr>
          <w:rFonts w:ascii="Times New Roman" w:hAnsi="Times New Roman" w:hint="eastAsia"/>
          <w:color w:val="000000"/>
          <w:szCs w:val="18"/>
        </w:rPr>
        <w:t>次</w:t>
      </w:r>
      <w:r w:rsidRPr="00CB5CB4">
        <w:rPr>
          <w:rFonts w:ascii="Times New Roman" w:hAnsi="Times New Roman"/>
          <w:color w:val="000000"/>
          <w:szCs w:val="18"/>
        </w:rPr>
        <w:t>激励计划的顺利实施，</w:t>
      </w:r>
      <w:r w:rsidRPr="00CB5CB4">
        <w:rPr>
          <w:rFonts w:ascii="Times New Roman" w:hAnsi="Times New Roman"/>
          <w:bCs/>
          <w:color w:val="000000"/>
        </w:rPr>
        <w:t>现根据《中华人民共和国公司法》《中华人民共和国证券法》</w:t>
      </w:r>
      <w:r w:rsidRPr="00CB5CB4">
        <w:rPr>
          <w:rFonts w:ascii="Times New Roman" w:hAnsi="Times New Roman"/>
        </w:rPr>
        <w:t>《上市公司股权激励管理办法》</w:t>
      </w:r>
      <w:r w:rsidRPr="00CB5CB4">
        <w:t>《深圳证券交易所创业板上市公司自律监管指南第1号——业务办理》</w:t>
      </w:r>
      <w:r w:rsidRPr="00CB5CB4">
        <w:rPr>
          <w:rFonts w:ascii="Times New Roman" w:hAnsi="Times New Roman"/>
          <w:bCs/>
          <w:color w:val="000000"/>
        </w:rPr>
        <w:t>等有关法律、行政法规、规范性文件和《</w:t>
      </w:r>
      <w:r w:rsidR="000F6DC5" w:rsidRPr="00CB5CB4">
        <w:rPr>
          <w:rFonts w:hint="eastAsia"/>
        </w:rPr>
        <w:t>广东天亿马信息产业股份有限公司</w:t>
      </w:r>
      <w:r w:rsidRPr="00CB5CB4">
        <w:rPr>
          <w:rFonts w:ascii="Times New Roman" w:hAnsi="Times New Roman"/>
          <w:bCs/>
          <w:color w:val="000000"/>
        </w:rPr>
        <w:t>章程》的有关规定，并结合公司实际情况，特制订本办法。</w:t>
      </w:r>
    </w:p>
    <w:p w:rsidR="001B4B15" w:rsidRPr="00CB5CB4" w:rsidRDefault="001B4B15">
      <w:pPr>
        <w:pStyle w:val="a8"/>
        <w:spacing w:beforeLines="100" w:before="312" w:beforeAutospacing="0" w:after="0" w:afterAutospacing="0" w:line="360" w:lineRule="auto"/>
        <w:ind w:firstLineChars="200" w:firstLine="482"/>
        <w:rPr>
          <w:rFonts w:ascii="Times New Roman" w:hAnsi="Times New Roman"/>
          <w:color w:val="000000"/>
          <w:szCs w:val="18"/>
        </w:rPr>
      </w:pPr>
      <w:r w:rsidRPr="00CB5CB4">
        <w:rPr>
          <w:rFonts w:ascii="Times New Roman" w:hAnsi="Times New Roman"/>
          <w:b/>
          <w:bCs/>
          <w:color w:val="000000"/>
          <w:szCs w:val="18"/>
        </w:rPr>
        <w:t>第一条</w:t>
      </w:r>
      <w:r w:rsidRPr="00CB5CB4">
        <w:rPr>
          <w:rFonts w:ascii="Times New Roman" w:hAnsi="Times New Roman"/>
          <w:color w:val="000000"/>
          <w:szCs w:val="18"/>
        </w:rPr>
        <w:t xml:space="preserve"> </w:t>
      </w:r>
      <w:r w:rsidRPr="00CB5CB4">
        <w:rPr>
          <w:rFonts w:ascii="Times New Roman" w:hAnsi="Times New Roman"/>
          <w:b/>
          <w:color w:val="000000"/>
          <w:szCs w:val="18"/>
        </w:rPr>
        <w:t>考核目的</w:t>
      </w:r>
    </w:p>
    <w:p w:rsidR="001B4B15" w:rsidRPr="00CB5CB4" w:rsidRDefault="001B4B15">
      <w:pPr>
        <w:pStyle w:val="a8"/>
        <w:spacing w:beforeLines="50" w:before="156" w:beforeAutospacing="0" w:line="360" w:lineRule="auto"/>
        <w:ind w:firstLineChars="200" w:firstLine="480"/>
        <w:jc w:val="both"/>
        <w:rPr>
          <w:rFonts w:ascii="Times New Roman" w:hAnsi="Times New Roman"/>
          <w:color w:val="000000"/>
          <w:szCs w:val="18"/>
        </w:rPr>
      </w:pPr>
      <w:r w:rsidRPr="00CB5CB4">
        <w:rPr>
          <w:rFonts w:ascii="Times New Roman" w:hAnsi="Times New Roman"/>
        </w:rPr>
        <w:t>制定本办法的目的是加强公司</w:t>
      </w:r>
      <w:r w:rsidR="00735E74" w:rsidRPr="00CB5CB4">
        <w:rPr>
          <w:rFonts w:ascii="Times New Roman" w:hAnsi="Times New Roman" w:hint="eastAsia"/>
        </w:rPr>
        <w:t>本次</w:t>
      </w:r>
      <w:r w:rsidRPr="00CB5CB4">
        <w:rPr>
          <w:rFonts w:ascii="Times New Roman" w:hAnsi="Times New Roman"/>
        </w:rPr>
        <w:t>激励计划执行的计划性，量化设定的具体目标，促进激励对象考核管理的科学化、规范化、制度化，确保实现公司</w:t>
      </w:r>
      <w:r w:rsidR="004D538D" w:rsidRPr="00CB5CB4">
        <w:rPr>
          <w:rFonts w:ascii="Times New Roman" w:hAnsi="Times New Roman" w:hint="eastAsia"/>
        </w:rPr>
        <w:t>本次</w:t>
      </w:r>
      <w:r w:rsidRPr="00CB5CB4">
        <w:rPr>
          <w:rFonts w:ascii="Times New Roman" w:hAnsi="Times New Roman"/>
        </w:rPr>
        <w:t>激励计划的各项业绩指标；同时引导激励对象提高工作绩效，提升工作能力，客观、公正评价员工的绩效和贡献，为本激励计划的执行提供客观、全面的评价依据。</w:t>
      </w:r>
    </w:p>
    <w:p w:rsidR="001B4B15" w:rsidRPr="00CB5CB4" w:rsidRDefault="001B4B15">
      <w:pPr>
        <w:pStyle w:val="a8"/>
        <w:spacing w:beforeLines="100" w:before="312" w:beforeAutospacing="0" w:after="0" w:afterAutospacing="0" w:line="360" w:lineRule="auto"/>
        <w:ind w:firstLineChars="200" w:firstLine="482"/>
        <w:rPr>
          <w:rFonts w:ascii="Times New Roman" w:hAnsi="Times New Roman"/>
          <w:b/>
          <w:color w:val="000000"/>
          <w:szCs w:val="18"/>
        </w:rPr>
      </w:pPr>
      <w:r w:rsidRPr="00CB5CB4">
        <w:rPr>
          <w:rFonts w:ascii="Times New Roman" w:hAnsi="Times New Roman"/>
          <w:b/>
          <w:bCs/>
          <w:color w:val="000000"/>
          <w:szCs w:val="18"/>
        </w:rPr>
        <w:t>第二条</w:t>
      </w:r>
      <w:r w:rsidRPr="00CB5CB4">
        <w:rPr>
          <w:rFonts w:ascii="Times New Roman" w:hAnsi="Times New Roman"/>
          <w:color w:val="000000"/>
          <w:szCs w:val="18"/>
        </w:rPr>
        <w:t xml:space="preserve"> </w:t>
      </w:r>
      <w:r w:rsidRPr="00CB5CB4">
        <w:rPr>
          <w:rFonts w:ascii="Times New Roman" w:hAnsi="Times New Roman"/>
          <w:b/>
          <w:color w:val="000000"/>
          <w:szCs w:val="18"/>
        </w:rPr>
        <w:t>考核原则</w:t>
      </w:r>
    </w:p>
    <w:p w:rsidR="001B4B15" w:rsidRPr="00CB5CB4" w:rsidRDefault="001B4B15">
      <w:pPr>
        <w:pStyle w:val="a8"/>
        <w:spacing w:beforeLines="50" w:before="156" w:beforeAutospacing="0" w:after="0" w:afterAutospacing="0" w:line="360" w:lineRule="auto"/>
        <w:ind w:firstLineChars="200" w:firstLine="480"/>
        <w:jc w:val="both"/>
        <w:rPr>
          <w:rFonts w:ascii="Times New Roman" w:hAnsi="Times New Roman"/>
          <w:color w:val="000000"/>
        </w:rPr>
      </w:pPr>
      <w:r w:rsidRPr="00CB5CB4">
        <w:rPr>
          <w:rFonts w:ascii="Times New Roman" w:hAnsi="Times New Roman"/>
          <w:color w:val="000000"/>
        </w:rPr>
        <w:t>（一）坚持公平、公正、公开的原则，严格按照</w:t>
      </w:r>
      <w:r w:rsidRPr="00CB5CB4">
        <w:rPr>
          <w:rFonts w:ascii="Times New Roman" w:hAnsi="Times New Roman"/>
          <w:color w:val="000000"/>
          <w:szCs w:val="18"/>
        </w:rPr>
        <w:t>本办法</w:t>
      </w:r>
      <w:r w:rsidRPr="00CB5CB4">
        <w:rPr>
          <w:rFonts w:ascii="Times New Roman" w:hAnsi="Times New Roman"/>
          <w:color w:val="000000"/>
        </w:rPr>
        <w:t>考核评估激励对象；</w:t>
      </w:r>
    </w:p>
    <w:p w:rsidR="001B4B15" w:rsidRPr="00CB5CB4" w:rsidRDefault="001B4B15">
      <w:pPr>
        <w:pStyle w:val="a8"/>
        <w:spacing w:beforeLines="50" w:before="156" w:beforeAutospacing="0" w:after="0" w:afterAutospacing="0" w:line="360" w:lineRule="auto"/>
        <w:ind w:firstLineChars="200" w:firstLine="480"/>
        <w:jc w:val="both"/>
        <w:rPr>
          <w:rFonts w:ascii="Times New Roman" w:hAnsi="Times New Roman"/>
        </w:rPr>
      </w:pPr>
      <w:r w:rsidRPr="00CB5CB4">
        <w:rPr>
          <w:rFonts w:ascii="Times New Roman" w:hAnsi="Times New Roman"/>
          <w:color w:val="000000"/>
        </w:rPr>
        <w:t>（二）</w:t>
      </w:r>
      <w:r w:rsidRPr="00CB5CB4">
        <w:rPr>
          <w:rFonts w:ascii="Times New Roman" w:hAnsi="Times New Roman"/>
        </w:rPr>
        <w:t>考核指标与公司中长期发展战略、年度经营目标结合；与激励对象工作业绩、工作能力和工作态度结合。</w:t>
      </w:r>
    </w:p>
    <w:p w:rsidR="001B4B15" w:rsidRPr="00CB5CB4" w:rsidRDefault="001B4B15">
      <w:pPr>
        <w:pStyle w:val="a8"/>
        <w:spacing w:beforeLines="50" w:before="156" w:beforeAutospacing="0" w:after="0" w:afterAutospacing="0" w:line="360" w:lineRule="auto"/>
        <w:ind w:firstLineChars="200" w:firstLine="482"/>
        <w:jc w:val="both"/>
        <w:rPr>
          <w:rFonts w:ascii="Times New Roman" w:hAnsi="Times New Roman"/>
          <w:b/>
          <w:color w:val="000000"/>
          <w:szCs w:val="18"/>
        </w:rPr>
      </w:pPr>
      <w:r w:rsidRPr="00CB5CB4">
        <w:rPr>
          <w:rFonts w:ascii="Times New Roman" w:hAnsi="Times New Roman"/>
          <w:b/>
          <w:bCs/>
          <w:color w:val="000000"/>
          <w:szCs w:val="18"/>
        </w:rPr>
        <w:lastRenderedPageBreak/>
        <w:t>第三条</w:t>
      </w:r>
      <w:r w:rsidRPr="00CB5CB4">
        <w:rPr>
          <w:rFonts w:ascii="Times New Roman" w:hAnsi="Times New Roman"/>
          <w:b/>
          <w:bCs/>
          <w:color w:val="000000"/>
          <w:szCs w:val="18"/>
        </w:rPr>
        <w:t xml:space="preserve"> </w:t>
      </w:r>
      <w:r w:rsidRPr="00CB5CB4">
        <w:rPr>
          <w:rFonts w:ascii="Times New Roman" w:hAnsi="Times New Roman"/>
          <w:b/>
          <w:color w:val="000000"/>
          <w:szCs w:val="18"/>
        </w:rPr>
        <w:t>考核范围</w:t>
      </w:r>
    </w:p>
    <w:p w:rsidR="000F6DC5" w:rsidRPr="00CB5CB4" w:rsidRDefault="001B4B15">
      <w:pPr>
        <w:pStyle w:val="a8"/>
        <w:spacing w:beforeLines="50" w:before="156" w:beforeAutospacing="0" w:line="360" w:lineRule="auto"/>
        <w:ind w:firstLineChars="200" w:firstLine="480"/>
        <w:jc w:val="both"/>
        <w:rPr>
          <w:rFonts w:ascii="Times New Roman" w:hAnsi="Times New Roman"/>
        </w:rPr>
      </w:pPr>
      <w:r w:rsidRPr="00CB5CB4">
        <w:rPr>
          <w:rFonts w:ascii="Times New Roman" w:hAnsi="Times New Roman"/>
          <w:color w:val="000000"/>
          <w:szCs w:val="18"/>
        </w:rPr>
        <w:t>本办法适用于本激励计划所确定的所有激励对象</w:t>
      </w:r>
      <w:r w:rsidRPr="00CB5CB4">
        <w:rPr>
          <w:rFonts w:ascii="Times New Roman" w:hAnsi="Times New Roman" w:hint="eastAsia"/>
          <w:color w:val="000000"/>
          <w:szCs w:val="18"/>
        </w:rPr>
        <w:t>，</w:t>
      </w:r>
      <w:r w:rsidRPr="00CB5CB4">
        <w:rPr>
          <w:rFonts w:ascii="Times New Roman" w:hAnsi="Times New Roman"/>
          <w:color w:val="000000"/>
          <w:szCs w:val="18"/>
        </w:rPr>
        <w:t>包括</w:t>
      </w:r>
      <w:r w:rsidR="000F6DC5" w:rsidRPr="00CB5CB4">
        <w:rPr>
          <w:rFonts w:ascii="Times New Roman" w:hAnsi="Times New Roman" w:hint="eastAsia"/>
          <w:color w:val="000000"/>
          <w:szCs w:val="18"/>
        </w:rPr>
        <w:t>公司任职的董事、高级管理人员以及核心员工</w:t>
      </w:r>
      <w:r w:rsidRPr="00CB5CB4">
        <w:rPr>
          <w:rFonts w:hint="eastAsia"/>
        </w:rPr>
        <w:t>，不含</w:t>
      </w:r>
      <w:r w:rsidR="000F6DC5" w:rsidRPr="00CB5CB4">
        <w:rPr>
          <w:rFonts w:hint="eastAsia"/>
        </w:rPr>
        <w:t>天亿马</w:t>
      </w:r>
      <w:r w:rsidRPr="00CB5CB4">
        <w:rPr>
          <w:rFonts w:hint="eastAsia"/>
        </w:rPr>
        <w:t>独立董事、监事以及外籍员工。</w:t>
      </w:r>
      <w:r w:rsidR="000F6DC5" w:rsidRPr="00CB5CB4">
        <w:rPr>
          <w:rFonts w:ascii="Times New Roman" w:hAnsi="Times New Roman" w:hint="eastAsia"/>
        </w:rPr>
        <w:t>本激励计划的激励对象中，公司董事必须经公司股东大会选举，公司高级管理人员必须经公司董事会聘任。所有激励对象必须在公司授予限制性股票时和本激励计划规定的考核期内与公司或子公司签署劳动合同或聘用合同。</w:t>
      </w:r>
    </w:p>
    <w:p w:rsidR="001B4B15" w:rsidRPr="00CB5CB4" w:rsidRDefault="001B4B15" w:rsidP="000F6DC5">
      <w:pPr>
        <w:pStyle w:val="a8"/>
        <w:spacing w:beforeLines="50" w:before="156" w:beforeAutospacing="0" w:line="360" w:lineRule="auto"/>
        <w:ind w:firstLineChars="200" w:firstLine="482"/>
        <w:jc w:val="both"/>
        <w:rPr>
          <w:rFonts w:ascii="Times New Roman" w:hAnsi="Times New Roman"/>
          <w:b/>
          <w:color w:val="000000"/>
          <w:szCs w:val="18"/>
        </w:rPr>
      </w:pPr>
      <w:r w:rsidRPr="00CB5CB4">
        <w:rPr>
          <w:rFonts w:ascii="Times New Roman" w:hAnsi="Times New Roman"/>
          <w:b/>
          <w:bCs/>
          <w:color w:val="000000"/>
          <w:szCs w:val="18"/>
        </w:rPr>
        <w:t>第四条</w:t>
      </w:r>
      <w:r w:rsidRPr="00CB5CB4">
        <w:rPr>
          <w:rFonts w:ascii="Times New Roman" w:hAnsi="Times New Roman"/>
          <w:color w:val="000000"/>
          <w:szCs w:val="18"/>
        </w:rPr>
        <w:t xml:space="preserve"> </w:t>
      </w:r>
      <w:r w:rsidRPr="00CB5CB4">
        <w:rPr>
          <w:rFonts w:ascii="Times New Roman" w:hAnsi="Times New Roman"/>
          <w:b/>
          <w:color w:val="000000"/>
          <w:szCs w:val="18"/>
        </w:rPr>
        <w:t>考核机构及执行机构</w:t>
      </w:r>
    </w:p>
    <w:p w:rsidR="001B4B15" w:rsidRPr="00CB5CB4" w:rsidRDefault="001B4B15">
      <w:pPr>
        <w:pStyle w:val="a8"/>
        <w:spacing w:beforeLines="50" w:before="156" w:beforeAutospacing="0" w:after="0" w:afterAutospacing="0" w:line="360" w:lineRule="auto"/>
        <w:ind w:firstLineChars="200" w:firstLine="480"/>
        <w:jc w:val="both"/>
        <w:rPr>
          <w:rFonts w:ascii="Times New Roman" w:hAnsi="Times New Roman"/>
          <w:color w:val="000000"/>
          <w:szCs w:val="18"/>
        </w:rPr>
      </w:pPr>
      <w:r w:rsidRPr="00CB5CB4">
        <w:rPr>
          <w:rFonts w:ascii="Times New Roman" w:hAnsi="Times New Roman"/>
          <w:color w:val="000000"/>
          <w:szCs w:val="18"/>
        </w:rPr>
        <w:t>（一）董事会薪酬与考核委员会（以下简称</w:t>
      </w:r>
      <w:r w:rsidRPr="00B515F1">
        <w:rPr>
          <w:rFonts w:hint="eastAsia"/>
          <w:color w:val="000000"/>
          <w:szCs w:val="18"/>
        </w:rPr>
        <w:t>“</w:t>
      </w:r>
      <w:r w:rsidRPr="00CB5CB4">
        <w:rPr>
          <w:rFonts w:ascii="Times New Roman" w:hAnsi="Times New Roman"/>
          <w:color w:val="000000"/>
          <w:szCs w:val="18"/>
        </w:rPr>
        <w:t>薪酬委员会</w:t>
      </w:r>
      <w:r w:rsidRPr="00B515F1">
        <w:rPr>
          <w:rFonts w:hint="eastAsia"/>
          <w:color w:val="000000"/>
          <w:szCs w:val="18"/>
        </w:rPr>
        <w:t>”</w:t>
      </w:r>
      <w:r w:rsidRPr="00CB5CB4">
        <w:rPr>
          <w:rFonts w:ascii="Times New Roman" w:hAnsi="Times New Roman"/>
          <w:color w:val="000000"/>
          <w:szCs w:val="18"/>
        </w:rPr>
        <w:t>）负责本次</w:t>
      </w:r>
      <w:r w:rsidRPr="00CB5CB4">
        <w:rPr>
          <w:rFonts w:ascii="Times New Roman" w:hAnsi="Times New Roman" w:hint="eastAsia"/>
          <w:color w:val="000000"/>
          <w:szCs w:val="18"/>
        </w:rPr>
        <w:t>限制性股票</w:t>
      </w:r>
      <w:r w:rsidRPr="00CB5CB4">
        <w:rPr>
          <w:rFonts w:ascii="Times New Roman" w:hAnsi="Times New Roman"/>
          <w:color w:val="000000"/>
          <w:szCs w:val="18"/>
        </w:rPr>
        <w:t>激励</w:t>
      </w:r>
      <w:r w:rsidRPr="00CB5CB4">
        <w:rPr>
          <w:rFonts w:ascii="Times New Roman" w:hAnsi="Times New Roman" w:hint="eastAsia"/>
          <w:color w:val="000000"/>
          <w:szCs w:val="18"/>
        </w:rPr>
        <w:t>计划</w:t>
      </w:r>
      <w:r w:rsidRPr="00CB5CB4">
        <w:rPr>
          <w:rFonts w:ascii="Times New Roman" w:hAnsi="Times New Roman"/>
          <w:color w:val="000000"/>
          <w:szCs w:val="18"/>
        </w:rPr>
        <w:t>的组织、实施工作；</w:t>
      </w:r>
    </w:p>
    <w:p w:rsidR="001B4B15" w:rsidRPr="00CB5CB4" w:rsidRDefault="001B4B15">
      <w:pPr>
        <w:pStyle w:val="a8"/>
        <w:spacing w:beforeLines="50" w:before="156" w:beforeAutospacing="0" w:line="360" w:lineRule="auto"/>
        <w:ind w:firstLineChars="200" w:firstLine="480"/>
        <w:jc w:val="both"/>
        <w:rPr>
          <w:rFonts w:ascii="Times New Roman" w:hAnsi="Times New Roman"/>
          <w:color w:val="000000"/>
          <w:szCs w:val="18"/>
        </w:rPr>
      </w:pPr>
      <w:r w:rsidRPr="00CB5CB4">
        <w:rPr>
          <w:rFonts w:ascii="Times New Roman" w:hAnsi="Times New Roman"/>
          <w:color w:val="000000"/>
          <w:szCs w:val="18"/>
        </w:rPr>
        <w:t>（二）</w:t>
      </w:r>
      <w:r w:rsidRPr="00CB5CB4">
        <w:rPr>
          <w:rFonts w:ascii="Times New Roman" w:hAnsi="Times New Roman" w:hint="eastAsia"/>
          <w:color w:val="000000"/>
          <w:szCs w:val="18"/>
        </w:rPr>
        <w:t>公司</w:t>
      </w:r>
      <w:r w:rsidR="00AB3692" w:rsidRPr="000E1E61">
        <w:rPr>
          <w:rFonts w:ascii="Times New Roman" w:hAnsi="Times New Roman" w:hint="eastAsia"/>
          <w:color w:val="000000"/>
          <w:szCs w:val="18"/>
        </w:rPr>
        <w:t>人力资源部</w:t>
      </w:r>
      <w:r w:rsidR="00CA629D" w:rsidRPr="000E1E61">
        <w:rPr>
          <w:rFonts w:ascii="Times New Roman" w:hAnsi="Times New Roman" w:hint="eastAsia"/>
          <w:color w:val="000000"/>
          <w:szCs w:val="18"/>
        </w:rPr>
        <w:t>、财务部</w:t>
      </w:r>
      <w:r w:rsidR="00CB5CB4" w:rsidRPr="000E1E61">
        <w:rPr>
          <w:rFonts w:ascii="Times New Roman" w:hAnsi="Times New Roman" w:hint="eastAsia"/>
          <w:color w:val="000000"/>
          <w:szCs w:val="18"/>
        </w:rPr>
        <w:t>、</w:t>
      </w:r>
      <w:r w:rsidR="00CB5CB4" w:rsidRPr="00CB5CB4">
        <w:rPr>
          <w:rFonts w:ascii="Times New Roman" w:hAnsi="Times New Roman" w:hint="eastAsia"/>
          <w:color w:val="000000"/>
          <w:szCs w:val="18"/>
        </w:rPr>
        <w:t>总经办</w:t>
      </w:r>
      <w:r w:rsidRPr="00CB5CB4">
        <w:rPr>
          <w:rFonts w:ascii="Times New Roman" w:hAnsi="Times New Roman" w:hint="eastAsia"/>
          <w:color w:val="000000"/>
          <w:szCs w:val="18"/>
        </w:rPr>
        <w:t>等相关部门组成</w:t>
      </w:r>
      <w:r w:rsidRPr="00CB5CB4">
        <w:rPr>
          <w:rFonts w:ascii="Times New Roman" w:hAnsi="Times New Roman"/>
          <w:color w:val="000000"/>
          <w:szCs w:val="18"/>
        </w:rPr>
        <w:t>考核小组负责具体考核工作</w:t>
      </w:r>
      <w:r w:rsidRPr="00CB5CB4">
        <w:rPr>
          <w:rFonts w:ascii="Times New Roman" w:hAnsi="Times New Roman" w:hint="eastAsia"/>
          <w:color w:val="000000"/>
          <w:szCs w:val="18"/>
        </w:rPr>
        <w:t>，</w:t>
      </w:r>
      <w:r w:rsidR="00AA0B4C" w:rsidRPr="00CB5CB4">
        <w:rPr>
          <w:rFonts w:ascii="Times New Roman" w:hAnsi="Times New Roman" w:hint="eastAsia"/>
          <w:color w:val="000000"/>
          <w:szCs w:val="18"/>
        </w:rPr>
        <w:t>并</w:t>
      </w:r>
      <w:r w:rsidRPr="00CB5CB4">
        <w:rPr>
          <w:rFonts w:ascii="Times New Roman" w:hAnsi="Times New Roman"/>
          <w:color w:val="000000"/>
          <w:szCs w:val="18"/>
        </w:rPr>
        <w:t>向薪酬委员会报告工作；</w:t>
      </w:r>
    </w:p>
    <w:p w:rsidR="001B4B15" w:rsidRPr="00CB5CB4" w:rsidRDefault="001B4B15">
      <w:pPr>
        <w:pStyle w:val="a8"/>
        <w:spacing w:beforeLines="50" w:before="156" w:line="360" w:lineRule="auto"/>
        <w:ind w:firstLineChars="200" w:firstLine="480"/>
        <w:jc w:val="both"/>
        <w:rPr>
          <w:rFonts w:ascii="Times New Roman" w:hAnsi="Times New Roman"/>
          <w:color w:val="000000"/>
          <w:szCs w:val="18"/>
        </w:rPr>
      </w:pPr>
      <w:r w:rsidRPr="00CB5CB4">
        <w:rPr>
          <w:rFonts w:ascii="Times New Roman" w:hAnsi="Times New Roman"/>
          <w:color w:val="000000"/>
          <w:szCs w:val="18"/>
        </w:rPr>
        <w:t>（三）</w:t>
      </w:r>
      <w:r w:rsidRPr="00CB5CB4">
        <w:rPr>
          <w:rFonts w:ascii="Times New Roman" w:hAnsi="Times New Roman" w:hint="eastAsia"/>
          <w:color w:val="000000"/>
          <w:szCs w:val="18"/>
        </w:rPr>
        <w:t>公司</w:t>
      </w:r>
      <w:r w:rsidR="00AB3692" w:rsidRPr="000E1E61">
        <w:rPr>
          <w:rFonts w:ascii="Times New Roman" w:hAnsi="Times New Roman" w:hint="eastAsia"/>
          <w:color w:val="000000"/>
          <w:szCs w:val="18"/>
        </w:rPr>
        <w:t>人力资源</w:t>
      </w:r>
      <w:r w:rsidRPr="000E1E61">
        <w:rPr>
          <w:rFonts w:ascii="Times New Roman" w:hAnsi="Times New Roman" w:hint="eastAsia"/>
          <w:color w:val="000000"/>
          <w:szCs w:val="18"/>
        </w:rPr>
        <w:t>部</w:t>
      </w:r>
      <w:r w:rsidR="00CA629D" w:rsidRPr="000E1E61">
        <w:rPr>
          <w:rFonts w:ascii="Times New Roman" w:hAnsi="Times New Roman" w:hint="eastAsia"/>
          <w:color w:val="000000"/>
          <w:szCs w:val="18"/>
        </w:rPr>
        <w:t>、财务部</w:t>
      </w:r>
      <w:r w:rsidR="00CB5CB4" w:rsidRPr="000E1E61">
        <w:rPr>
          <w:rFonts w:ascii="Times New Roman" w:hAnsi="Times New Roman" w:hint="eastAsia"/>
          <w:color w:val="000000"/>
          <w:szCs w:val="18"/>
        </w:rPr>
        <w:t>、</w:t>
      </w:r>
      <w:r w:rsidR="00CB5CB4" w:rsidRPr="00CB5CB4">
        <w:rPr>
          <w:rFonts w:ascii="Times New Roman" w:hAnsi="Times New Roman" w:hint="eastAsia"/>
          <w:color w:val="000000"/>
          <w:szCs w:val="18"/>
        </w:rPr>
        <w:t>总经办</w:t>
      </w:r>
      <w:r w:rsidRPr="00CB5CB4">
        <w:rPr>
          <w:rFonts w:ascii="Times New Roman" w:hAnsi="Times New Roman" w:hint="eastAsia"/>
          <w:color w:val="000000"/>
          <w:szCs w:val="18"/>
        </w:rPr>
        <w:t>等相关部门</w:t>
      </w:r>
      <w:r w:rsidRPr="00CB5CB4">
        <w:rPr>
          <w:rFonts w:ascii="Times New Roman" w:hAnsi="Times New Roman"/>
          <w:color w:val="000000"/>
          <w:szCs w:val="18"/>
        </w:rPr>
        <w:t>负责相关考核数据的收集和提供，并对数据的真实性和可靠性负责；</w:t>
      </w:r>
    </w:p>
    <w:p w:rsidR="001B4B15" w:rsidRPr="00CB5CB4" w:rsidRDefault="001B4B15">
      <w:pPr>
        <w:pStyle w:val="a8"/>
        <w:spacing w:beforeLines="50" w:before="156" w:beforeAutospacing="0" w:after="0" w:afterAutospacing="0" w:line="360" w:lineRule="auto"/>
        <w:ind w:firstLineChars="200" w:firstLine="480"/>
        <w:rPr>
          <w:rFonts w:ascii="Times New Roman" w:hAnsi="Times New Roman"/>
          <w:color w:val="000000"/>
          <w:szCs w:val="18"/>
        </w:rPr>
      </w:pPr>
      <w:r w:rsidRPr="00CB5CB4">
        <w:rPr>
          <w:rFonts w:ascii="Times New Roman" w:hAnsi="Times New Roman"/>
          <w:color w:val="000000"/>
          <w:szCs w:val="18"/>
        </w:rPr>
        <w:t>（四）公司董事会负责考核结果的审核。</w:t>
      </w:r>
    </w:p>
    <w:p w:rsidR="001B4B15" w:rsidRPr="00CB5CB4" w:rsidRDefault="001B4B15">
      <w:pPr>
        <w:pStyle w:val="a8"/>
        <w:spacing w:beforeLines="100" w:before="312" w:beforeAutospacing="0" w:after="0" w:afterAutospacing="0" w:line="360" w:lineRule="auto"/>
        <w:ind w:firstLineChars="200" w:firstLine="482"/>
        <w:rPr>
          <w:rFonts w:ascii="Times New Roman" w:hAnsi="Times New Roman"/>
          <w:color w:val="000000"/>
          <w:szCs w:val="18"/>
        </w:rPr>
      </w:pPr>
      <w:r w:rsidRPr="00CB5CB4">
        <w:rPr>
          <w:rFonts w:ascii="Times New Roman" w:hAnsi="Times New Roman"/>
          <w:b/>
          <w:bCs/>
          <w:color w:val="000000"/>
          <w:szCs w:val="18"/>
        </w:rPr>
        <w:t>第五条</w:t>
      </w:r>
      <w:r w:rsidRPr="00CB5CB4">
        <w:rPr>
          <w:rFonts w:ascii="Times New Roman" w:hAnsi="Times New Roman"/>
          <w:b/>
          <w:bCs/>
          <w:color w:val="000000"/>
          <w:szCs w:val="18"/>
        </w:rPr>
        <w:t xml:space="preserve"> </w:t>
      </w:r>
      <w:r w:rsidRPr="00CB5CB4">
        <w:rPr>
          <w:rFonts w:ascii="Times New Roman" w:hAnsi="Times New Roman"/>
          <w:b/>
          <w:color w:val="000000"/>
          <w:szCs w:val="18"/>
        </w:rPr>
        <w:t>绩效考核指标及标准</w:t>
      </w:r>
      <w:bookmarkStart w:id="0" w:name="_GoBack"/>
      <w:bookmarkEnd w:id="0"/>
    </w:p>
    <w:p w:rsidR="001B4B15" w:rsidRPr="00CB5CB4" w:rsidRDefault="001B4B15">
      <w:pPr>
        <w:pStyle w:val="a8"/>
        <w:spacing w:beforeLines="50" w:before="156" w:beforeAutospacing="0" w:after="0" w:afterAutospacing="0" w:line="360" w:lineRule="auto"/>
        <w:ind w:firstLineChars="200" w:firstLine="480"/>
        <w:jc w:val="both"/>
        <w:rPr>
          <w:rFonts w:ascii="Times New Roman" w:hAnsi="Times New Roman"/>
          <w:color w:val="000000"/>
          <w:szCs w:val="18"/>
        </w:rPr>
      </w:pPr>
      <w:r w:rsidRPr="00CB5CB4">
        <w:rPr>
          <w:rFonts w:ascii="Times New Roman" w:hAnsi="Times New Roman"/>
          <w:color w:val="000000"/>
          <w:szCs w:val="18"/>
        </w:rPr>
        <w:t>激励对象获授的</w:t>
      </w:r>
      <w:r w:rsidRPr="00CB5CB4">
        <w:rPr>
          <w:rFonts w:ascii="Times New Roman" w:hAnsi="Times New Roman" w:hint="eastAsia"/>
          <w:color w:val="000000"/>
          <w:szCs w:val="18"/>
        </w:rPr>
        <w:t>第一类</w:t>
      </w:r>
      <w:r w:rsidRPr="00CB5CB4">
        <w:rPr>
          <w:rFonts w:ascii="Times New Roman" w:hAnsi="Times New Roman" w:hint="eastAsia"/>
          <w:color w:val="000000"/>
          <w:szCs w:val="18"/>
        </w:rPr>
        <w:t>/</w:t>
      </w:r>
      <w:r w:rsidRPr="00CB5CB4">
        <w:rPr>
          <w:rFonts w:ascii="Times New Roman" w:hAnsi="Times New Roman" w:hint="eastAsia"/>
          <w:color w:val="000000"/>
          <w:szCs w:val="18"/>
        </w:rPr>
        <w:t>第二类限制性股票</w:t>
      </w:r>
      <w:r w:rsidRPr="00CB5CB4">
        <w:rPr>
          <w:rFonts w:ascii="Times New Roman" w:hAnsi="Times New Roman"/>
          <w:color w:val="000000"/>
          <w:szCs w:val="18"/>
        </w:rPr>
        <w:t>能否</w:t>
      </w:r>
      <w:r w:rsidRPr="00CB5CB4">
        <w:rPr>
          <w:rFonts w:ascii="Times New Roman" w:hAnsi="Times New Roman" w:hint="eastAsia"/>
          <w:color w:val="000000"/>
          <w:szCs w:val="18"/>
        </w:rPr>
        <w:t>解除限售</w:t>
      </w:r>
      <w:r w:rsidRPr="00CB5CB4">
        <w:rPr>
          <w:rFonts w:ascii="Times New Roman" w:hAnsi="Times New Roman" w:hint="eastAsia"/>
          <w:color w:val="000000"/>
          <w:szCs w:val="18"/>
        </w:rPr>
        <w:t>/</w:t>
      </w:r>
      <w:r w:rsidRPr="00CB5CB4">
        <w:rPr>
          <w:rFonts w:ascii="Times New Roman" w:hAnsi="Times New Roman" w:hint="eastAsia"/>
          <w:color w:val="000000"/>
          <w:szCs w:val="18"/>
        </w:rPr>
        <w:t>归属</w:t>
      </w:r>
      <w:r w:rsidRPr="00CB5CB4">
        <w:rPr>
          <w:rFonts w:ascii="Times New Roman" w:hAnsi="Times New Roman"/>
          <w:color w:val="000000"/>
          <w:szCs w:val="18"/>
        </w:rPr>
        <w:t>将根据公司</w:t>
      </w:r>
      <w:r w:rsidR="000F6DC5" w:rsidRPr="00CB5CB4">
        <w:rPr>
          <w:rFonts w:ascii="Times New Roman" w:hAnsi="Times New Roman" w:hint="eastAsia"/>
          <w:color w:val="000000"/>
          <w:szCs w:val="18"/>
        </w:rPr>
        <w:t>及</w:t>
      </w:r>
      <w:r w:rsidRPr="00CB5CB4">
        <w:rPr>
          <w:rFonts w:ascii="Times New Roman" w:hAnsi="Times New Roman"/>
          <w:color w:val="000000"/>
          <w:szCs w:val="18"/>
        </w:rPr>
        <w:t>激励对象</w:t>
      </w:r>
      <w:r w:rsidR="00922FB3" w:rsidRPr="00CB5CB4">
        <w:rPr>
          <w:rFonts w:ascii="Times New Roman" w:hAnsi="Times New Roman" w:hint="eastAsia"/>
          <w:color w:val="000000"/>
          <w:szCs w:val="18"/>
        </w:rPr>
        <w:t>两</w:t>
      </w:r>
      <w:r w:rsidRPr="00CB5CB4">
        <w:rPr>
          <w:rFonts w:ascii="Times New Roman" w:hAnsi="Times New Roman"/>
          <w:color w:val="000000"/>
          <w:szCs w:val="18"/>
        </w:rPr>
        <w:t>个层面的考核结果共同确定。</w:t>
      </w:r>
    </w:p>
    <w:p w:rsidR="001B4B15" w:rsidRPr="00CB5CB4" w:rsidRDefault="001B4B15">
      <w:pPr>
        <w:pStyle w:val="a8"/>
        <w:spacing w:beforeLines="50" w:before="156" w:beforeAutospacing="0" w:after="0" w:afterAutospacing="0" w:line="360" w:lineRule="auto"/>
        <w:ind w:firstLineChars="200" w:firstLine="480"/>
        <w:rPr>
          <w:rFonts w:ascii="Times New Roman" w:hAnsi="Times New Roman"/>
          <w:color w:val="000000"/>
          <w:szCs w:val="18"/>
        </w:rPr>
      </w:pPr>
      <w:r w:rsidRPr="00CB5CB4">
        <w:rPr>
          <w:rFonts w:ascii="Times New Roman" w:hAnsi="Times New Roman" w:hint="eastAsia"/>
          <w:color w:val="000000"/>
          <w:szCs w:val="18"/>
        </w:rPr>
        <w:t>（一）</w:t>
      </w:r>
      <w:r w:rsidRPr="00CB5CB4">
        <w:rPr>
          <w:rFonts w:ascii="Times New Roman" w:hAnsi="Times New Roman"/>
          <w:color w:val="000000"/>
          <w:szCs w:val="18"/>
        </w:rPr>
        <w:t>公司层面考核要求：</w:t>
      </w:r>
    </w:p>
    <w:p w:rsidR="00721D36" w:rsidRPr="00CB5CB4" w:rsidRDefault="001B4B15" w:rsidP="00721D36">
      <w:pPr>
        <w:snapToGrid w:val="0"/>
        <w:spacing w:beforeLines="50" w:before="156" w:line="360" w:lineRule="auto"/>
        <w:ind w:firstLineChars="200" w:firstLine="480"/>
        <w:rPr>
          <w:color w:val="000000"/>
          <w:sz w:val="24"/>
        </w:rPr>
      </w:pPr>
      <w:r w:rsidRPr="00CB5CB4">
        <w:rPr>
          <w:rFonts w:hint="eastAsia"/>
          <w:color w:val="000000"/>
          <w:sz w:val="24"/>
        </w:rPr>
        <w:t>本激励计划在</w:t>
      </w:r>
      <w:r w:rsidR="000F6DC5" w:rsidRPr="00CB5CB4">
        <w:rPr>
          <w:color w:val="000000"/>
          <w:sz w:val="24"/>
        </w:rPr>
        <w:t>2023</w:t>
      </w:r>
      <w:r w:rsidRPr="00CB5CB4">
        <w:rPr>
          <w:rFonts w:hint="eastAsia"/>
          <w:color w:val="000000"/>
          <w:sz w:val="24"/>
        </w:rPr>
        <w:t>年</w:t>
      </w:r>
      <w:r w:rsidRPr="00CB5CB4">
        <w:rPr>
          <w:color w:val="000000"/>
          <w:sz w:val="24"/>
        </w:rPr>
        <w:t>-202</w:t>
      </w:r>
      <w:r w:rsidR="001E70D1" w:rsidRPr="00CB5CB4">
        <w:rPr>
          <w:color w:val="000000"/>
          <w:sz w:val="24"/>
        </w:rPr>
        <w:t>6</w:t>
      </w:r>
      <w:r w:rsidRPr="00CB5CB4">
        <w:rPr>
          <w:rFonts w:hint="eastAsia"/>
          <w:color w:val="000000"/>
          <w:sz w:val="24"/>
        </w:rPr>
        <w:t>年会计年度中，分年度对</w:t>
      </w:r>
      <w:r w:rsidR="000F6DC5" w:rsidRPr="00CB5CB4">
        <w:rPr>
          <w:rFonts w:hint="eastAsia"/>
          <w:color w:val="000000"/>
          <w:sz w:val="24"/>
        </w:rPr>
        <w:t>公司</w:t>
      </w:r>
      <w:r w:rsidRPr="00CB5CB4">
        <w:rPr>
          <w:rFonts w:hint="eastAsia"/>
          <w:color w:val="000000"/>
          <w:sz w:val="24"/>
        </w:rPr>
        <w:t>业绩指标进行考核，以达到业绩考核目标作为激励对象当年度限制性股票的解除限售</w:t>
      </w:r>
      <w:r w:rsidRPr="00CB5CB4">
        <w:rPr>
          <w:rFonts w:hint="eastAsia"/>
          <w:color w:val="000000"/>
          <w:sz w:val="24"/>
        </w:rPr>
        <w:t>/</w:t>
      </w:r>
      <w:r w:rsidRPr="00CB5CB4">
        <w:rPr>
          <w:rFonts w:hint="eastAsia"/>
          <w:color w:val="000000"/>
          <w:sz w:val="24"/>
        </w:rPr>
        <w:t>归属条件之一。</w:t>
      </w:r>
    </w:p>
    <w:p w:rsidR="0079799A" w:rsidRPr="0079799A" w:rsidRDefault="00721D36" w:rsidP="00721D36">
      <w:pPr>
        <w:snapToGrid w:val="0"/>
        <w:spacing w:beforeLines="50" w:before="156" w:line="360" w:lineRule="auto"/>
        <w:ind w:firstLineChars="200" w:firstLine="480"/>
        <w:rPr>
          <w:sz w:val="24"/>
        </w:rPr>
      </w:pPr>
      <w:r w:rsidRPr="00CB5CB4">
        <w:rPr>
          <w:rFonts w:hint="eastAsia"/>
          <w:sz w:val="24"/>
        </w:rPr>
        <w:t>授予第一类</w:t>
      </w:r>
      <w:r w:rsidRPr="00CB5CB4">
        <w:rPr>
          <w:sz w:val="24"/>
        </w:rPr>
        <w:t>限制性股票</w:t>
      </w:r>
      <w:r w:rsidRPr="00CB5CB4">
        <w:rPr>
          <w:rFonts w:hint="eastAsia"/>
          <w:sz w:val="24"/>
        </w:rPr>
        <w:t>的激励对象对应</w:t>
      </w:r>
      <w:r w:rsidRPr="00CB5CB4">
        <w:rPr>
          <w:sz w:val="24"/>
        </w:rPr>
        <w:t>的公司层面业绩考核目标如下表所示：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8"/>
        <w:gridCol w:w="6502"/>
      </w:tblGrid>
      <w:tr w:rsidR="00721D36" w:rsidRPr="00CB5CB4" w:rsidTr="006D0B0B">
        <w:trPr>
          <w:trHeight w:val="397"/>
        </w:trPr>
        <w:tc>
          <w:tcPr>
            <w:tcW w:w="1272" w:type="pct"/>
            <w:tcBorders>
              <w:top w:val="single" w:sz="4" w:space="0" w:color="auto"/>
              <w:left w:val="single" w:sz="4" w:space="0" w:color="auto"/>
              <w:bottom w:val="single" w:sz="4" w:space="0" w:color="auto"/>
              <w:right w:val="single" w:sz="4" w:space="0" w:color="auto"/>
            </w:tcBorders>
            <w:shd w:val="clear" w:color="auto" w:fill="F2F2F2"/>
            <w:vAlign w:val="center"/>
          </w:tcPr>
          <w:p w:rsidR="00721D36" w:rsidRPr="00CB5CB4" w:rsidRDefault="00721D36" w:rsidP="00885A5F">
            <w:pPr>
              <w:jc w:val="center"/>
              <w:rPr>
                <w:b/>
              </w:rPr>
            </w:pPr>
            <w:r w:rsidRPr="00CB5CB4">
              <w:rPr>
                <w:rFonts w:hint="eastAsia"/>
                <w:b/>
              </w:rPr>
              <w:t>解除限售期</w:t>
            </w:r>
          </w:p>
        </w:tc>
        <w:tc>
          <w:tcPr>
            <w:tcW w:w="3728" w:type="pct"/>
            <w:tcBorders>
              <w:top w:val="single" w:sz="4" w:space="0" w:color="auto"/>
              <w:left w:val="single" w:sz="4" w:space="0" w:color="auto"/>
              <w:bottom w:val="single" w:sz="4" w:space="0" w:color="auto"/>
              <w:right w:val="single" w:sz="4" w:space="0" w:color="auto"/>
            </w:tcBorders>
            <w:shd w:val="clear" w:color="auto" w:fill="F2F2F2"/>
            <w:vAlign w:val="center"/>
          </w:tcPr>
          <w:p w:rsidR="00721D36" w:rsidRPr="00CB5CB4" w:rsidRDefault="00721D36" w:rsidP="00885A5F">
            <w:pPr>
              <w:jc w:val="center"/>
              <w:rPr>
                <w:b/>
              </w:rPr>
            </w:pPr>
            <w:r w:rsidRPr="00CB5CB4">
              <w:rPr>
                <w:b/>
              </w:rPr>
              <w:t>业绩考核目标</w:t>
            </w:r>
          </w:p>
        </w:tc>
      </w:tr>
      <w:tr w:rsidR="00390F30" w:rsidRPr="00CB5CB4" w:rsidTr="006D0B0B">
        <w:trPr>
          <w:trHeight w:val="113"/>
        </w:trPr>
        <w:tc>
          <w:tcPr>
            <w:tcW w:w="1272" w:type="pct"/>
            <w:vAlign w:val="center"/>
          </w:tcPr>
          <w:p w:rsidR="00390F30" w:rsidRPr="00CB5CB4" w:rsidRDefault="00390F30" w:rsidP="00390F30">
            <w:pPr>
              <w:jc w:val="center"/>
              <w:rPr>
                <w:szCs w:val="21"/>
              </w:rPr>
            </w:pPr>
            <w:r w:rsidRPr="00CB5CB4">
              <w:rPr>
                <w:rFonts w:hint="eastAsia"/>
              </w:rPr>
              <w:t>第一个解除限售期</w:t>
            </w:r>
          </w:p>
        </w:tc>
        <w:tc>
          <w:tcPr>
            <w:tcW w:w="3728" w:type="pct"/>
            <w:vAlign w:val="center"/>
          </w:tcPr>
          <w:p w:rsidR="00390F30" w:rsidRPr="00CB5CB4" w:rsidRDefault="00390F30" w:rsidP="006D0B0B">
            <w:pPr>
              <w:rPr>
                <w:szCs w:val="21"/>
              </w:rPr>
            </w:pPr>
            <w:r w:rsidRPr="007B2968">
              <w:rPr>
                <w:rFonts w:hint="eastAsia"/>
                <w:szCs w:val="21"/>
              </w:rPr>
              <w:t>以</w:t>
            </w:r>
            <w:r w:rsidRPr="007B2968">
              <w:rPr>
                <w:szCs w:val="21"/>
              </w:rPr>
              <w:t>2022</w:t>
            </w:r>
            <w:r w:rsidRPr="007B2968">
              <w:rPr>
                <w:rFonts w:hint="eastAsia"/>
                <w:szCs w:val="21"/>
              </w:rPr>
              <w:t>年净利润为基数，</w:t>
            </w:r>
            <w:r w:rsidRPr="007B2968">
              <w:rPr>
                <w:szCs w:val="21"/>
              </w:rPr>
              <w:t>2023</w:t>
            </w:r>
            <w:r w:rsidRPr="007B2968">
              <w:rPr>
                <w:rFonts w:hint="eastAsia"/>
                <w:szCs w:val="21"/>
              </w:rPr>
              <w:t>年净利润增长率不低于</w:t>
            </w:r>
            <w:r w:rsidRPr="007B2968">
              <w:rPr>
                <w:szCs w:val="21"/>
              </w:rPr>
              <w:t>10%</w:t>
            </w:r>
            <w:r w:rsidRPr="007B2968">
              <w:rPr>
                <w:rFonts w:hint="eastAsia"/>
                <w:szCs w:val="21"/>
              </w:rPr>
              <w:t>；且以</w:t>
            </w:r>
            <w:r w:rsidRPr="007B2968">
              <w:rPr>
                <w:szCs w:val="21"/>
              </w:rPr>
              <w:t>2022</w:t>
            </w:r>
            <w:r w:rsidRPr="007B2968">
              <w:rPr>
                <w:rFonts w:hint="eastAsia"/>
                <w:szCs w:val="21"/>
              </w:rPr>
              <w:t>年营业收入为基数，</w:t>
            </w:r>
            <w:r w:rsidRPr="007B2968">
              <w:rPr>
                <w:szCs w:val="21"/>
              </w:rPr>
              <w:t>2023</w:t>
            </w:r>
            <w:r w:rsidRPr="007B2968">
              <w:rPr>
                <w:rFonts w:hint="eastAsia"/>
                <w:szCs w:val="21"/>
              </w:rPr>
              <w:t>年营业收入增长率不低于</w:t>
            </w:r>
            <w:r w:rsidRPr="007B2968">
              <w:rPr>
                <w:rFonts w:hint="eastAsia"/>
                <w:szCs w:val="21"/>
              </w:rPr>
              <w:t>7</w:t>
            </w:r>
            <w:r w:rsidRPr="007B2968">
              <w:rPr>
                <w:szCs w:val="21"/>
              </w:rPr>
              <w:t>%</w:t>
            </w:r>
          </w:p>
        </w:tc>
      </w:tr>
      <w:tr w:rsidR="00390F30" w:rsidRPr="00CB5CB4" w:rsidTr="006D0B0B">
        <w:trPr>
          <w:trHeight w:val="113"/>
        </w:trPr>
        <w:tc>
          <w:tcPr>
            <w:tcW w:w="1272" w:type="pct"/>
            <w:vAlign w:val="center"/>
          </w:tcPr>
          <w:p w:rsidR="00390F30" w:rsidRPr="00CB5CB4" w:rsidRDefault="00390F30" w:rsidP="00390F30">
            <w:pPr>
              <w:jc w:val="center"/>
              <w:rPr>
                <w:szCs w:val="21"/>
              </w:rPr>
            </w:pPr>
            <w:r w:rsidRPr="00CB5CB4">
              <w:rPr>
                <w:rFonts w:hint="eastAsia"/>
              </w:rPr>
              <w:t>第二个解除限售期</w:t>
            </w:r>
          </w:p>
        </w:tc>
        <w:tc>
          <w:tcPr>
            <w:tcW w:w="3728" w:type="pct"/>
            <w:vAlign w:val="center"/>
          </w:tcPr>
          <w:p w:rsidR="00390F30" w:rsidRPr="00CB5CB4" w:rsidRDefault="00390F30" w:rsidP="006D0B0B">
            <w:pPr>
              <w:rPr>
                <w:szCs w:val="21"/>
              </w:rPr>
            </w:pPr>
            <w:r w:rsidRPr="007B2968">
              <w:rPr>
                <w:rFonts w:hint="eastAsia"/>
                <w:szCs w:val="21"/>
              </w:rPr>
              <w:t>以</w:t>
            </w:r>
            <w:r w:rsidRPr="007B2968">
              <w:rPr>
                <w:szCs w:val="21"/>
              </w:rPr>
              <w:t>2023</w:t>
            </w:r>
            <w:r w:rsidRPr="007B2968">
              <w:rPr>
                <w:rFonts w:hint="eastAsia"/>
                <w:szCs w:val="21"/>
              </w:rPr>
              <w:t>年净利润为基数，</w:t>
            </w:r>
            <w:r w:rsidRPr="007B2968">
              <w:rPr>
                <w:szCs w:val="21"/>
              </w:rPr>
              <w:t>2024</w:t>
            </w:r>
            <w:r w:rsidRPr="007B2968">
              <w:rPr>
                <w:rFonts w:hint="eastAsia"/>
                <w:szCs w:val="21"/>
              </w:rPr>
              <w:t>年净利润增长率不低于</w:t>
            </w:r>
            <w:r w:rsidRPr="007B2968">
              <w:rPr>
                <w:szCs w:val="21"/>
              </w:rPr>
              <w:t>10%</w:t>
            </w:r>
            <w:r w:rsidRPr="007B2968">
              <w:rPr>
                <w:rFonts w:hint="eastAsia"/>
                <w:szCs w:val="21"/>
              </w:rPr>
              <w:t>；且以</w:t>
            </w:r>
            <w:r w:rsidRPr="007B2968">
              <w:rPr>
                <w:szCs w:val="21"/>
              </w:rPr>
              <w:t>2023</w:t>
            </w:r>
            <w:r w:rsidRPr="007B2968">
              <w:rPr>
                <w:rFonts w:hint="eastAsia"/>
                <w:szCs w:val="21"/>
              </w:rPr>
              <w:t>年营业收入为基数，</w:t>
            </w:r>
            <w:r w:rsidRPr="007B2968">
              <w:rPr>
                <w:szCs w:val="21"/>
              </w:rPr>
              <w:t>2024</w:t>
            </w:r>
            <w:r w:rsidRPr="007B2968">
              <w:rPr>
                <w:rFonts w:hint="eastAsia"/>
                <w:szCs w:val="21"/>
              </w:rPr>
              <w:t>年营业收入增长率不低于</w:t>
            </w:r>
            <w:r w:rsidRPr="007B2968">
              <w:rPr>
                <w:rFonts w:hint="eastAsia"/>
                <w:szCs w:val="21"/>
              </w:rPr>
              <w:t>7</w:t>
            </w:r>
            <w:r w:rsidRPr="007B2968">
              <w:rPr>
                <w:szCs w:val="21"/>
              </w:rPr>
              <w:t>%</w:t>
            </w:r>
          </w:p>
        </w:tc>
      </w:tr>
      <w:tr w:rsidR="00390F30" w:rsidRPr="00CB5CB4" w:rsidTr="006D0B0B">
        <w:trPr>
          <w:trHeight w:val="113"/>
        </w:trPr>
        <w:tc>
          <w:tcPr>
            <w:tcW w:w="1272" w:type="pct"/>
            <w:vAlign w:val="center"/>
          </w:tcPr>
          <w:p w:rsidR="00390F30" w:rsidRPr="00CB5CB4" w:rsidRDefault="00390F30" w:rsidP="00390F30">
            <w:pPr>
              <w:jc w:val="center"/>
              <w:rPr>
                <w:szCs w:val="21"/>
              </w:rPr>
            </w:pPr>
            <w:r w:rsidRPr="00CB5CB4">
              <w:rPr>
                <w:rFonts w:hint="eastAsia"/>
              </w:rPr>
              <w:lastRenderedPageBreak/>
              <w:t>第三个解除限售期</w:t>
            </w:r>
          </w:p>
        </w:tc>
        <w:tc>
          <w:tcPr>
            <w:tcW w:w="3728" w:type="pct"/>
            <w:vAlign w:val="center"/>
          </w:tcPr>
          <w:p w:rsidR="00390F30" w:rsidRPr="00CB5CB4" w:rsidRDefault="00390F30" w:rsidP="006D0B0B">
            <w:pPr>
              <w:rPr>
                <w:szCs w:val="21"/>
              </w:rPr>
            </w:pPr>
            <w:r w:rsidRPr="007B2968">
              <w:rPr>
                <w:rFonts w:hint="eastAsia"/>
                <w:szCs w:val="21"/>
              </w:rPr>
              <w:t>以</w:t>
            </w:r>
            <w:r w:rsidRPr="007B2968">
              <w:rPr>
                <w:szCs w:val="21"/>
              </w:rPr>
              <w:t>2023</w:t>
            </w:r>
            <w:r w:rsidRPr="007B2968">
              <w:rPr>
                <w:rFonts w:hint="eastAsia"/>
                <w:szCs w:val="21"/>
              </w:rPr>
              <w:t>年净利润为基数，</w:t>
            </w:r>
            <w:r w:rsidRPr="007B2968">
              <w:rPr>
                <w:szCs w:val="21"/>
              </w:rPr>
              <w:t>2025</w:t>
            </w:r>
            <w:r w:rsidRPr="007B2968">
              <w:rPr>
                <w:rFonts w:hint="eastAsia"/>
                <w:szCs w:val="21"/>
              </w:rPr>
              <w:t>年净利润增长率不低于</w:t>
            </w:r>
            <w:r w:rsidRPr="007B2968">
              <w:rPr>
                <w:szCs w:val="21"/>
              </w:rPr>
              <w:t>20%</w:t>
            </w:r>
            <w:r w:rsidRPr="007B2968">
              <w:rPr>
                <w:rFonts w:hint="eastAsia"/>
                <w:szCs w:val="21"/>
              </w:rPr>
              <w:t>；且以</w:t>
            </w:r>
            <w:r w:rsidRPr="007B2968">
              <w:rPr>
                <w:szCs w:val="21"/>
              </w:rPr>
              <w:t>2023</w:t>
            </w:r>
            <w:r w:rsidRPr="007B2968">
              <w:rPr>
                <w:rFonts w:hint="eastAsia"/>
                <w:szCs w:val="21"/>
              </w:rPr>
              <w:t>年营业收入为基数，</w:t>
            </w:r>
            <w:r w:rsidRPr="007B2968">
              <w:rPr>
                <w:szCs w:val="21"/>
              </w:rPr>
              <w:t>2025</w:t>
            </w:r>
            <w:r w:rsidRPr="007B2968">
              <w:rPr>
                <w:rFonts w:hint="eastAsia"/>
                <w:szCs w:val="21"/>
              </w:rPr>
              <w:t>年营业收入增长率不低于</w:t>
            </w:r>
            <w:r w:rsidRPr="007B2968">
              <w:rPr>
                <w:szCs w:val="21"/>
              </w:rPr>
              <w:t>12%</w:t>
            </w:r>
          </w:p>
        </w:tc>
      </w:tr>
      <w:tr w:rsidR="00390F30" w:rsidRPr="00CB5CB4" w:rsidTr="006D0B0B">
        <w:trPr>
          <w:trHeight w:val="113"/>
        </w:trPr>
        <w:tc>
          <w:tcPr>
            <w:tcW w:w="1272" w:type="pct"/>
            <w:vAlign w:val="center"/>
          </w:tcPr>
          <w:p w:rsidR="00390F30" w:rsidRPr="00CB5CB4" w:rsidRDefault="00390F30" w:rsidP="00390F30">
            <w:pPr>
              <w:jc w:val="center"/>
              <w:rPr>
                <w:szCs w:val="21"/>
              </w:rPr>
            </w:pPr>
            <w:r w:rsidRPr="00CB5CB4">
              <w:rPr>
                <w:rFonts w:hint="eastAsia"/>
              </w:rPr>
              <w:t>第四个解除限售期</w:t>
            </w:r>
          </w:p>
        </w:tc>
        <w:tc>
          <w:tcPr>
            <w:tcW w:w="3728" w:type="pct"/>
            <w:vAlign w:val="center"/>
          </w:tcPr>
          <w:p w:rsidR="00390F30" w:rsidRPr="00CB5CB4" w:rsidRDefault="00390F30" w:rsidP="00390F30">
            <w:pPr>
              <w:rPr>
                <w:szCs w:val="21"/>
              </w:rPr>
            </w:pPr>
            <w:r w:rsidRPr="007B2968">
              <w:rPr>
                <w:rFonts w:hint="eastAsia"/>
                <w:szCs w:val="21"/>
              </w:rPr>
              <w:t>以</w:t>
            </w:r>
            <w:r w:rsidRPr="007B2968">
              <w:rPr>
                <w:szCs w:val="21"/>
              </w:rPr>
              <w:t>2023</w:t>
            </w:r>
            <w:r w:rsidRPr="007B2968">
              <w:rPr>
                <w:rFonts w:hint="eastAsia"/>
                <w:szCs w:val="21"/>
              </w:rPr>
              <w:t>年净利润为基数，</w:t>
            </w:r>
            <w:r w:rsidRPr="007B2968">
              <w:rPr>
                <w:szCs w:val="21"/>
              </w:rPr>
              <w:t>2026</w:t>
            </w:r>
            <w:r w:rsidRPr="007B2968">
              <w:rPr>
                <w:rFonts w:hint="eastAsia"/>
                <w:szCs w:val="21"/>
              </w:rPr>
              <w:t>年净利润增长率不低于</w:t>
            </w:r>
            <w:r w:rsidRPr="007B2968">
              <w:rPr>
                <w:szCs w:val="21"/>
              </w:rPr>
              <w:t>30%</w:t>
            </w:r>
            <w:r w:rsidRPr="007B2968">
              <w:rPr>
                <w:rFonts w:hint="eastAsia"/>
                <w:szCs w:val="21"/>
              </w:rPr>
              <w:t>；且以</w:t>
            </w:r>
            <w:r w:rsidRPr="007B2968">
              <w:rPr>
                <w:szCs w:val="21"/>
              </w:rPr>
              <w:t>2023</w:t>
            </w:r>
            <w:r w:rsidRPr="007B2968">
              <w:rPr>
                <w:rFonts w:hint="eastAsia"/>
                <w:szCs w:val="21"/>
              </w:rPr>
              <w:t>年营业收入为基数，</w:t>
            </w:r>
            <w:r w:rsidRPr="007B2968">
              <w:rPr>
                <w:szCs w:val="21"/>
              </w:rPr>
              <w:t>2026</w:t>
            </w:r>
            <w:r w:rsidRPr="007B2968">
              <w:rPr>
                <w:rFonts w:hint="eastAsia"/>
                <w:szCs w:val="21"/>
              </w:rPr>
              <w:t>年营业收入增长率不低于</w:t>
            </w:r>
            <w:r w:rsidRPr="007B2968">
              <w:rPr>
                <w:szCs w:val="21"/>
              </w:rPr>
              <w:t>18%</w:t>
            </w:r>
          </w:p>
        </w:tc>
      </w:tr>
    </w:tbl>
    <w:p w:rsidR="00721D36" w:rsidRPr="00CB5CB4" w:rsidRDefault="00721D36" w:rsidP="00390F30">
      <w:pPr>
        <w:snapToGrid w:val="0"/>
        <w:ind w:firstLineChars="200" w:firstLine="420"/>
        <w:rPr>
          <w:sz w:val="24"/>
        </w:rPr>
      </w:pPr>
      <w:r w:rsidRPr="00CB5CB4">
        <w:t>注：</w:t>
      </w:r>
      <w:bookmarkStart w:id="1" w:name="_Hlk498698363"/>
      <w:r w:rsidRPr="00CB5CB4">
        <w:t>上述</w:t>
      </w:r>
      <w:r w:rsidRPr="00B515F1">
        <w:rPr>
          <w:rFonts w:ascii="宋体" w:hAnsi="宋体"/>
        </w:rPr>
        <w:t>“</w:t>
      </w:r>
      <w:r w:rsidRPr="00CB5CB4">
        <w:t>净利润</w:t>
      </w:r>
      <w:r w:rsidRPr="00B515F1">
        <w:rPr>
          <w:rFonts w:ascii="宋体" w:hAnsi="宋体"/>
        </w:rPr>
        <w:t>”</w:t>
      </w:r>
      <w:r w:rsidRPr="00CB5CB4">
        <w:t>指经审计的</w:t>
      </w:r>
      <w:r w:rsidR="001E70D1" w:rsidRPr="00CB5CB4">
        <w:t>扣除非经常性损益后归属于上市公司股东的净利润</w:t>
      </w:r>
      <w:r w:rsidRPr="00CB5CB4">
        <w:rPr>
          <w:rFonts w:hint="eastAsia"/>
        </w:rPr>
        <w:t>，</w:t>
      </w:r>
      <w:bookmarkEnd w:id="1"/>
      <w:r w:rsidRPr="00CB5CB4">
        <w:rPr>
          <w:rFonts w:ascii="宋体" w:hAnsi="宋体" w:cs="Arial"/>
        </w:rPr>
        <w:t>但</w:t>
      </w:r>
      <w:r w:rsidRPr="00CB5CB4">
        <w:rPr>
          <w:rFonts w:ascii="宋体" w:hAnsi="宋体" w:cs="Arial" w:hint="eastAsia"/>
        </w:rPr>
        <w:t>剔除本次及其它员工激励计划的股份支付费用影响的数值作为计算依据</w:t>
      </w:r>
      <w:r w:rsidR="00390F30" w:rsidRPr="00390F30">
        <w:rPr>
          <w:rFonts w:ascii="宋体" w:hAnsi="宋体" w:cs="Arial" w:hint="eastAsia"/>
        </w:rPr>
        <w:t>；上述营业收入指经审计的上市公司营业收入</w:t>
      </w:r>
      <w:r w:rsidRPr="00CB5CB4">
        <w:rPr>
          <w:rFonts w:ascii="宋体" w:hAnsi="宋体" w:cs="Arial" w:hint="eastAsia"/>
        </w:rPr>
        <w:t>，下同</w:t>
      </w:r>
      <w:r w:rsidRPr="00CB5CB4">
        <w:rPr>
          <w:rFonts w:hint="eastAsia"/>
          <w:szCs w:val="21"/>
        </w:rPr>
        <w:t>。</w:t>
      </w:r>
    </w:p>
    <w:p w:rsidR="00721D36" w:rsidRPr="00CB5CB4" w:rsidRDefault="00721D36" w:rsidP="00721D36">
      <w:pPr>
        <w:spacing w:beforeLines="50" w:before="156" w:afterLines="50" w:after="156" w:line="360" w:lineRule="auto"/>
        <w:ind w:firstLineChars="200" w:firstLine="480"/>
        <w:rPr>
          <w:sz w:val="24"/>
        </w:rPr>
      </w:pPr>
      <w:r w:rsidRPr="00CB5CB4">
        <w:rPr>
          <w:rFonts w:hint="eastAsia"/>
          <w:sz w:val="24"/>
        </w:rPr>
        <w:t>首次授予第二类限制性股票的第一类激励对象对应的公司层面业绩考核目标如下表所示：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8"/>
        <w:gridCol w:w="6502"/>
      </w:tblGrid>
      <w:tr w:rsidR="00721D36" w:rsidRPr="00CB5CB4" w:rsidTr="006D0B0B">
        <w:trPr>
          <w:trHeight w:val="397"/>
        </w:trPr>
        <w:tc>
          <w:tcPr>
            <w:tcW w:w="1272" w:type="pct"/>
            <w:tcBorders>
              <w:top w:val="single" w:sz="4" w:space="0" w:color="auto"/>
              <w:left w:val="single" w:sz="4" w:space="0" w:color="auto"/>
              <w:bottom w:val="single" w:sz="4" w:space="0" w:color="auto"/>
              <w:right w:val="single" w:sz="4" w:space="0" w:color="auto"/>
            </w:tcBorders>
            <w:shd w:val="clear" w:color="auto" w:fill="F2F2F2"/>
            <w:vAlign w:val="center"/>
          </w:tcPr>
          <w:p w:rsidR="00721D36" w:rsidRPr="00CB5CB4" w:rsidRDefault="00721D36" w:rsidP="00885A5F">
            <w:pPr>
              <w:jc w:val="center"/>
              <w:rPr>
                <w:b/>
              </w:rPr>
            </w:pPr>
            <w:r w:rsidRPr="00CB5CB4">
              <w:rPr>
                <w:rFonts w:hint="eastAsia"/>
                <w:b/>
              </w:rPr>
              <w:t>归属</w:t>
            </w:r>
            <w:r w:rsidRPr="00CB5CB4">
              <w:rPr>
                <w:b/>
              </w:rPr>
              <w:t>期</w:t>
            </w:r>
          </w:p>
        </w:tc>
        <w:tc>
          <w:tcPr>
            <w:tcW w:w="3728" w:type="pct"/>
            <w:tcBorders>
              <w:top w:val="single" w:sz="4" w:space="0" w:color="auto"/>
              <w:left w:val="single" w:sz="4" w:space="0" w:color="auto"/>
              <w:bottom w:val="single" w:sz="4" w:space="0" w:color="auto"/>
              <w:right w:val="single" w:sz="4" w:space="0" w:color="auto"/>
            </w:tcBorders>
            <w:shd w:val="clear" w:color="auto" w:fill="F2F2F2"/>
            <w:vAlign w:val="center"/>
          </w:tcPr>
          <w:p w:rsidR="00721D36" w:rsidRPr="00CB5CB4" w:rsidRDefault="00721D36" w:rsidP="00885A5F">
            <w:pPr>
              <w:jc w:val="center"/>
              <w:rPr>
                <w:b/>
              </w:rPr>
            </w:pPr>
            <w:r w:rsidRPr="00CB5CB4">
              <w:rPr>
                <w:b/>
              </w:rPr>
              <w:t>业绩考核目标</w:t>
            </w:r>
          </w:p>
        </w:tc>
      </w:tr>
      <w:tr w:rsidR="00390F30" w:rsidRPr="00CB5CB4" w:rsidTr="006D0B0B">
        <w:trPr>
          <w:trHeight w:val="20"/>
        </w:trPr>
        <w:tc>
          <w:tcPr>
            <w:tcW w:w="1272" w:type="pct"/>
            <w:vAlign w:val="center"/>
          </w:tcPr>
          <w:p w:rsidR="00390F30" w:rsidRPr="00CB5CB4" w:rsidRDefault="00390F30" w:rsidP="00390F30">
            <w:pPr>
              <w:jc w:val="center"/>
              <w:rPr>
                <w:szCs w:val="21"/>
              </w:rPr>
            </w:pPr>
            <w:r w:rsidRPr="00CB5CB4">
              <w:rPr>
                <w:szCs w:val="21"/>
              </w:rPr>
              <w:t>第一个归属期</w:t>
            </w:r>
          </w:p>
        </w:tc>
        <w:tc>
          <w:tcPr>
            <w:tcW w:w="3728" w:type="pct"/>
            <w:vAlign w:val="center"/>
          </w:tcPr>
          <w:p w:rsidR="00390F30" w:rsidRPr="00CB5CB4" w:rsidRDefault="00390F30" w:rsidP="006D0B0B">
            <w:pPr>
              <w:rPr>
                <w:szCs w:val="21"/>
              </w:rPr>
            </w:pPr>
            <w:r w:rsidRPr="007B2968">
              <w:rPr>
                <w:rFonts w:hint="eastAsia"/>
                <w:szCs w:val="21"/>
              </w:rPr>
              <w:t>以</w:t>
            </w:r>
            <w:r w:rsidRPr="007B2968">
              <w:rPr>
                <w:szCs w:val="21"/>
              </w:rPr>
              <w:t>2022</w:t>
            </w:r>
            <w:r w:rsidRPr="007B2968">
              <w:rPr>
                <w:rFonts w:hint="eastAsia"/>
                <w:szCs w:val="21"/>
              </w:rPr>
              <w:t>年净利润为基数，</w:t>
            </w:r>
            <w:r w:rsidRPr="007B2968">
              <w:rPr>
                <w:szCs w:val="21"/>
              </w:rPr>
              <w:t>2023</w:t>
            </w:r>
            <w:r w:rsidRPr="007B2968">
              <w:rPr>
                <w:rFonts w:hint="eastAsia"/>
                <w:szCs w:val="21"/>
              </w:rPr>
              <w:t>年净利润增长率不低于</w:t>
            </w:r>
            <w:r w:rsidRPr="007B2968">
              <w:rPr>
                <w:szCs w:val="21"/>
              </w:rPr>
              <w:t>10%</w:t>
            </w:r>
            <w:r w:rsidRPr="007B2968">
              <w:rPr>
                <w:rFonts w:hint="eastAsia"/>
                <w:szCs w:val="21"/>
              </w:rPr>
              <w:t>；且以</w:t>
            </w:r>
            <w:r w:rsidRPr="007B2968">
              <w:rPr>
                <w:szCs w:val="21"/>
              </w:rPr>
              <w:t>2022</w:t>
            </w:r>
            <w:r w:rsidRPr="007B2968">
              <w:rPr>
                <w:rFonts w:hint="eastAsia"/>
                <w:szCs w:val="21"/>
              </w:rPr>
              <w:t>年营业收入为基数，</w:t>
            </w:r>
            <w:r w:rsidRPr="007B2968">
              <w:rPr>
                <w:szCs w:val="21"/>
              </w:rPr>
              <w:t>2023</w:t>
            </w:r>
            <w:r w:rsidRPr="007B2968">
              <w:rPr>
                <w:rFonts w:hint="eastAsia"/>
                <w:szCs w:val="21"/>
              </w:rPr>
              <w:t>年营业收入增长率不低于</w:t>
            </w:r>
            <w:r w:rsidRPr="007B2968">
              <w:rPr>
                <w:rFonts w:hint="eastAsia"/>
                <w:szCs w:val="21"/>
              </w:rPr>
              <w:t>7</w:t>
            </w:r>
            <w:r w:rsidRPr="007B2968">
              <w:rPr>
                <w:szCs w:val="21"/>
              </w:rPr>
              <w:t>%</w:t>
            </w:r>
          </w:p>
        </w:tc>
      </w:tr>
      <w:tr w:rsidR="00390F30" w:rsidRPr="00CB5CB4" w:rsidTr="006D0B0B">
        <w:trPr>
          <w:trHeight w:val="20"/>
        </w:trPr>
        <w:tc>
          <w:tcPr>
            <w:tcW w:w="1272" w:type="pct"/>
            <w:vAlign w:val="center"/>
          </w:tcPr>
          <w:p w:rsidR="00390F30" w:rsidRPr="00CB5CB4" w:rsidRDefault="00390F30" w:rsidP="00390F30">
            <w:pPr>
              <w:jc w:val="center"/>
              <w:rPr>
                <w:szCs w:val="21"/>
              </w:rPr>
            </w:pPr>
            <w:r w:rsidRPr="00CB5CB4">
              <w:rPr>
                <w:szCs w:val="21"/>
              </w:rPr>
              <w:t>第二个归属期</w:t>
            </w:r>
          </w:p>
        </w:tc>
        <w:tc>
          <w:tcPr>
            <w:tcW w:w="3728" w:type="pct"/>
            <w:vAlign w:val="center"/>
          </w:tcPr>
          <w:p w:rsidR="00390F30" w:rsidRPr="00CB5CB4" w:rsidRDefault="00390F30" w:rsidP="006D0B0B">
            <w:pPr>
              <w:rPr>
                <w:szCs w:val="21"/>
              </w:rPr>
            </w:pPr>
            <w:r w:rsidRPr="007B2968">
              <w:rPr>
                <w:rFonts w:hint="eastAsia"/>
                <w:szCs w:val="21"/>
              </w:rPr>
              <w:t>以</w:t>
            </w:r>
            <w:r w:rsidRPr="007B2968">
              <w:rPr>
                <w:szCs w:val="21"/>
              </w:rPr>
              <w:t>2023</w:t>
            </w:r>
            <w:r w:rsidRPr="007B2968">
              <w:rPr>
                <w:rFonts w:hint="eastAsia"/>
                <w:szCs w:val="21"/>
              </w:rPr>
              <w:t>年净利润为基数，</w:t>
            </w:r>
            <w:r w:rsidRPr="007B2968">
              <w:rPr>
                <w:szCs w:val="21"/>
              </w:rPr>
              <w:t>2024</w:t>
            </w:r>
            <w:r w:rsidRPr="007B2968">
              <w:rPr>
                <w:rFonts w:hint="eastAsia"/>
                <w:szCs w:val="21"/>
              </w:rPr>
              <w:t>年净利润增长率不低于</w:t>
            </w:r>
            <w:r w:rsidRPr="007B2968">
              <w:rPr>
                <w:szCs w:val="21"/>
              </w:rPr>
              <w:t>10%</w:t>
            </w:r>
            <w:r w:rsidRPr="007B2968">
              <w:rPr>
                <w:rFonts w:hint="eastAsia"/>
                <w:szCs w:val="21"/>
              </w:rPr>
              <w:t>；且以</w:t>
            </w:r>
            <w:r w:rsidRPr="007B2968">
              <w:rPr>
                <w:szCs w:val="21"/>
              </w:rPr>
              <w:t>2023</w:t>
            </w:r>
            <w:r w:rsidRPr="007B2968">
              <w:rPr>
                <w:rFonts w:hint="eastAsia"/>
                <w:szCs w:val="21"/>
              </w:rPr>
              <w:t>年营业收入为基数，</w:t>
            </w:r>
            <w:r w:rsidRPr="007B2968">
              <w:rPr>
                <w:szCs w:val="21"/>
              </w:rPr>
              <w:t>2024</w:t>
            </w:r>
            <w:r w:rsidRPr="007B2968">
              <w:rPr>
                <w:rFonts w:hint="eastAsia"/>
                <w:szCs w:val="21"/>
              </w:rPr>
              <w:t>年营业收入增长率不低于</w:t>
            </w:r>
            <w:r w:rsidRPr="007B2968">
              <w:rPr>
                <w:rFonts w:hint="eastAsia"/>
                <w:szCs w:val="21"/>
              </w:rPr>
              <w:t>7</w:t>
            </w:r>
            <w:r w:rsidRPr="007B2968">
              <w:rPr>
                <w:szCs w:val="21"/>
              </w:rPr>
              <w:t>%</w:t>
            </w:r>
          </w:p>
        </w:tc>
      </w:tr>
      <w:tr w:rsidR="00390F30" w:rsidRPr="00CB5CB4" w:rsidTr="006D0B0B">
        <w:trPr>
          <w:trHeight w:val="20"/>
        </w:trPr>
        <w:tc>
          <w:tcPr>
            <w:tcW w:w="1272" w:type="pct"/>
            <w:vAlign w:val="center"/>
          </w:tcPr>
          <w:p w:rsidR="00390F30" w:rsidRPr="00CB5CB4" w:rsidRDefault="00390F30" w:rsidP="00390F30">
            <w:pPr>
              <w:jc w:val="center"/>
              <w:rPr>
                <w:szCs w:val="21"/>
              </w:rPr>
            </w:pPr>
            <w:r w:rsidRPr="00CB5CB4">
              <w:rPr>
                <w:szCs w:val="21"/>
              </w:rPr>
              <w:t>第三个归属期</w:t>
            </w:r>
          </w:p>
        </w:tc>
        <w:tc>
          <w:tcPr>
            <w:tcW w:w="3728" w:type="pct"/>
            <w:vAlign w:val="center"/>
          </w:tcPr>
          <w:p w:rsidR="00390F30" w:rsidRPr="00CB5CB4" w:rsidRDefault="00390F30" w:rsidP="006D0B0B">
            <w:pPr>
              <w:rPr>
                <w:szCs w:val="21"/>
              </w:rPr>
            </w:pPr>
            <w:r w:rsidRPr="007B2968">
              <w:rPr>
                <w:rFonts w:hint="eastAsia"/>
                <w:szCs w:val="21"/>
              </w:rPr>
              <w:t>以</w:t>
            </w:r>
            <w:r w:rsidRPr="007B2968">
              <w:rPr>
                <w:szCs w:val="21"/>
              </w:rPr>
              <w:t>2023</w:t>
            </w:r>
            <w:r w:rsidRPr="007B2968">
              <w:rPr>
                <w:rFonts w:hint="eastAsia"/>
                <w:szCs w:val="21"/>
              </w:rPr>
              <w:t>年净利润为基数，</w:t>
            </w:r>
            <w:r w:rsidRPr="007B2968">
              <w:rPr>
                <w:szCs w:val="21"/>
              </w:rPr>
              <w:t>2025</w:t>
            </w:r>
            <w:r w:rsidRPr="007B2968">
              <w:rPr>
                <w:rFonts w:hint="eastAsia"/>
                <w:szCs w:val="21"/>
              </w:rPr>
              <w:t>年净利润增长率不低于</w:t>
            </w:r>
            <w:r w:rsidRPr="007B2968">
              <w:rPr>
                <w:szCs w:val="21"/>
              </w:rPr>
              <w:t>20%</w:t>
            </w:r>
            <w:r w:rsidRPr="007B2968">
              <w:rPr>
                <w:rFonts w:hint="eastAsia"/>
                <w:szCs w:val="21"/>
              </w:rPr>
              <w:t>；且以</w:t>
            </w:r>
            <w:r w:rsidRPr="007B2968">
              <w:rPr>
                <w:szCs w:val="21"/>
              </w:rPr>
              <w:t>2023</w:t>
            </w:r>
            <w:r w:rsidRPr="007B2968">
              <w:rPr>
                <w:rFonts w:hint="eastAsia"/>
                <w:szCs w:val="21"/>
              </w:rPr>
              <w:t>年营业收入为基数，</w:t>
            </w:r>
            <w:r w:rsidRPr="007B2968">
              <w:rPr>
                <w:szCs w:val="21"/>
              </w:rPr>
              <w:t>2025</w:t>
            </w:r>
            <w:r w:rsidRPr="007B2968">
              <w:rPr>
                <w:rFonts w:hint="eastAsia"/>
                <w:szCs w:val="21"/>
              </w:rPr>
              <w:t>年营业收入增长率不低于</w:t>
            </w:r>
            <w:r w:rsidRPr="007B2968">
              <w:rPr>
                <w:szCs w:val="21"/>
              </w:rPr>
              <w:t>12%</w:t>
            </w:r>
          </w:p>
        </w:tc>
      </w:tr>
      <w:tr w:rsidR="00390F30" w:rsidRPr="00CB5CB4" w:rsidTr="006D0B0B">
        <w:trPr>
          <w:trHeight w:val="20"/>
        </w:trPr>
        <w:tc>
          <w:tcPr>
            <w:tcW w:w="1272" w:type="pct"/>
            <w:vAlign w:val="center"/>
          </w:tcPr>
          <w:p w:rsidR="00390F30" w:rsidRPr="00CB5CB4" w:rsidRDefault="00390F30" w:rsidP="00390F30">
            <w:pPr>
              <w:jc w:val="center"/>
              <w:rPr>
                <w:szCs w:val="21"/>
              </w:rPr>
            </w:pPr>
            <w:r w:rsidRPr="00CB5CB4">
              <w:rPr>
                <w:rFonts w:hint="eastAsia"/>
                <w:szCs w:val="21"/>
              </w:rPr>
              <w:t>第四个归属期</w:t>
            </w:r>
          </w:p>
        </w:tc>
        <w:tc>
          <w:tcPr>
            <w:tcW w:w="3728" w:type="pct"/>
            <w:vAlign w:val="center"/>
          </w:tcPr>
          <w:p w:rsidR="00390F30" w:rsidRPr="00CB5CB4" w:rsidRDefault="00390F30" w:rsidP="006D0B0B">
            <w:pPr>
              <w:rPr>
                <w:szCs w:val="21"/>
              </w:rPr>
            </w:pPr>
            <w:r w:rsidRPr="007B2968">
              <w:rPr>
                <w:rFonts w:hint="eastAsia"/>
                <w:szCs w:val="21"/>
              </w:rPr>
              <w:t>以</w:t>
            </w:r>
            <w:r w:rsidRPr="007B2968">
              <w:rPr>
                <w:szCs w:val="21"/>
              </w:rPr>
              <w:t>2023</w:t>
            </w:r>
            <w:r w:rsidRPr="007B2968">
              <w:rPr>
                <w:rFonts w:hint="eastAsia"/>
                <w:szCs w:val="21"/>
              </w:rPr>
              <w:t>年净利润为基数，</w:t>
            </w:r>
            <w:r w:rsidRPr="007B2968">
              <w:rPr>
                <w:szCs w:val="21"/>
              </w:rPr>
              <w:t>2026</w:t>
            </w:r>
            <w:r w:rsidRPr="007B2968">
              <w:rPr>
                <w:rFonts w:hint="eastAsia"/>
                <w:szCs w:val="21"/>
              </w:rPr>
              <w:t>年净利润增长率不低于</w:t>
            </w:r>
            <w:r w:rsidRPr="007B2968">
              <w:rPr>
                <w:szCs w:val="21"/>
              </w:rPr>
              <w:t>30%</w:t>
            </w:r>
            <w:r w:rsidRPr="007B2968">
              <w:rPr>
                <w:rFonts w:hint="eastAsia"/>
                <w:szCs w:val="21"/>
              </w:rPr>
              <w:t>；且以</w:t>
            </w:r>
            <w:r w:rsidRPr="007B2968">
              <w:rPr>
                <w:szCs w:val="21"/>
              </w:rPr>
              <w:t>2023</w:t>
            </w:r>
            <w:r w:rsidRPr="007B2968">
              <w:rPr>
                <w:rFonts w:hint="eastAsia"/>
                <w:szCs w:val="21"/>
              </w:rPr>
              <w:t>年营业收入为基数，</w:t>
            </w:r>
            <w:r w:rsidRPr="007B2968">
              <w:rPr>
                <w:szCs w:val="21"/>
              </w:rPr>
              <w:t>2026</w:t>
            </w:r>
            <w:r w:rsidRPr="007B2968">
              <w:rPr>
                <w:rFonts w:hint="eastAsia"/>
                <w:szCs w:val="21"/>
              </w:rPr>
              <w:t>年营业收入增长率不低于</w:t>
            </w:r>
            <w:r w:rsidRPr="007B2968">
              <w:rPr>
                <w:szCs w:val="21"/>
              </w:rPr>
              <w:t>18%</w:t>
            </w:r>
          </w:p>
        </w:tc>
      </w:tr>
    </w:tbl>
    <w:p w:rsidR="00721D36" w:rsidRPr="00CB5CB4" w:rsidRDefault="00721D36" w:rsidP="00721D36">
      <w:pPr>
        <w:spacing w:beforeLines="50" w:before="156" w:afterLines="50" w:after="156" w:line="360" w:lineRule="auto"/>
        <w:ind w:firstLineChars="200" w:firstLine="480"/>
        <w:rPr>
          <w:sz w:val="24"/>
        </w:rPr>
      </w:pPr>
      <w:r w:rsidRPr="00CB5CB4">
        <w:rPr>
          <w:rFonts w:hint="eastAsia"/>
          <w:sz w:val="24"/>
        </w:rPr>
        <w:t>首次授予第二类限制性股票的第二类激励对象对应的公司层面业绩考核目标如下表所示：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8"/>
        <w:gridCol w:w="6502"/>
      </w:tblGrid>
      <w:tr w:rsidR="00721D36" w:rsidRPr="00CB5CB4" w:rsidTr="006D0B0B">
        <w:trPr>
          <w:trHeight w:val="397"/>
        </w:trPr>
        <w:tc>
          <w:tcPr>
            <w:tcW w:w="1272" w:type="pct"/>
            <w:tcBorders>
              <w:top w:val="single" w:sz="4" w:space="0" w:color="auto"/>
              <w:left w:val="single" w:sz="4" w:space="0" w:color="auto"/>
              <w:bottom w:val="single" w:sz="4" w:space="0" w:color="auto"/>
              <w:right w:val="single" w:sz="4" w:space="0" w:color="auto"/>
            </w:tcBorders>
            <w:shd w:val="clear" w:color="auto" w:fill="F2F2F2"/>
            <w:vAlign w:val="center"/>
          </w:tcPr>
          <w:p w:rsidR="00721D36" w:rsidRPr="00CB5CB4" w:rsidRDefault="00721D36" w:rsidP="00885A5F">
            <w:pPr>
              <w:jc w:val="center"/>
              <w:rPr>
                <w:b/>
              </w:rPr>
            </w:pPr>
            <w:bookmarkStart w:id="2" w:name="_Hlk141814710"/>
            <w:r w:rsidRPr="00CB5CB4">
              <w:rPr>
                <w:rFonts w:hint="eastAsia"/>
                <w:b/>
              </w:rPr>
              <w:t>归属</w:t>
            </w:r>
            <w:r w:rsidRPr="00CB5CB4">
              <w:rPr>
                <w:b/>
              </w:rPr>
              <w:t>期</w:t>
            </w:r>
          </w:p>
        </w:tc>
        <w:tc>
          <w:tcPr>
            <w:tcW w:w="3728" w:type="pct"/>
            <w:tcBorders>
              <w:top w:val="single" w:sz="4" w:space="0" w:color="auto"/>
              <w:left w:val="single" w:sz="4" w:space="0" w:color="auto"/>
              <w:bottom w:val="single" w:sz="4" w:space="0" w:color="auto"/>
              <w:right w:val="single" w:sz="4" w:space="0" w:color="auto"/>
            </w:tcBorders>
            <w:shd w:val="clear" w:color="auto" w:fill="F2F2F2"/>
            <w:vAlign w:val="center"/>
          </w:tcPr>
          <w:p w:rsidR="00721D36" w:rsidRPr="00CB5CB4" w:rsidRDefault="00721D36" w:rsidP="00885A5F">
            <w:pPr>
              <w:jc w:val="center"/>
              <w:rPr>
                <w:b/>
              </w:rPr>
            </w:pPr>
            <w:r w:rsidRPr="00CB5CB4">
              <w:rPr>
                <w:b/>
              </w:rPr>
              <w:t>业绩考核目标</w:t>
            </w:r>
          </w:p>
        </w:tc>
      </w:tr>
      <w:tr w:rsidR="00390F30" w:rsidRPr="00CB5CB4" w:rsidTr="006D0B0B">
        <w:trPr>
          <w:trHeight w:val="20"/>
        </w:trPr>
        <w:tc>
          <w:tcPr>
            <w:tcW w:w="1272" w:type="pct"/>
            <w:vAlign w:val="center"/>
          </w:tcPr>
          <w:p w:rsidR="00390F30" w:rsidRPr="00CB5CB4" w:rsidRDefault="00390F30" w:rsidP="00390F30">
            <w:pPr>
              <w:jc w:val="center"/>
              <w:rPr>
                <w:szCs w:val="21"/>
              </w:rPr>
            </w:pPr>
            <w:r w:rsidRPr="00CB5CB4">
              <w:rPr>
                <w:szCs w:val="21"/>
              </w:rPr>
              <w:t>第一个归属期</w:t>
            </w:r>
          </w:p>
        </w:tc>
        <w:tc>
          <w:tcPr>
            <w:tcW w:w="3728" w:type="pct"/>
            <w:vAlign w:val="center"/>
          </w:tcPr>
          <w:p w:rsidR="00390F30" w:rsidRPr="00CB5CB4" w:rsidRDefault="00390F30" w:rsidP="006D0B0B">
            <w:pPr>
              <w:rPr>
                <w:szCs w:val="21"/>
              </w:rPr>
            </w:pPr>
            <w:r w:rsidRPr="007B2968">
              <w:rPr>
                <w:rFonts w:hint="eastAsia"/>
                <w:szCs w:val="21"/>
              </w:rPr>
              <w:t>以</w:t>
            </w:r>
            <w:r w:rsidRPr="007B2968">
              <w:rPr>
                <w:szCs w:val="21"/>
              </w:rPr>
              <w:t>2022</w:t>
            </w:r>
            <w:r w:rsidRPr="007B2968">
              <w:rPr>
                <w:rFonts w:hint="eastAsia"/>
                <w:szCs w:val="21"/>
              </w:rPr>
              <w:t>年净利润为基数，</w:t>
            </w:r>
            <w:r w:rsidRPr="007B2968">
              <w:rPr>
                <w:szCs w:val="21"/>
              </w:rPr>
              <w:t>2023</w:t>
            </w:r>
            <w:r w:rsidRPr="007B2968">
              <w:rPr>
                <w:rFonts w:hint="eastAsia"/>
                <w:szCs w:val="21"/>
              </w:rPr>
              <w:t>年净利润增长率不低于</w:t>
            </w:r>
            <w:r w:rsidRPr="007B2968">
              <w:rPr>
                <w:szCs w:val="21"/>
              </w:rPr>
              <w:t>10%</w:t>
            </w:r>
            <w:r w:rsidRPr="007B2968">
              <w:rPr>
                <w:rFonts w:hint="eastAsia"/>
                <w:szCs w:val="21"/>
              </w:rPr>
              <w:t>；且以</w:t>
            </w:r>
            <w:r w:rsidRPr="007B2968">
              <w:rPr>
                <w:szCs w:val="21"/>
              </w:rPr>
              <w:t>2022</w:t>
            </w:r>
            <w:r w:rsidRPr="007B2968">
              <w:rPr>
                <w:rFonts w:hint="eastAsia"/>
                <w:szCs w:val="21"/>
              </w:rPr>
              <w:t>年营业收入为基数，</w:t>
            </w:r>
            <w:r w:rsidRPr="007B2968">
              <w:rPr>
                <w:szCs w:val="21"/>
              </w:rPr>
              <w:t>2023</w:t>
            </w:r>
            <w:r w:rsidRPr="007B2968">
              <w:rPr>
                <w:rFonts w:hint="eastAsia"/>
                <w:szCs w:val="21"/>
              </w:rPr>
              <w:t>年营业收入增长率不低于</w:t>
            </w:r>
            <w:r w:rsidRPr="007B2968">
              <w:rPr>
                <w:rFonts w:hint="eastAsia"/>
                <w:szCs w:val="21"/>
              </w:rPr>
              <w:t>7</w:t>
            </w:r>
            <w:r w:rsidRPr="007B2968">
              <w:rPr>
                <w:szCs w:val="21"/>
              </w:rPr>
              <w:t>%</w:t>
            </w:r>
          </w:p>
        </w:tc>
      </w:tr>
      <w:tr w:rsidR="00390F30" w:rsidRPr="00CB5CB4" w:rsidTr="006D0B0B">
        <w:trPr>
          <w:trHeight w:val="20"/>
        </w:trPr>
        <w:tc>
          <w:tcPr>
            <w:tcW w:w="1272" w:type="pct"/>
            <w:vAlign w:val="center"/>
          </w:tcPr>
          <w:p w:rsidR="00390F30" w:rsidRPr="00CB5CB4" w:rsidRDefault="00390F30" w:rsidP="00390F30">
            <w:pPr>
              <w:jc w:val="center"/>
              <w:rPr>
                <w:szCs w:val="21"/>
              </w:rPr>
            </w:pPr>
            <w:r w:rsidRPr="00CB5CB4">
              <w:rPr>
                <w:szCs w:val="21"/>
              </w:rPr>
              <w:t>第二个归属期</w:t>
            </w:r>
          </w:p>
        </w:tc>
        <w:tc>
          <w:tcPr>
            <w:tcW w:w="3728" w:type="pct"/>
            <w:vAlign w:val="center"/>
          </w:tcPr>
          <w:p w:rsidR="00390F30" w:rsidRPr="00CB5CB4" w:rsidRDefault="00390F30" w:rsidP="006D0B0B">
            <w:pPr>
              <w:rPr>
                <w:szCs w:val="21"/>
              </w:rPr>
            </w:pPr>
            <w:r w:rsidRPr="007B2968">
              <w:rPr>
                <w:rFonts w:hint="eastAsia"/>
                <w:szCs w:val="21"/>
              </w:rPr>
              <w:t>以</w:t>
            </w:r>
            <w:r w:rsidRPr="007B2968">
              <w:rPr>
                <w:szCs w:val="21"/>
              </w:rPr>
              <w:t>2023</w:t>
            </w:r>
            <w:r w:rsidRPr="007B2968">
              <w:rPr>
                <w:rFonts w:hint="eastAsia"/>
                <w:szCs w:val="21"/>
              </w:rPr>
              <w:t>年净利润为基数，</w:t>
            </w:r>
            <w:r w:rsidRPr="007B2968">
              <w:rPr>
                <w:szCs w:val="21"/>
              </w:rPr>
              <w:t>2024</w:t>
            </w:r>
            <w:r w:rsidRPr="007B2968">
              <w:rPr>
                <w:rFonts w:hint="eastAsia"/>
                <w:szCs w:val="21"/>
              </w:rPr>
              <w:t>年净利润增长率不低于</w:t>
            </w:r>
            <w:r w:rsidRPr="007B2968">
              <w:rPr>
                <w:szCs w:val="21"/>
              </w:rPr>
              <w:t>10%</w:t>
            </w:r>
            <w:r w:rsidRPr="007B2968">
              <w:rPr>
                <w:rFonts w:hint="eastAsia"/>
                <w:szCs w:val="21"/>
              </w:rPr>
              <w:t>；且以</w:t>
            </w:r>
            <w:r w:rsidRPr="007B2968">
              <w:rPr>
                <w:szCs w:val="21"/>
              </w:rPr>
              <w:t>2023</w:t>
            </w:r>
            <w:r w:rsidRPr="007B2968">
              <w:rPr>
                <w:rFonts w:hint="eastAsia"/>
                <w:szCs w:val="21"/>
              </w:rPr>
              <w:t>年营业收入为基数，</w:t>
            </w:r>
            <w:r w:rsidRPr="007B2968">
              <w:rPr>
                <w:szCs w:val="21"/>
              </w:rPr>
              <w:t>2024</w:t>
            </w:r>
            <w:r w:rsidRPr="007B2968">
              <w:rPr>
                <w:rFonts w:hint="eastAsia"/>
                <w:szCs w:val="21"/>
              </w:rPr>
              <w:t>年营业收入增长率不低于</w:t>
            </w:r>
            <w:r w:rsidRPr="007B2968">
              <w:rPr>
                <w:rFonts w:hint="eastAsia"/>
                <w:szCs w:val="21"/>
              </w:rPr>
              <w:t>7</w:t>
            </w:r>
            <w:r w:rsidRPr="007B2968">
              <w:rPr>
                <w:szCs w:val="21"/>
              </w:rPr>
              <w:t>%</w:t>
            </w:r>
          </w:p>
        </w:tc>
      </w:tr>
      <w:tr w:rsidR="00390F30" w:rsidRPr="00CB5CB4" w:rsidTr="006D0B0B">
        <w:trPr>
          <w:trHeight w:val="20"/>
        </w:trPr>
        <w:tc>
          <w:tcPr>
            <w:tcW w:w="1272" w:type="pct"/>
            <w:vAlign w:val="center"/>
          </w:tcPr>
          <w:p w:rsidR="00390F30" w:rsidRPr="00CB5CB4" w:rsidRDefault="00390F30" w:rsidP="00390F30">
            <w:pPr>
              <w:jc w:val="center"/>
              <w:rPr>
                <w:szCs w:val="21"/>
              </w:rPr>
            </w:pPr>
            <w:r w:rsidRPr="00CB5CB4">
              <w:rPr>
                <w:szCs w:val="21"/>
              </w:rPr>
              <w:t>第三个归属期</w:t>
            </w:r>
          </w:p>
        </w:tc>
        <w:tc>
          <w:tcPr>
            <w:tcW w:w="3728" w:type="pct"/>
            <w:vAlign w:val="center"/>
          </w:tcPr>
          <w:p w:rsidR="00390F30" w:rsidRPr="00CB5CB4" w:rsidRDefault="00390F30" w:rsidP="006D0B0B">
            <w:pPr>
              <w:rPr>
                <w:szCs w:val="21"/>
              </w:rPr>
            </w:pPr>
            <w:r w:rsidRPr="007B2968">
              <w:rPr>
                <w:rFonts w:hint="eastAsia"/>
                <w:szCs w:val="21"/>
              </w:rPr>
              <w:t>以</w:t>
            </w:r>
            <w:r w:rsidRPr="007B2968">
              <w:rPr>
                <w:szCs w:val="21"/>
              </w:rPr>
              <w:t>2023</w:t>
            </w:r>
            <w:r w:rsidRPr="007B2968">
              <w:rPr>
                <w:rFonts w:hint="eastAsia"/>
                <w:szCs w:val="21"/>
              </w:rPr>
              <w:t>年净利润为基数，</w:t>
            </w:r>
            <w:r w:rsidRPr="007B2968">
              <w:rPr>
                <w:szCs w:val="21"/>
              </w:rPr>
              <w:t>2025</w:t>
            </w:r>
            <w:r w:rsidRPr="007B2968">
              <w:rPr>
                <w:rFonts w:hint="eastAsia"/>
                <w:szCs w:val="21"/>
              </w:rPr>
              <w:t>年净利润增长率不低于</w:t>
            </w:r>
            <w:r w:rsidRPr="007B2968">
              <w:rPr>
                <w:szCs w:val="21"/>
              </w:rPr>
              <w:t>20%</w:t>
            </w:r>
            <w:r w:rsidRPr="007B2968">
              <w:rPr>
                <w:rFonts w:hint="eastAsia"/>
                <w:szCs w:val="21"/>
              </w:rPr>
              <w:t>；且以</w:t>
            </w:r>
            <w:r w:rsidRPr="007B2968">
              <w:rPr>
                <w:szCs w:val="21"/>
              </w:rPr>
              <w:t>2023</w:t>
            </w:r>
            <w:r w:rsidRPr="007B2968">
              <w:rPr>
                <w:rFonts w:hint="eastAsia"/>
                <w:szCs w:val="21"/>
              </w:rPr>
              <w:t>年营业收入为基数，</w:t>
            </w:r>
            <w:r w:rsidRPr="007B2968">
              <w:rPr>
                <w:szCs w:val="21"/>
              </w:rPr>
              <w:t>2025</w:t>
            </w:r>
            <w:r w:rsidRPr="007B2968">
              <w:rPr>
                <w:rFonts w:hint="eastAsia"/>
                <w:szCs w:val="21"/>
              </w:rPr>
              <w:t>年营业收入增长率不低于</w:t>
            </w:r>
            <w:r w:rsidRPr="007B2968">
              <w:rPr>
                <w:szCs w:val="21"/>
              </w:rPr>
              <w:t>12%</w:t>
            </w:r>
          </w:p>
        </w:tc>
      </w:tr>
    </w:tbl>
    <w:bookmarkEnd w:id="2"/>
    <w:p w:rsidR="00721D36" w:rsidRPr="00CB5CB4" w:rsidRDefault="00721D36" w:rsidP="00721D36">
      <w:pPr>
        <w:snapToGrid w:val="0"/>
        <w:spacing w:beforeLines="50" w:before="156" w:line="360" w:lineRule="auto"/>
        <w:ind w:firstLineChars="200" w:firstLine="480"/>
        <w:rPr>
          <w:sz w:val="24"/>
        </w:rPr>
      </w:pPr>
      <w:r w:rsidRPr="00CB5CB4">
        <w:rPr>
          <w:rFonts w:hint="eastAsia"/>
          <w:sz w:val="24"/>
        </w:rPr>
        <w:t>预留</w:t>
      </w:r>
      <w:r w:rsidR="001E70D1" w:rsidRPr="00CB5CB4">
        <w:rPr>
          <w:rFonts w:hint="eastAsia"/>
          <w:sz w:val="24"/>
        </w:rPr>
        <w:t>授予</w:t>
      </w:r>
      <w:r w:rsidRPr="00CB5CB4">
        <w:rPr>
          <w:rFonts w:hint="eastAsia"/>
          <w:sz w:val="24"/>
        </w:rPr>
        <w:t>的第二类限制性股票对应的公司层面业绩考核目标如下表所示：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8"/>
        <w:gridCol w:w="6502"/>
      </w:tblGrid>
      <w:tr w:rsidR="001E70D1" w:rsidRPr="00CB5CB4" w:rsidTr="006D0B0B">
        <w:trPr>
          <w:trHeight w:val="397"/>
        </w:trPr>
        <w:tc>
          <w:tcPr>
            <w:tcW w:w="1272" w:type="pct"/>
            <w:tcBorders>
              <w:top w:val="single" w:sz="4" w:space="0" w:color="auto"/>
              <w:left w:val="single" w:sz="4" w:space="0" w:color="auto"/>
              <w:bottom w:val="single" w:sz="4" w:space="0" w:color="auto"/>
              <w:right w:val="single" w:sz="4" w:space="0" w:color="auto"/>
            </w:tcBorders>
            <w:shd w:val="clear" w:color="auto" w:fill="F2F2F2"/>
            <w:vAlign w:val="center"/>
          </w:tcPr>
          <w:p w:rsidR="001E70D1" w:rsidRPr="00CB5CB4" w:rsidRDefault="001E70D1" w:rsidP="00CA07FD">
            <w:pPr>
              <w:jc w:val="center"/>
              <w:rPr>
                <w:b/>
              </w:rPr>
            </w:pPr>
            <w:r w:rsidRPr="00CB5CB4">
              <w:rPr>
                <w:rFonts w:hint="eastAsia"/>
                <w:b/>
              </w:rPr>
              <w:t>归属</w:t>
            </w:r>
            <w:r w:rsidRPr="00CB5CB4">
              <w:rPr>
                <w:b/>
              </w:rPr>
              <w:t>期</w:t>
            </w:r>
          </w:p>
        </w:tc>
        <w:tc>
          <w:tcPr>
            <w:tcW w:w="3728" w:type="pct"/>
            <w:tcBorders>
              <w:top w:val="single" w:sz="4" w:space="0" w:color="auto"/>
              <w:left w:val="single" w:sz="4" w:space="0" w:color="auto"/>
              <w:bottom w:val="single" w:sz="4" w:space="0" w:color="auto"/>
              <w:right w:val="single" w:sz="4" w:space="0" w:color="auto"/>
            </w:tcBorders>
            <w:shd w:val="clear" w:color="auto" w:fill="F2F2F2"/>
            <w:vAlign w:val="center"/>
          </w:tcPr>
          <w:p w:rsidR="001E70D1" w:rsidRPr="00CB5CB4" w:rsidRDefault="001E70D1" w:rsidP="00CA07FD">
            <w:pPr>
              <w:jc w:val="center"/>
              <w:rPr>
                <w:b/>
              </w:rPr>
            </w:pPr>
            <w:r w:rsidRPr="00CB5CB4">
              <w:rPr>
                <w:b/>
              </w:rPr>
              <w:t>业绩考核目标</w:t>
            </w:r>
          </w:p>
        </w:tc>
      </w:tr>
      <w:tr w:rsidR="00390F30" w:rsidRPr="00CB5CB4" w:rsidTr="006D0B0B">
        <w:trPr>
          <w:trHeight w:val="20"/>
        </w:trPr>
        <w:tc>
          <w:tcPr>
            <w:tcW w:w="1272" w:type="pct"/>
            <w:vAlign w:val="center"/>
          </w:tcPr>
          <w:p w:rsidR="00390F30" w:rsidRPr="00CB5CB4" w:rsidRDefault="00390F30" w:rsidP="00390F30">
            <w:pPr>
              <w:jc w:val="center"/>
              <w:rPr>
                <w:szCs w:val="21"/>
              </w:rPr>
            </w:pPr>
            <w:r w:rsidRPr="00CB5CB4">
              <w:rPr>
                <w:szCs w:val="21"/>
              </w:rPr>
              <w:t>第一个归属期</w:t>
            </w:r>
          </w:p>
        </w:tc>
        <w:tc>
          <w:tcPr>
            <w:tcW w:w="3728" w:type="pct"/>
            <w:vAlign w:val="center"/>
          </w:tcPr>
          <w:p w:rsidR="00390F30" w:rsidRPr="00CB5CB4" w:rsidRDefault="00390F30" w:rsidP="006D0B0B">
            <w:pPr>
              <w:rPr>
                <w:szCs w:val="21"/>
              </w:rPr>
            </w:pPr>
            <w:r w:rsidRPr="007B2968">
              <w:rPr>
                <w:rFonts w:hint="eastAsia"/>
                <w:szCs w:val="21"/>
              </w:rPr>
              <w:t>以</w:t>
            </w:r>
            <w:r w:rsidRPr="007B2968">
              <w:rPr>
                <w:szCs w:val="21"/>
              </w:rPr>
              <w:t>2023</w:t>
            </w:r>
            <w:r w:rsidRPr="007B2968">
              <w:rPr>
                <w:rFonts w:hint="eastAsia"/>
                <w:szCs w:val="21"/>
              </w:rPr>
              <w:t>年净利润为基数，</w:t>
            </w:r>
            <w:r w:rsidRPr="007B2968">
              <w:rPr>
                <w:szCs w:val="21"/>
              </w:rPr>
              <w:t>2024</w:t>
            </w:r>
            <w:r w:rsidRPr="007B2968">
              <w:rPr>
                <w:rFonts w:hint="eastAsia"/>
                <w:szCs w:val="21"/>
              </w:rPr>
              <w:t>年净利润增长率不低于</w:t>
            </w:r>
            <w:r w:rsidRPr="007B2968">
              <w:rPr>
                <w:szCs w:val="21"/>
              </w:rPr>
              <w:t>10%</w:t>
            </w:r>
            <w:r w:rsidRPr="007B2968">
              <w:rPr>
                <w:rFonts w:hint="eastAsia"/>
                <w:szCs w:val="21"/>
              </w:rPr>
              <w:t>；且以</w:t>
            </w:r>
            <w:r w:rsidRPr="007B2968">
              <w:rPr>
                <w:szCs w:val="21"/>
              </w:rPr>
              <w:t>2023</w:t>
            </w:r>
            <w:r w:rsidRPr="007B2968">
              <w:rPr>
                <w:rFonts w:hint="eastAsia"/>
                <w:szCs w:val="21"/>
              </w:rPr>
              <w:t>年营业收入为基数，</w:t>
            </w:r>
            <w:r w:rsidRPr="007B2968">
              <w:rPr>
                <w:szCs w:val="21"/>
              </w:rPr>
              <w:t>2024</w:t>
            </w:r>
            <w:r w:rsidRPr="007B2968">
              <w:rPr>
                <w:rFonts w:hint="eastAsia"/>
                <w:szCs w:val="21"/>
              </w:rPr>
              <w:t>年营业收入增长率不低于</w:t>
            </w:r>
            <w:r w:rsidRPr="007B2968">
              <w:rPr>
                <w:rFonts w:hint="eastAsia"/>
                <w:szCs w:val="21"/>
              </w:rPr>
              <w:t>7</w:t>
            </w:r>
            <w:r w:rsidRPr="007B2968">
              <w:rPr>
                <w:szCs w:val="21"/>
              </w:rPr>
              <w:t>%</w:t>
            </w:r>
          </w:p>
        </w:tc>
      </w:tr>
      <w:tr w:rsidR="00390F30" w:rsidRPr="00CB5CB4" w:rsidTr="006D0B0B">
        <w:trPr>
          <w:trHeight w:val="20"/>
        </w:trPr>
        <w:tc>
          <w:tcPr>
            <w:tcW w:w="1272" w:type="pct"/>
            <w:vAlign w:val="center"/>
          </w:tcPr>
          <w:p w:rsidR="00390F30" w:rsidRPr="00CB5CB4" w:rsidRDefault="00390F30" w:rsidP="00390F30">
            <w:pPr>
              <w:jc w:val="center"/>
              <w:rPr>
                <w:szCs w:val="21"/>
              </w:rPr>
            </w:pPr>
            <w:r w:rsidRPr="00CB5CB4">
              <w:rPr>
                <w:szCs w:val="21"/>
              </w:rPr>
              <w:t>第二个归属期</w:t>
            </w:r>
          </w:p>
        </w:tc>
        <w:tc>
          <w:tcPr>
            <w:tcW w:w="3728" w:type="pct"/>
            <w:vAlign w:val="center"/>
          </w:tcPr>
          <w:p w:rsidR="00390F30" w:rsidRPr="00CB5CB4" w:rsidRDefault="00390F30" w:rsidP="006D0B0B">
            <w:pPr>
              <w:rPr>
                <w:szCs w:val="21"/>
              </w:rPr>
            </w:pPr>
            <w:r w:rsidRPr="007B2968">
              <w:rPr>
                <w:rFonts w:hint="eastAsia"/>
                <w:szCs w:val="21"/>
              </w:rPr>
              <w:t>以</w:t>
            </w:r>
            <w:r w:rsidRPr="007B2968">
              <w:rPr>
                <w:szCs w:val="21"/>
              </w:rPr>
              <w:t>2023</w:t>
            </w:r>
            <w:r w:rsidRPr="007B2968">
              <w:rPr>
                <w:rFonts w:hint="eastAsia"/>
                <w:szCs w:val="21"/>
              </w:rPr>
              <w:t>年净利润为基数，</w:t>
            </w:r>
            <w:r w:rsidRPr="007B2968">
              <w:rPr>
                <w:szCs w:val="21"/>
              </w:rPr>
              <w:t>2025</w:t>
            </w:r>
            <w:r w:rsidRPr="007B2968">
              <w:rPr>
                <w:rFonts w:hint="eastAsia"/>
                <w:szCs w:val="21"/>
              </w:rPr>
              <w:t>年净利润增长率不低于</w:t>
            </w:r>
            <w:r w:rsidRPr="007B2968">
              <w:rPr>
                <w:szCs w:val="21"/>
              </w:rPr>
              <w:t>20%</w:t>
            </w:r>
            <w:r w:rsidRPr="007B2968">
              <w:rPr>
                <w:rFonts w:hint="eastAsia"/>
                <w:szCs w:val="21"/>
              </w:rPr>
              <w:t>；且以</w:t>
            </w:r>
            <w:r w:rsidRPr="007B2968">
              <w:rPr>
                <w:szCs w:val="21"/>
              </w:rPr>
              <w:t>2023</w:t>
            </w:r>
            <w:r w:rsidRPr="007B2968">
              <w:rPr>
                <w:rFonts w:hint="eastAsia"/>
                <w:szCs w:val="21"/>
              </w:rPr>
              <w:t>年营业收入为基数，</w:t>
            </w:r>
            <w:r w:rsidRPr="007B2968">
              <w:rPr>
                <w:szCs w:val="21"/>
              </w:rPr>
              <w:t>2025</w:t>
            </w:r>
            <w:r w:rsidRPr="007B2968">
              <w:rPr>
                <w:rFonts w:hint="eastAsia"/>
                <w:szCs w:val="21"/>
              </w:rPr>
              <w:t>年营业收入增长率不低于</w:t>
            </w:r>
            <w:r w:rsidRPr="007B2968">
              <w:rPr>
                <w:szCs w:val="21"/>
              </w:rPr>
              <w:t>12%</w:t>
            </w:r>
          </w:p>
        </w:tc>
      </w:tr>
      <w:tr w:rsidR="00390F30" w:rsidRPr="00CB5CB4" w:rsidTr="006D0B0B">
        <w:trPr>
          <w:trHeight w:val="20"/>
        </w:trPr>
        <w:tc>
          <w:tcPr>
            <w:tcW w:w="1272" w:type="pct"/>
            <w:vAlign w:val="center"/>
          </w:tcPr>
          <w:p w:rsidR="00390F30" w:rsidRPr="00CB5CB4" w:rsidRDefault="00390F30" w:rsidP="00390F30">
            <w:pPr>
              <w:jc w:val="center"/>
              <w:rPr>
                <w:szCs w:val="21"/>
              </w:rPr>
            </w:pPr>
            <w:r w:rsidRPr="00CB5CB4">
              <w:rPr>
                <w:szCs w:val="21"/>
              </w:rPr>
              <w:t>第三个归属期</w:t>
            </w:r>
          </w:p>
        </w:tc>
        <w:tc>
          <w:tcPr>
            <w:tcW w:w="3728" w:type="pct"/>
            <w:vAlign w:val="center"/>
          </w:tcPr>
          <w:p w:rsidR="00390F30" w:rsidRPr="00CB5CB4" w:rsidRDefault="00390F30" w:rsidP="006D0B0B">
            <w:pPr>
              <w:rPr>
                <w:szCs w:val="21"/>
              </w:rPr>
            </w:pPr>
            <w:r w:rsidRPr="007B2968">
              <w:rPr>
                <w:rFonts w:hint="eastAsia"/>
                <w:szCs w:val="21"/>
              </w:rPr>
              <w:t>以</w:t>
            </w:r>
            <w:r w:rsidRPr="007B2968">
              <w:rPr>
                <w:szCs w:val="21"/>
              </w:rPr>
              <w:t>2023</w:t>
            </w:r>
            <w:r w:rsidRPr="007B2968">
              <w:rPr>
                <w:rFonts w:hint="eastAsia"/>
                <w:szCs w:val="21"/>
              </w:rPr>
              <w:t>年净利润为基数，</w:t>
            </w:r>
            <w:r w:rsidRPr="007B2968">
              <w:rPr>
                <w:szCs w:val="21"/>
              </w:rPr>
              <w:t>2026</w:t>
            </w:r>
            <w:r w:rsidRPr="007B2968">
              <w:rPr>
                <w:rFonts w:hint="eastAsia"/>
                <w:szCs w:val="21"/>
              </w:rPr>
              <w:t>年净利润增长率不低于</w:t>
            </w:r>
            <w:r w:rsidRPr="007B2968">
              <w:rPr>
                <w:szCs w:val="21"/>
              </w:rPr>
              <w:t>30%</w:t>
            </w:r>
            <w:r w:rsidRPr="007B2968">
              <w:rPr>
                <w:rFonts w:hint="eastAsia"/>
                <w:szCs w:val="21"/>
              </w:rPr>
              <w:t>；且以</w:t>
            </w:r>
            <w:r w:rsidRPr="007B2968">
              <w:rPr>
                <w:szCs w:val="21"/>
              </w:rPr>
              <w:t>2023</w:t>
            </w:r>
            <w:r w:rsidRPr="007B2968">
              <w:rPr>
                <w:rFonts w:hint="eastAsia"/>
                <w:szCs w:val="21"/>
              </w:rPr>
              <w:t>年营业收入为基数，</w:t>
            </w:r>
            <w:r w:rsidRPr="007B2968">
              <w:rPr>
                <w:szCs w:val="21"/>
              </w:rPr>
              <w:t>2026</w:t>
            </w:r>
            <w:r w:rsidRPr="007B2968">
              <w:rPr>
                <w:rFonts w:hint="eastAsia"/>
                <w:szCs w:val="21"/>
              </w:rPr>
              <w:t>年营业收入增长率不低于</w:t>
            </w:r>
            <w:r w:rsidRPr="007B2968">
              <w:rPr>
                <w:szCs w:val="21"/>
              </w:rPr>
              <w:t>18%</w:t>
            </w:r>
          </w:p>
        </w:tc>
      </w:tr>
    </w:tbl>
    <w:p w:rsidR="001B4B15" w:rsidRPr="00CB5CB4" w:rsidRDefault="001B4B15" w:rsidP="003C36E3">
      <w:pPr>
        <w:spacing w:beforeLines="50" w:before="156" w:line="360" w:lineRule="auto"/>
        <w:ind w:firstLineChars="200" w:firstLine="480"/>
        <w:rPr>
          <w:color w:val="000000"/>
          <w:sz w:val="24"/>
        </w:rPr>
      </w:pPr>
      <w:r w:rsidRPr="00CB5CB4">
        <w:rPr>
          <w:rFonts w:hint="eastAsia"/>
          <w:color w:val="000000"/>
          <w:sz w:val="24"/>
        </w:rPr>
        <w:t>解除限售</w:t>
      </w:r>
      <w:r w:rsidRPr="00CB5CB4">
        <w:rPr>
          <w:rFonts w:hint="eastAsia"/>
          <w:color w:val="000000"/>
          <w:sz w:val="24"/>
        </w:rPr>
        <w:t>/</w:t>
      </w:r>
      <w:r w:rsidRPr="00CB5CB4">
        <w:rPr>
          <w:rFonts w:hint="eastAsia"/>
          <w:color w:val="000000"/>
          <w:sz w:val="24"/>
        </w:rPr>
        <w:t>归属期内，公司为满足解除限售</w:t>
      </w:r>
      <w:r w:rsidRPr="00CB5CB4">
        <w:rPr>
          <w:rFonts w:hint="eastAsia"/>
          <w:color w:val="000000"/>
          <w:sz w:val="24"/>
        </w:rPr>
        <w:t>/</w:t>
      </w:r>
      <w:r w:rsidRPr="00CB5CB4">
        <w:rPr>
          <w:rFonts w:hint="eastAsia"/>
          <w:color w:val="000000"/>
          <w:sz w:val="24"/>
        </w:rPr>
        <w:t>归属条件的激励对象办理解除限售</w:t>
      </w:r>
      <w:r w:rsidRPr="00CB5CB4">
        <w:rPr>
          <w:rFonts w:hint="eastAsia"/>
          <w:color w:val="000000"/>
          <w:sz w:val="24"/>
        </w:rPr>
        <w:t>/</w:t>
      </w:r>
      <w:r w:rsidRPr="00CB5CB4">
        <w:rPr>
          <w:rFonts w:hint="eastAsia"/>
          <w:color w:val="000000"/>
          <w:sz w:val="24"/>
        </w:rPr>
        <w:t>归属事宜。若各解除限售</w:t>
      </w:r>
      <w:r w:rsidRPr="00CB5CB4">
        <w:rPr>
          <w:rFonts w:hint="eastAsia"/>
          <w:color w:val="000000"/>
          <w:sz w:val="24"/>
        </w:rPr>
        <w:t>/</w:t>
      </w:r>
      <w:r w:rsidRPr="00CB5CB4">
        <w:rPr>
          <w:rFonts w:hint="eastAsia"/>
          <w:color w:val="000000"/>
          <w:sz w:val="24"/>
        </w:rPr>
        <w:t>归属期内，公司当期业绩水平未达到业绩考核目标条件</w:t>
      </w:r>
      <w:r w:rsidRPr="00CB5CB4">
        <w:rPr>
          <w:rFonts w:hint="eastAsia"/>
          <w:color w:val="000000"/>
          <w:sz w:val="24"/>
        </w:rPr>
        <w:lastRenderedPageBreak/>
        <w:t>的，所有激励对象对应考核当年</w:t>
      </w:r>
      <w:r w:rsidR="00AA0B4C" w:rsidRPr="00CB5CB4">
        <w:rPr>
          <w:rFonts w:hint="eastAsia"/>
          <w:color w:val="000000"/>
          <w:sz w:val="24"/>
        </w:rPr>
        <w:t>计划</w:t>
      </w:r>
      <w:r w:rsidRPr="00CB5CB4">
        <w:rPr>
          <w:rFonts w:hint="eastAsia"/>
          <w:color w:val="000000"/>
          <w:sz w:val="24"/>
        </w:rPr>
        <w:t>解除限售的第一类限制性股票均不得解除限售，由公司以授予价格</w:t>
      </w:r>
      <w:r w:rsidR="000F6DC5" w:rsidRPr="00CB5CB4">
        <w:rPr>
          <w:rFonts w:hint="eastAsia"/>
          <w:color w:val="000000"/>
          <w:sz w:val="24"/>
        </w:rPr>
        <w:t>加上中国人民银行同期存款利息之和</w:t>
      </w:r>
      <w:r w:rsidRPr="00CB5CB4">
        <w:rPr>
          <w:rFonts w:hint="eastAsia"/>
          <w:color w:val="000000"/>
          <w:sz w:val="24"/>
        </w:rPr>
        <w:t>回购注销。所有激励对象对应考核当年</w:t>
      </w:r>
      <w:r w:rsidR="00AA0B4C" w:rsidRPr="00CB5CB4">
        <w:rPr>
          <w:rFonts w:hint="eastAsia"/>
          <w:color w:val="000000"/>
          <w:sz w:val="24"/>
        </w:rPr>
        <w:t>计划</w:t>
      </w:r>
      <w:r w:rsidRPr="00CB5CB4">
        <w:rPr>
          <w:rFonts w:hint="eastAsia"/>
          <w:color w:val="000000"/>
          <w:sz w:val="24"/>
        </w:rPr>
        <w:t>归属的第二类限制性股票全部取消归属，并作废失效。</w:t>
      </w:r>
    </w:p>
    <w:p w:rsidR="001B4B15" w:rsidRPr="00CB5CB4" w:rsidRDefault="001B4B15" w:rsidP="003C36E3">
      <w:pPr>
        <w:spacing w:beforeLines="50" w:before="156" w:line="360" w:lineRule="auto"/>
        <w:ind w:firstLineChars="200" w:firstLine="480"/>
        <w:rPr>
          <w:sz w:val="24"/>
        </w:rPr>
      </w:pPr>
      <w:r w:rsidRPr="00CB5CB4">
        <w:rPr>
          <w:sz w:val="24"/>
        </w:rPr>
        <w:t>（</w:t>
      </w:r>
      <w:r w:rsidR="00922FB3" w:rsidRPr="00CB5CB4">
        <w:rPr>
          <w:rFonts w:hint="eastAsia"/>
          <w:sz w:val="24"/>
        </w:rPr>
        <w:t>二</w:t>
      </w:r>
      <w:r w:rsidRPr="00CB5CB4">
        <w:rPr>
          <w:sz w:val="24"/>
        </w:rPr>
        <w:t>）激励对象层面考核要求</w:t>
      </w:r>
      <w:r w:rsidRPr="00CB5CB4">
        <w:rPr>
          <w:rFonts w:hint="eastAsia"/>
          <w:sz w:val="24"/>
        </w:rPr>
        <w:t>：</w:t>
      </w:r>
    </w:p>
    <w:p w:rsidR="000F6DC5" w:rsidRPr="00CB5CB4" w:rsidRDefault="000F6DC5" w:rsidP="000F6DC5">
      <w:pPr>
        <w:spacing w:beforeLines="50" w:before="156" w:afterLines="50" w:after="156" w:line="360" w:lineRule="auto"/>
        <w:ind w:firstLineChars="200" w:firstLine="480"/>
        <w:rPr>
          <w:sz w:val="24"/>
        </w:rPr>
      </w:pPr>
      <w:r w:rsidRPr="00CB5CB4">
        <w:rPr>
          <w:sz w:val="24"/>
        </w:rPr>
        <w:t>激励对象个人层面的考核根据公司内部绩效考核相关制度实施。激励对象个人考核评价结果分为</w:t>
      </w:r>
      <w:r w:rsidRPr="00B515F1">
        <w:rPr>
          <w:rFonts w:ascii="宋体" w:hAnsi="宋体" w:hint="eastAsia"/>
          <w:sz w:val="24"/>
        </w:rPr>
        <w:t>“</w:t>
      </w:r>
      <w:r w:rsidRPr="00CB5CB4">
        <w:rPr>
          <w:rFonts w:hint="eastAsia"/>
          <w:sz w:val="24"/>
        </w:rPr>
        <w:t>合格</w:t>
      </w:r>
      <w:r w:rsidRPr="00B515F1">
        <w:rPr>
          <w:rFonts w:ascii="宋体" w:hAnsi="宋体" w:hint="eastAsia"/>
          <w:sz w:val="24"/>
        </w:rPr>
        <w:t>”</w:t>
      </w:r>
      <w:r w:rsidRPr="00CB5CB4">
        <w:rPr>
          <w:sz w:val="24"/>
        </w:rPr>
        <w:t>、</w:t>
      </w:r>
      <w:r w:rsidRPr="00B515F1">
        <w:rPr>
          <w:rFonts w:ascii="宋体" w:hAnsi="宋体" w:hint="eastAsia"/>
          <w:sz w:val="24"/>
        </w:rPr>
        <w:t>“</w:t>
      </w:r>
      <w:r w:rsidRPr="00CB5CB4">
        <w:rPr>
          <w:rFonts w:hint="eastAsia"/>
          <w:sz w:val="24"/>
        </w:rPr>
        <w:t>不合格</w:t>
      </w:r>
      <w:r w:rsidRPr="00B515F1">
        <w:rPr>
          <w:rFonts w:ascii="宋体" w:hAnsi="宋体" w:hint="eastAsia"/>
          <w:sz w:val="24"/>
        </w:rPr>
        <w:t>”</w:t>
      </w:r>
      <w:r w:rsidRPr="00CB5CB4">
        <w:rPr>
          <w:rFonts w:hint="eastAsia"/>
          <w:sz w:val="24"/>
        </w:rPr>
        <w:t>两</w:t>
      </w:r>
      <w:r w:rsidRPr="00CB5CB4">
        <w:rPr>
          <w:sz w:val="24"/>
        </w:rPr>
        <w:t>个等级</w:t>
      </w:r>
      <w:r w:rsidRPr="00CB5CB4">
        <w:rPr>
          <w:rFonts w:hint="eastAsia"/>
          <w:sz w:val="24"/>
        </w:rPr>
        <w:t>。</w:t>
      </w:r>
    </w:p>
    <w:p w:rsidR="00721D36" w:rsidRPr="00CB5CB4" w:rsidRDefault="00721D36" w:rsidP="00721D36">
      <w:pPr>
        <w:spacing w:beforeLines="50" w:before="156" w:line="360" w:lineRule="auto"/>
        <w:ind w:firstLineChars="200" w:firstLine="480"/>
        <w:rPr>
          <w:sz w:val="24"/>
        </w:rPr>
      </w:pPr>
      <w:r w:rsidRPr="00CB5CB4">
        <w:rPr>
          <w:rFonts w:hint="eastAsia"/>
          <w:sz w:val="24"/>
        </w:rPr>
        <w:t>在公司业绩目标达成的前提下，若激励对象上一年度个人绩效考核结果为</w:t>
      </w:r>
      <w:r w:rsidRPr="00B515F1">
        <w:rPr>
          <w:rFonts w:ascii="宋体" w:hAnsi="宋体" w:hint="eastAsia"/>
          <w:sz w:val="24"/>
        </w:rPr>
        <w:t>“</w:t>
      </w:r>
      <w:r w:rsidRPr="00CB5CB4">
        <w:rPr>
          <w:rFonts w:hint="eastAsia"/>
          <w:sz w:val="24"/>
        </w:rPr>
        <w:t>合格</w:t>
      </w:r>
      <w:r w:rsidRPr="00B515F1">
        <w:rPr>
          <w:rFonts w:ascii="宋体" w:hAnsi="宋体" w:hint="eastAsia"/>
          <w:sz w:val="24"/>
        </w:rPr>
        <w:t>”</w:t>
      </w:r>
      <w:r w:rsidRPr="00CB5CB4">
        <w:rPr>
          <w:rFonts w:hint="eastAsia"/>
          <w:sz w:val="24"/>
        </w:rPr>
        <w:t>，则激励对象对应考核当年计划解除限售</w:t>
      </w:r>
      <w:r w:rsidRPr="00CB5CB4">
        <w:rPr>
          <w:rFonts w:hint="eastAsia"/>
          <w:sz w:val="24"/>
        </w:rPr>
        <w:t>/</w:t>
      </w:r>
      <w:r w:rsidRPr="00CB5CB4">
        <w:rPr>
          <w:rFonts w:hint="eastAsia"/>
          <w:sz w:val="24"/>
        </w:rPr>
        <w:t>归属的第一类</w:t>
      </w:r>
      <w:r w:rsidRPr="00CB5CB4">
        <w:rPr>
          <w:rFonts w:hint="eastAsia"/>
          <w:sz w:val="24"/>
        </w:rPr>
        <w:t>/</w:t>
      </w:r>
      <w:r w:rsidRPr="00CB5CB4">
        <w:rPr>
          <w:rFonts w:hint="eastAsia"/>
          <w:sz w:val="24"/>
        </w:rPr>
        <w:t>第二类限制性股票可全部解除限售</w:t>
      </w:r>
      <w:r w:rsidRPr="00CB5CB4">
        <w:rPr>
          <w:rFonts w:hint="eastAsia"/>
          <w:sz w:val="24"/>
        </w:rPr>
        <w:t>/</w:t>
      </w:r>
      <w:r w:rsidRPr="00CB5CB4">
        <w:rPr>
          <w:rFonts w:hint="eastAsia"/>
          <w:sz w:val="24"/>
        </w:rPr>
        <w:t>归属；若激励对象上一年度个人绩效考核结果为</w:t>
      </w:r>
      <w:r w:rsidRPr="00B515F1">
        <w:rPr>
          <w:rFonts w:ascii="宋体" w:hAnsi="宋体" w:hint="eastAsia"/>
          <w:sz w:val="24"/>
        </w:rPr>
        <w:t>“</w:t>
      </w:r>
      <w:r w:rsidRPr="00CB5CB4">
        <w:rPr>
          <w:rFonts w:hint="eastAsia"/>
          <w:sz w:val="24"/>
        </w:rPr>
        <w:t>不合格</w:t>
      </w:r>
      <w:r w:rsidRPr="00B515F1">
        <w:rPr>
          <w:rFonts w:ascii="宋体" w:hAnsi="宋体" w:hint="eastAsia"/>
          <w:sz w:val="24"/>
        </w:rPr>
        <w:t>”</w:t>
      </w:r>
      <w:r w:rsidRPr="00CB5CB4">
        <w:rPr>
          <w:rFonts w:hint="eastAsia"/>
          <w:sz w:val="24"/>
        </w:rPr>
        <w:t>，则激励对象对应考核当年计划解除限售</w:t>
      </w:r>
      <w:r w:rsidRPr="00CB5CB4">
        <w:rPr>
          <w:rFonts w:hint="eastAsia"/>
          <w:sz w:val="24"/>
        </w:rPr>
        <w:t>/</w:t>
      </w:r>
      <w:r w:rsidRPr="00CB5CB4">
        <w:rPr>
          <w:rFonts w:hint="eastAsia"/>
          <w:sz w:val="24"/>
        </w:rPr>
        <w:t>归属的第一类</w:t>
      </w:r>
      <w:r w:rsidRPr="00CB5CB4">
        <w:rPr>
          <w:rFonts w:hint="eastAsia"/>
          <w:sz w:val="24"/>
        </w:rPr>
        <w:t>/</w:t>
      </w:r>
      <w:r w:rsidRPr="00CB5CB4">
        <w:rPr>
          <w:rFonts w:hint="eastAsia"/>
          <w:sz w:val="24"/>
        </w:rPr>
        <w:t>第二类限制性股票均不得解除限售</w:t>
      </w:r>
      <w:r w:rsidRPr="00CB5CB4">
        <w:rPr>
          <w:rFonts w:hint="eastAsia"/>
          <w:sz w:val="24"/>
        </w:rPr>
        <w:t>/</w:t>
      </w:r>
      <w:r w:rsidRPr="00CB5CB4">
        <w:rPr>
          <w:rFonts w:hint="eastAsia"/>
          <w:sz w:val="24"/>
        </w:rPr>
        <w:t>归属。激励对象考核当年不能解除限售的第一类限制性股票，由公司以授予价格回购注销，激励对象考核当年不能归属的第二类限制性股票，由公司取消归属并作废失效，均不可递延至下一年度</w:t>
      </w:r>
    </w:p>
    <w:p w:rsidR="001B4B15" w:rsidRPr="00CB5CB4" w:rsidRDefault="001B4B15">
      <w:pPr>
        <w:pStyle w:val="a8"/>
        <w:spacing w:beforeLines="50" w:before="156" w:beforeAutospacing="0" w:after="0" w:afterAutospacing="0" w:line="360" w:lineRule="auto"/>
        <w:ind w:firstLineChars="200" w:firstLine="482"/>
        <w:rPr>
          <w:rFonts w:ascii="Times New Roman" w:hAnsi="Times New Roman"/>
          <w:color w:val="000000"/>
          <w:szCs w:val="18"/>
        </w:rPr>
      </w:pPr>
      <w:r w:rsidRPr="00CB5CB4">
        <w:rPr>
          <w:rFonts w:ascii="Times New Roman" w:hAnsi="Times New Roman"/>
          <w:b/>
          <w:bCs/>
          <w:color w:val="000000"/>
          <w:szCs w:val="18"/>
        </w:rPr>
        <w:t>第六条</w:t>
      </w:r>
      <w:r w:rsidRPr="00CB5CB4">
        <w:rPr>
          <w:rFonts w:ascii="Times New Roman" w:hAnsi="Times New Roman"/>
          <w:b/>
          <w:bCs/>
          <w:color w:val="000000"/>
          <w:szCs w:val="18"/>
        </w:rPr>
        <w:t xml:space="preserve"> </w:t>
      </w:r>
      <w:r w:rsidRPr="00CB5CB4">
        <w:rPr>
          <w:rFonts w:ascii="Times New Roman" w:hAnsi="Times New Roman"/>
          <w:b/>
          <w:color w:val="000000"/>
          <w:szCs w:val="18"/>
        </w:rPr>
        <w:t>考核程序</w:t>
      </w:r>
    </w:p>
    <w:p w:rsidR="001B4B15" w:rsidRPr="00CB5CB4" w:rsidRDefault="001B4B15" w:rsidP="003C36E3">
      <w:pPr>
        <w:pStyle w:val="a8"/>
        <w:spacing w:beforeLines="50" w:before="156" w:beforeAutospacing="0" w:after="0" w:afterAutospacing="0" w:line="360" w:lineRule="auto"/>
        <w:ind w:firstLineChars="200" w:firstLine="480"/>
        <w:jc w:val="both"/>
      </w:pPr>
      <w:r w:rsidRPr="00CB5CB4">
        <w:rPr>
          <w:rFonts w:hint="eastAsia"/>
        </w:rPr>
        <w:t>公司</w:t>
      </w:r>
      <w:r w:rsidR="003578DC" w:rsidRPr="000E1E61">
        <w:rPr>
          <w:rFonts w:hint="eastAsia"/>
        </w:rPr>
        <w:t>人力资源</w:t>
      </w:r>
      <w:r w:rsidRPr="000E1E61">
        <w:rPr>
          <w:rFonts w:ascii="Times New Roman" w:hAnsi="Times New Roman" w:hint="eastAsia"/>
          <w:color w:val="000000"/>
          <w:szCs w:val="18"/>
        </w:rPr>
        <w:t>部</w:t>
      </w:r>
      <w:r w:rsidR="00CA629D" w:rsidRPr="000E1E61">
        <w:rPr>
          <w:rFonts w:ascii="Times New Roman" w:hAnsi="Times New Roman" w:hint="eastAsia"/>
          <w:color w:val="000000"/>
          <w:szCs w:val="18"/>
        </w:rPr>
        <w:t>、财务部</w:t>
      </w:r>
      <w:r w:rsidR="00CB5CB4" w:rsidRPr="000E1E61">
        <w:rPr>
          <w:rFonts w:ascii="Times New Roman" w:hAnsi="Times New Roman" w:hint="eastAsia"/>
          <w:color w:val="000000"/>
          <w:szCs w:val="18"/>
        </w:rPr>
        <w:t>、</w:t>
      </w:r>
      <w:r w:rsidR="00CB5CB4" w:rsidRPr="00CB5CB4">
        <w:rPr>
          <w:rFonts w:ascii="Times New Roman" w:hAnsi="Times New Roman" w:hint="eastAsia"/>
          <w:color w:val="000000"/>
          <w:szCs w:val="18"/>
        </w:rPr>
        <w:t>总经办</w:t>
      </w:r>
      <w:r w:rsidRPr="00CB5CB4">
        <w:rPr>
          <w:rFonts w:hint="eastAsia"/>
        </w:rPr>
        <w:t>等相关部门</w:t>
      </w:r>
      <w:r w:rsidRPr="00CB5CB4">
        <w:t>在薪酬委员会的指导下负责具体的考核工作，保存考核结果，并在此基础上形成绩效考核报告上交薪酬委员会，公司董事会负责考核结果的审核。</w:t>
      </w:r>
    </w:p>
    <w:p w:rsidR="001B4B15" w:rsidRPr="00CB5CB4" w:rsidRDefault="001B4B15">
      <w:pPr>
        <w:pStyle w:val="a8"/>
        <w:spacing w:beforeLines="100" w:before="312" w:beforeAutospacing="0" w:after="0" w:afterAutospacing="0" w:line="360" w:lineRule="auto"/>
        <w:ind w:firstLineChars="200" w:firstLine="482"/>
        <w:rPr>
          <w:rFonts w:ascii="Times New Roman" w:hAnsi="Times New Roman"/>
          <w:b/>
          <w:color w:val="000000"/>
          <w:szCs w:val="18"/>
        </w:rPr>
      </w:pPr>
      <w:r w:rsidRPr="00CB5CB4">
        <w:rPr>
          <w:rFonts w:ascii="Times New Roman" w:hAnsi="Times New Roman"/>
          <w:b/>
          <w:bCs/>
          <w:color w:val="000000"/>
          <w:szCs w:val="18"/>
        </w:rPr>
        <w:t>第七条</w:t>
      </w:r>
      <w:r w:rsidRPr="00CB5CB4">
        <w:rPr>
          <w:rFonts w:ascii="Times New Roman" w:hAnsi="Times New Roman"/>
          <w:color w:val="000000"/>
          <w:szCs w:val="18"/>
        </w:rPr>
        <w:t xml:space="preserve"> </w:t>
      </w:r>
      <w:r w:rsidRPr="00CB5CB4">
        <w:rPr>
          <w:rFonts w:ascii="Times New Roman" w:hAnsi="Times New Roman"/>
          <w:b/>
          <w:color w:val="000000"/>
          <w:szCs w:val="18"/>
        </w:rPr>
        <w:t>考核期间与次数</w:t>
      </w:r>
    </w:p>
    <w:p w:rsidR="001B4B15" w:rsidRPr="00CB5CB4" w:rsidRDefault="001B4B15" w:rsidP="003C36E3">
      <w:pPr>
        <w:pStyle w:val="a8"/>
        <w:spacing w:beforeLines="50" w:before="156" w:beforeAutospacing="0" w:after="0" w:afterAutospacing="0" w:line="360" w:lineRule="auto"/>
        <w:ind w:firstLineChars="200" w:firstLine="480"/>
        <w:jc w:val="both"/>
      </w:pPr>
      <w:r w:rsidRPr="00CB5CB4">
        <w:rPr>
          <w:rFonts w:hint="eastAsia"/>
        </w:rPr>
        <w:t>本激励计划的考核年度为</w:t>
      </w:r>
      <w:r w:rsidR="000F6DC5" w:rsidRPr="00CB5CB4">
        <w:rPr>
          <w:rFonts w:ascii="Times New Roman" w:hAnsi="Times New Roman"/>
        </w:rPr>
        <w:t>2023</w:t>
      </w:r>
      <w:r w:rsidRPr="00CB5CB4">
        <w:rPr>
          <w:rFonts w:ascii="Times New Roman" w:hAnsi="Times New Roman"/>
        </w:rPr>
        <w:t>年</w:t>
      </w:r>
      <w:r w:rsidRPr="00CB5CB4">
        <w:rPr>
          <w:rFonts w:ascii="Times New Roman" w:hAnsi="Times New Roman"/>
        </w:rPr>
        <w:t>-202</w:t>
      </w:r>
      <w:r w:rsidR="009D0E25" w:rsidRPr="00CB5CB4">
        <w:rPr>
          <w:rFonts w:ascii="Times New Roman" w:hAnsi="Times New Roman"/>
        </w:rPr>
        <w:t>6</w:t>
      </w:r>
      <w:r w:rsidRPr="00CB5CB4">
        <w:rPr>
          <w:rFonts w:hint="eastAsia"/>
        </w:rPr>
        <w:t>年</w:t>
      </w:r>
      <w:r w:rsidR="009D0E25" w:rsidRPr="00CB5CB4">
        <w:rPr>
          <w:rFonts w:hint="eastAsia"/>
        </w:rPr>
        <w:t>四</w:t>
      </w:r>
      <w:r w:rsidRPr="00CB5CB4">
        <w:rPr>
          <w:rFonts w:hint="eastAsia"/>
        </w:rPr>
        <w:t>个会计年度，公司层面的业绩考核以及个人层面的绩效考核每年考核一次。</w:t>
      </w:r>
    </w:p>
    <w:p w:rsidR="001B4B15" w:rsidRPr="00CB5CB4" w:rsidRDefault="001B4B15">
      <w:pPr>
        <w:pStyle w:val="a8"/>
        <w:spacing w:beforeLines="100" w:before="312" w:beforeAutospacing="0" w:after="0" w:afterAutospacing="0" w:line="360" w:lineRule="auto"/>
        <w:ind w:firstLineChars="200" w:firstLine="482"/>
        <w:rPr>
          <w:rFonts w:ascii="Times New Roman" w:hAnsi="Times New Roman"/>
          <w:b/>
          <w:color w:val="000000"/>
          <w:szCs w:val="18"/>
        </w:rPr>
      </w:pPr>
      <w:r w:rsidRPr="00CB5CB4">
        <w:rPr>
          <w:rFonts w:ascii="Times New Roman" w:hAnsi="Times New Roman"/>
          <w:b/>
          <w:bCs/>
          <w:color w:val="000000"/>
          <w:szCs w:val="18"/>
        </w:rPr>
        <w:t>第八条</w:t>
      </w:r>
      <w:r w:rsidRPr="00CB5CB4">
        <w:rPr>
          <w:rFonts w:ascii="Times New Roman" w:hAnsi="Times New Roman"/>
          <w:color w:val="000000"/>
          <w:szCs w:val="18"/>
        </w:rPr>
        <w:t xml:space="preserve"> </w:t>
      </w:r>
      <w:r w:rsidRPr="00CB5CB4">
        <w:rPr>
          <w:rFonts w:ascii="Times New Roman" w:hAnsi="Times New Roman"/>
          <w:b/>
          <w:color w:val="000000"/>
          <w:szCs w:val="18"/>
        </w:rPr>
        <w:t>考核结果管理</w:t>
      </w:r>
    </w:p>
    <w:p w:rsidR="001B4B15" w:rsidRPr="00CB5CB4" w:rsidRDefault="001B4B15" w:rsidP="003C36E3">
      <w:pPr>
        <w:pStyle w:val="a8"/>
        <w:spacing w:beforeLines="50" w:before="156" w:beforeAutospacing="0" w:after="0" w:afterAutospacing="0" w:line="360" w:lineRule="auto"/>
        <w:ind w:firstLineChars="200" w:firstLine="480"/>
        <w:jc w:val="both"/>
        <w:rPr>
          <w:rFonts w:ascii="Times New Roman" w:hAnsi="Times New Roman"/>
        </w:rPr>
      </w:pPr>
      <w:r w:rsidRPr="00CB5CB4">
        <w:rPr>
          <w:rFonts w:ascii="Times New Roman" w:hAnsi="Times New Roman"/>
        </w:rPr>
        <w:t>（一）考核结果反馈及应用</w:t>
      </w:r>
    </w:p>
    <w:p w:rsidR="001B4B15" w:rsidRPr="00CB5CB4" w:rsidRDefault="001B4B15" w:rsidP="003C36E3">
      <w:pPr>
        <w:pStyle w:val="a8"/>
        <w:spacing w:beforeLines="50" w:before="156" w:beforeAutospacing="0" w:after="0" w:afterAutospacing="0" w:line="360" w:lineRule="auto"/>
        <w:ind w:firstLineChars="200" w:firstLine="480"/>
        <w:jc w:val="both"/>
        <w:rPr>
          <w:rFonts w:ascii="Times New Roman" w:hAnsi="Times New Roman"/>
        </w:rPr>
      </w:pPr>
      <w:r w:rsidRPr="00CB5CB4">
        <w:rPr>
          <w:rFonts w:ascii="Times New Roman" w:hAnsi="Times New Roman"/>
        </w:rPr>
        <w:t>1</w:t>
      </w:r>
      <w:r w:rsidRPr="00CB5CB4">
        <w:rPr>
          <w:rFonts w:ascii="Times New Roman" w:hAnsi="Times New Roman"/>
        </w:rPr>
        <w:t>、被考核对象有权了解自己的考核结果，员工直接主管应在考核工作结束后</w:t>
      </w:r>
      <w:r w:rsidRPr="000E1E61">
        <w:rPr>
          <w:rFonts w:ascii="Times New Roman" w:hAnsi="Times New Roman"/>
        </w:rPr>
        <w:t>5</w:t>
      </w:r>
      <w:r w:rsidRPr="00CB5CB4">
        <w:rPr>
          <w:rFonts w:ascii="Times New Roman" w:hAnsi="Times New Roman"/>
        </w:rPr>
        <w:t>个工作日内将考核结果通知被考核对象。</w:t>
      </w:r>
    </w:p>
    <w:p w:rsidR="001B4B15" w:rsidRPr="00CB5CB4" w:rsidRDefault="001B4B15" w:rsidP="003C36E3">
      <w:pPr>
        <w:pStyle w:val="a8"/>
        <w:spacing w:beforeLines="50" w:before="156" w:beforeAutospacing="0" w:after="0" w:afterAutospacing="0" w:line="360" w:lineRule="auto"/>
        <w:ind w:firstLineChars="200" w:firstLine="480"/>
        <w:jc w:val="both"/>
        <w:rPr>
          <w:rFonts w:ascii="Times New Roman" w:hAnsi="Times New Roman"/>
        </w:rPr>
      </w:pPr>
      <w:r w:rsidRPr="00CB5CB4">
        <w:rPr>
          <w:rFonts w:ascii="Times New Roman" w:hAnsi="Times New Roman"/>
        </w:rPr>
        <w:lastRenderedPageBreak/>
        <w:t>2</w:t>
      </w:r>
      <w:r w:rsidRPr="00CB5CB4">
        <w:rPr>
          <w:rFonts w:ascii="Times New Roman" w:hAnsi="Times New Roman"/>
        </w:rPr>
        <w:t>、如果被考核对象对自己的考核结果有异议，可与人力资源部沟通解决。如无法沟通解决，被考核对象可向薪酬委员会申诉，薪酬委员会需在</w:t>
      </w:r>
      <w:r w:rsidRPr="000E1E61">
        <w:rPr>
          <w:rFonts w:ascii="Times New Roman" w:hAnsi="Times New Roman"/>
        </w:rPr>
        <w:t>10</w:t>
      </w:r>
      <w:r w:rsidRPr="00CB5CB4">
        <w:rPr>
          <w:rFonts w:ascii="Times New Roman" w:hAnsi="Times New Roman"/>
        </w:rPr>
        <w:t>个工作日内进行复核并确定最终考核结果。</w:t>
      </w:r>
    </w:p>
    <w:p w:rsidR="001B4B15" w:rsidRPr="00CB5CB4" w:rsidRDefault="001B4B15" w:rsidP="003C36E3">
      <w:pPr>
        <w:pStyle w:val="a8"/>
        <w:spacing w:beforeLines="50" w:before="156" w:beforeAutospacing="0" w:after="0" w:afterAutospacing="0" w:line="360" w:lineRule="auto"/>
        <w:ind w:firstLineChars="200" w:firstLine="480"/>
        <w:jc w:val="both"/>
        <w:rPr>
          <w:rFonts w:ascii="Times New Roman" w:hAnsi="Times New Roman"/>
        </w:rPr>
      </w:pPr>
      <w:r w:rsidRPr="00CB5CB4">
        <w:rPr>
          <w:rFonts w:ascii="Times New Roman" w:hAnsi="Times New Roman"/>
        </w:rPr>
        <w:t>3</w:t>
      </w:r>
      <w:r w:rsidRPr="00CB5CB4">
        <w:rPr>
          <w:rFonts w:ascii="Times New Roman" w:hAnsi="Times New Roman"/>
        </w:rPr>
        <w:t>、考核结果作为限制性股票</w:t>
      </w:r>
      <w:r w:rsidR="00AA0B4C" w:rsidRPr="00CB5CB4">
        <w:rPr>
          <w:rFonts w:ascii="Times New Roman" w:hAnsi="Times New Roman" w:hint="eastAsia"/>
        </w:rPr>
        <w:t>解除限售</w:t>
      </w:r>
      <w:r w:rsidR="00AA0B4C" w:rsidRPr="00CB5CB4">
        <w:rPr>
          <w:rFonts w:ascii="Times New Roman" w:hAnsi="Times New Roman" w:hint="eastAsia"/>
        </w:rPr>
        <w:t>/</w:t>
      </w:r>
      <w:r w:rsidRPr="00CB5CB4">
        <w:rPr>
          <w:rFonts w:ascii="Times New Roman" w:hAnsi="Times New Roman"/>
        </w:rPr>
        <w:t>归属的依据。</w:t>
      </w:r>
    </w:p>
    <w:p w:rsidR="001B4B15" w:rsidRPr="00CB5CB4" w:rsidRDefault="001B4B15" w:rsidP="003C36E3">
      <w:pPr>
        <w:pStyle w:val="a8"/>
        <w:spacing w:beforeLines="50" w:before="156" w:beforeAutospacing="0" w:after="0" w:afterAutospacing="0" w:line="360" w:lineRule="auto"/>
        <w:ind w:firstLineChars="200" w:firstLine="480"/>
        <w:jc w:val="both"/>
        <w:rPr>
          <w:rFonts w:ascii="Times New Roman" w:hAnsi="Times New Roman"/>
        </w:rPr>
      </w:pPr>
      <w:r w:rsidRPr="00CB5CB4">
        <w:rPr>
          <w:rFonts w:ascii="Times New Roman" w:hAnsi="Times New Roman"/>
        </w:rPr>
        <w:t>（二）考核记录归档</w:t>
      </w:r>
    </w:p>
    <w:p w:rsidR="001B4B15" w:rsidRPr="00CB5CB4" w:rsidRDefault="001B4B15" w:rsidP="003C36E3">
      <w:pPr>
        <w:pStyle w:val="a8"/>
        <w:spacing w:beforeLines="50" w:before="156" w:beforeAutospacing="0" w:after="0" w:afterAutospacing="0" w:line="360" w:lineRule="auto"/>
        <w:ind w:firstLineChars="200" w:firstLine="480"/>
        <w:jc w:val="both"/>
        <w:rPr>
          <w:rFonts w:ascii="Times New Roman" w:hAnsi="Times New Roman"/>
        </w:rPr>
      </w:pPr>
      <w:r w:rsidRPr="00CB5CB4">
        <w:rPr>
          <w:rFonts w:ascii="Times New Roman" w:hAnsi="Times New Roman"/>
        </w:rPr>
        <w:t>1</w:t>
      </w:r>
      <w:r w:rsidRPr="00CB5CB4">
        <w:rPr>
          <w:rFonts w:ascii="Times New Roman" w:hAnsi="Times New Roman"/>
        </w:rPr>
        <w:t>、考核结束后，</w:t>
      </w:r>
      <w:r w:rsidR="00CA629D" w:rsidRPr="000E1E61">
        <w:rPr>
          <w:rFonts w:ascii="Times New Roman" w:hAnsi="Times New Roman"/>
        </w:rPr>
        <w:t>公司</w:t>
      </w:r>
      <w:r w:rsidR="00721D36" w:rsidRPr="000E1E61">
        <w:rPr>
          <w:rFonts w:ascii="Times New Roman" w:hAnsi="Times New Roman" w:hint="eastAsia"/>
        </w:rPr>
        <w:t>人力资源</w:t>
      </w:r>
      <w:r w:rsidR="00CA629D" w:rsidRPr="000E1E61">
        <w:rPr>
          <w:rFonts w:ascii="Times New Roman" w:hAnsi="Times New Roman" w:hint="eastAsia"/>
        </w:rPr>
        <w:t>部</w:t>
      </w:r>
      <w:r w:rsidRPr="00CB5CB4">
        <w:rPr>
          <w:rFonts w:ascii="Times New Roman" w:hAnsi="Times New Roman"/>
        </w:rPr>
        <w:t>应保留绩效考核所有考核记录档案。考核结果作为保密资料归案保存。</w:t>
      </w:r>
    </w:p>
    <w:p w:rsidR="001B4B15" w:rsidRPr="00CB5CB4" w:rsidRDefault="001B4B15" w:rsidP="003C36E3">
      <w:pPr>
        <w:pStyle w:val="a8"/>
        <w:spacing w:beforeLines="50" w:before="156" w:beforeAutospacing="0" w:after="0" w:afterAutospacing="0" w:line="360" w:lineRule="auto"/>
        <w:ind w:firstLineChars="200" w:firstLine="480"/>
        <w:jc w:val="both"/>
        <w:rPr>
          <w:rFonts w:ascii="Times New Roman" w:hAnsi="Times New Roman"/>
        </w:rPr>
      </w:pPr>
      <w:r w:rsidRPr="00CB5CB4">
        <w:rPr>
          <w:rFonts w:ascii="Times New Roman" w:hAnsi="Times New Roman"/>
        </w:rPr>
        <w:t>2</w:t>
      </w:r>
      <w:r w:rsidRPr="00CB5CB4">
        <w:rPr>
          <w:rFonts w:ascii="Times New Roman" w:hAnsi="Times New Roman"/>
        </w:rPr>
        <w:t>、为保证绩效记录的有效性，绩效记录上不允许涂改，若要重新修改或重新记录，须由当事人签字。</w:t>
      </w:r>
    </w:p>
    <w:p w:rsidR="001B4B15" w:rsidRPr="00CB5CB4" w:rsidRDefault="001B4B15" w:rsidP="003C36E3">
      <w:pPr>
        <w:pStyle w:val="a8"/>
        <w:spacing w:beforeLines="50" w:before="156" w:beforeAutospacing="0" w:after="0" w:afterAutospacing="0" w:line="360" w:lineRule="auto"/>
        <w:ind w:firstLineChars="200" w:firstLine="480"/>
        <w:jc w:val="both"/>
        <w:rPr>
          <w:rFonts w:ascii="Times New Roman" w:hAnsi="Times New Roman"/>
        </w:rPr>
      </w:pPr>
      <w:r w:rsidRPr="00CB5CB4">
        <w:rPr>
          <w:rFonts w:ascii="Times New Roman" w:hAnsi="Times New Roman"/>
        </w:rPr>
        <w:t>3</w:t>
      </w:r>
      <w:r w:rsidRPr="00CB5CB4">
        <w:rPr>
          <w:rFonts w:ascii="Times New Roman" w:hAnsi="Times New Roman"/>
        </w:rPr>
        <w:t>、绩效考核记录保存</w:t>
      </w:r>
      <w:r w:rsidRPr="00CB5CB4">
        <w:rPr>
          <w:rFonts w:ascii="Times New Roman" w:hAnsi="Times New Roman"/>
          <w:color w:val="000000"/>
          <w:szCs w:val="18"/>
        </w:rPr>
        <w:t>期</w:t>
      </w:r>
      <w:r w:rsidRPr="000E1E61">
        <w:rPr>
          <w:rFonts w:ascii="Times New Roman" w:hAnsi="Times New Roman"/>
          <w:color w:val="000000"/>
          <w:szCs w:val="18"/>
        </w:rPr>
        <w:t>5</w:t>
      </w:r>
      <w:r w:rsidRPr="00CB5CB4">
        <w:rPr>
          <w:rFonts w:ascii="Times New Roman" w:hAnsi="Times New Roman"/>
        </w:rPr>
        <w:t>年。对于超过保存期限的文件与记录，由薪酬委员会</w:t>
      </w:r>
      <w:r w:rsidR="00AA0B4C" w:rsidRPr="00CB5CB4">
        <w:rPr>
          <w:rFonts w:ascii="Times New Roman" w:hAnsi="Times New Roman" w:hint="eastAsia"/>
        </w:rPr>
        <w:t>统一</w:t>
      </w:r>
      <w:r w:rsidRPr="00CB5CB4">
        <w:rPr>
          <w:rFonts w:ascii="Times New Roman" w:hAnsi="Times New Roman"/>
        </w:rPr>
        <w:t>销毁。</w:t>
      </w:r>
    </w:p>
    <w:p w:rsidR="001B4B15" w:rsidRPr="00CB5CB4" w:rsidRDefault="001B4B15">
      <w:pPr>
        <w:pStyle w:val="a8"/>
        <w:spacing w:beforeLines="100" w:before="312" w:beforeAutospacing="0" w:after="0" w:afterAutospacing="0" w:line="360" w:lineRule="auto"/>
        <w:ind w:firstLineChars="200" w:firstLine="482"/>
        <w:rPr>
          <w:rFonts w:ascii="Times New Roman" w:hAnsi="Times New Roman"/>
          <w:b/>
          <w:color w:val="000000"/>
          <w:szCs w:val="18"/>
        </w:rPr>
      </w:pPr>
      <w:r w:rsidRPr="00CB5CB4">
        <w:rPr>
          <w:rFonts w:ascii="Times New Roman" w:hAnsi="Times New Roman"/>
          <w:b/>
          <w:bCs/>
          <w:color w:val="000000"/>
          <w:szCs w:val="18"/>
        </w:rPr>
        <w:t>第九条</w:t>
      </w:r>
      <w:r w:rsidRPr="00CB5CB4">
        <w:rPr>
          <w:rFonts w:ascii="Times New Roman" w:hAnsi="Times New Roman"/>
          <w:color w:val="000000"/>
          <w:szCs w:val="18"/>
        </w:rPr>
        <w:t xml:space="preserve"> </w:t>
      </w:r>
      <w:r w:rsidRPr="00CB5CB4">
        <w:rPr>
          <w:rFonts w:ascii="Times New Roman" w:hAnsi="Times New Roman"/>
          <w:b/>
          <w:color w:val="000000"/>
          <w:szCs w:val="18"/>
        </w:rPr>
        <w:t>附则</w:t>
      </w:r>
    </w:p>
    <w:p w:rsidR="001B4B15" w:rsidRPr="00CB5CB4" w:rsidRDefault="001B4B15" w:rsidP="003C36E3">
      <w:pPr>
        <w:pStyle w:val="a8"/>
        <w:spacing w:beforeLines="50" w:before="156" w:beforeAutospacing="0" w:after="0" w:afterAutospacing="0" w:line="360" w:lineRule="auto"/>
        <w:ind w:firstLineChars="200" w:firstLine="480"/>
        <w:jc w:val="both"/>
      </w:pPr>
      <w:r w:rsidRPr="00CB5CB4">
        <w:t>（一）本办法由董事会</w:t>
      </w:r>
      <w:r w:rsidR="00AA0B4C" w:rsidRPr="00CB5CB4">
        <w:rPr>
          <w:rFonts w:hint="eastAsia"/>
        </w:rPr>
        <w:t>薪酬委员会</w:t>
      </w:r>
      <w:r w:rsidRPr="00CB5CB4">
        <w:t>负责制订、解释及修订。</w:t>
      </w:r>
    </w:p>
    <w:p w:rsidR="001B4B15" w:rsidRPr="00CB5CB4" w:rsidRDefault="001B4B15" w:rsidP="003C36E3">
      <w:pPr>
        <w:pStyle w:val="a8"/>
        <w:spacing w:beforeLines="50" w:before="156" w:beforeAutospacing="0" w:after="0" w:afterAutospacing="0" w:line="360" w:lineRule="auto"/>
        <w:ind w:firstLineChars="200" w:firstLine="480"/>
        <w:jc w:val="both"/>
      </w:pPr>
      <w:r w:rsidRPr="00CB5CB4">
        <w:t>（二）本办法中的有关条款，如与国家有关法律、行政法规、规范性文件、本激励计划草案相冲突，按照国家有关法律、行政法规、规范性文件、本激励计划草案的规定执行。本办法中未明确规定的，则按照国家有关法律、行政法规、规范性文件</w:t>
      </w:r>
      <w:r w:rsidR="004D538D" w:rsidRPr="00CB5CB4">
        <w:rPr>
          <w:rFonts w:hint="eastAsia"/>
        </w:rPr>
        <w:t>、</w:t>
      </w:r>
      <w:r w:rsidRPr="00CB5CB4">
        <w:t>本激励计划执行。</w:t>
      </w:r>
    </w:p>
    <w:p w:rsidR="001B4B15" w:rsidRPr="00CB5CB4" w:rsidRDefault="001B4B15" w:rsidP="003C36E3">
      <w:pPr>
        <w:pStyle w:val="a8"/>
        <w:spacing w:beforeLines="50" w:before="156" w:beforeAutospacing="0" w:after="0" w:afterAutospacing="0" w:line="360" w:lineRule="auto"/>
        <w:ind w:firstLineChars="200" w:firstLine="480"/>
        <w:jc w:val="both"/>
      </w:pPr>
      <w:r w:rsidRPr="00CB5CB4">
        <w:t>（三）本办法自股东大会审议通过之日并自本激励计划生效后实施。</w:t>
      </w:r>
    </w:p>
    <w:p w:rsidR="001B4B15" w:rsidRPr="00CB5CB4" w:rsidRDefault="001B4B15">
      <w:pPr>
        <w:pStyle w:val="a8"/>
        <w:spacing w:before="0" w:beforeAutospacing="0" w:after="0" w:afterAutospacing="0" w:line="360" w:lineRule="auto"/>
        <w:ind w:right="120" w:firstLineChars="200" w:firstLine="480"/>
        <w:jc w:val="right"/>
        <w:rPr>
          <w:rFonts w:ascii="Times New Roman" w:hAnsi="Times New Roman"/>
          <w:color w:val="000000"/>
          <w:szCs w:val="18"/>
        </w:rPr>
      </w:pPr>
    </w:p>
    <w:p w:rsidR="001B4B15" w:rsidRPr="00CB5CB4" w:rsidRDefault="001B4B15">
      <w:pPr>
        <w:pStyle w:val="a8"/>
        <w:spacing w:before="0" w:beforeAutospacing="0" w:after="0" w:afterAutospacing="0" w:line="360" w:lineRule="auto"/>
        <w:ind w:right="120" w:firstLineChars="200" w:firstLine="480"/>
        <w:jc w:val="right"/>
        <w:rPr>
          <w:rFonts w:ascii="Times New Roman" w:hAnsi="Times New Roman"/>
          <w:color w:val="000000"/>
          <w:szCs w:val="18"/>
        </w:rPr>
      </w:pPr>
    </w:p>
    <w:p w:rsidR="001B4B15" w:rsidRPr="00CB5CB4" w:rsidRDefault="000F6DC5">
      <w:pPr>
        <w:pStyle w:val="a8"/>
        <w:spacing w:before="0" w:beforeAutospacing="0" w:after="0" w:afterAutospacing="0" w:line="360" w:lineRule="auto"/>
        <w:ind w:right="120" w:firstLineChars="200" w:firstLine="480"/>
        <w:jc w:val="right"/>
        <w:rPr>
          <w:rFonts w:ascii="Times New Roman" w:hAnsi="Times New Roman"/>
          <w:color w:val="000000"/>
          <w:szCs w:val="18"/>
        </w:rPr>
      </w:pPr>
      <w:r w:rsidRPr="00CB5CB4">
        <w:rPr>
          <w:rFonts w:ascii="Times New Roman" w:hAnsi="Times New Roman" w:hint="eastAsia"/>
          <w:color w:val="000000"/>
          <w:szCs w:val="18"/>
        </w:rPr>
        <w:t>广东天亿马信息产业股份有限公司</w:t>
      </w:r>
    </w:p>
    <w:p w:rsidR="001B4B15" w:rsidRPr="00CB5CB4" w:rsidRDefault="001B4B15">
      <w:pPr>
        <w:pStyle w:val="a8"/>
        <w:spacing w:before="0" w:beforeAutospacing="0" w:after="0" w:afterAutospacing="0" w:line="360" w:lineRule="auto"/>
        <w:ind w:right="120" w:firstLineChars="200" w:firstLine="480"/>
        <w:jc w:val="right"/>
        <w:rPr>
          <w:rFonts w:ascii="Times New Roman" w:hAnsi="Times New Roman"/>
          <w:color w:val="000000"/>
        </w:rPr>
      </w:pPr>
      <w:r w:rsidRPr="00CB5CB4">
        <w:rPr>
          <w:rFonts w:ascii="Times New Roman" w:hAnsi="Times New Roman"/>
          <w:color w:val="000000"/>
          <w:szCs w:val="18"/>
        </w:rPr>
        <w:t>董事会</w:t>
      </w:r>
    </w:p>
    <w:p w:rsidR="001B4B15" w:rsidRDefault="000F6DC5">
      <w:pPr>
        <w:pStyle w:val="a8"/>
        <w:spacing w:before="0" w:beforeAutospacing="0" w:after="0" w:afterAutospacing="0" w:line="360" w:lineRule="auto"/>
        <w:ind w:right="119"/>
        <w:jc w:val="right"/>
        <w:rPr>
          <w:rFonts w:ascii="Times New Roman" w:hAnsi="Times New Roman"/>
          <w:color w:val="000000"/>
          <w:szCs w:val="18"/>
        </w:rPr>
      </w:pPr>
      <w:r w:rsidRPr="00CB5CB4">
        <w:rPr>
          <w:rFonts w:ascii="Times New Roman" w:hAnsi="Times New Roman" w:hint="eastAsia"/>
          <w:color w:val="000000"/>
          <w:szCs w:val="18"/>
        </w:rPr>
        <w:t>2023</w:t>
      </w:r>
      <w:r w:rsidR="001B4B15" w:rsidRPr="00CB5CB4">
        <w:rPr>
          <w:rFonts w:ascii="Times New Roman" w:hAnsi="Times New Roman"/>
          <w:color w:val="000000"/>
          <w:szCs w:val="18"/>
        </w:rPr>
        <w:t>年</w:t>
      </w:r>
      <w:r w:rsidR="001E70D1" w:rsidRPr="00CB5CB4">
        <w:rPr>
          <w:rFonts w:ascii="Times New Roman" w:hAnsi="Times New Roman"/>
          <w:color w:val="000000"/>
          <w:szCs w:val="18"/>
        </w:rPr>
        <w:t>8</w:t>
      </w:r>
      <w:r w:rsidR="001B4B15" w:rsidRPr="00CB5CB4">
        <w:rPr>
          <w:rFonts w:ascii="Times New Roman" w:hAnsi="Times New Roman"/>
          <w:color w:val="000000"/>
          <w:szCs w:val="18"/>
        </w:rPr>
        <w:t>月</w:t>
      </w:r>
      <w:r w:rsidR="00B515F1">
        <w:rPr>
          <w:rFonts w:ascii="Times New Roman" w:hAnsi="Times New Roman"/>
          <w:color w:val="000000"/>
          <w:szCs w:val="18"/>
        </w:rPr>
        <w:t>19</w:t>
      </w:r>
      <w:r w:rsidR="001B4B15" w:rsidRPr="00CB5CB4">
        <w:rPr>
          <w:rFonts w:ascii="Times New Roman" w:hAnsi="Times New Roman"/>
          <w:color w:val="000000"/>
          <w:szCs w:val="18"/>
        </w:rPr>
        <w:t>日</w:t>
      </w:r>
    </w:p>
    <w:sectPr w:rsidR="001B4B15">
      <w:headerReference w:type="default" r:id="rId7"/>
      <w:footerReference w:type="even" r:id="rId8"/>
      <w:footerReference w:type="default" r:id="rId9"/>
      <w:pgSz w:w="11906" w:h="16838"/>
      <w:pgMar w:top="1418" w:right="1701" w:bottom="113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EB3" w:rsidRDefault="008D0EB3">
      <w:r>
        <w:separator/>
      </w:r>
    </w:p>
  </w:endnote>
  <w:endnote w:type="continuationSeparator" w:id="0">
    <w:p w:rsidR="008D0EB3" w:rsidRDefault="008D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B15" w:rsidRDefault="001B4B15">
    <w:pPr>
      <w:pStyle w:val="a6"/>
      <w:framePr w:wrap="around" w:vAnchor="text" w:hAnchor="margin" w:xAlign="center" w:y="1"/>
      <w:rPr>
        <w:rStyle w:val="ab"/>
      </w:rPr>
    </w:pPr>
    <w:r>
      <w:fldChar w:fldCharType="begin"/>
    </w:r>
    <w:r>
      <w:rPr>
        <w:rStyle w:val="ab"/>
      </w:rPr>
      <w:instrText xml:space="preserve">PAGE  </w:instrText>
    </w:r>
    <w:r>
      <w:fldChar w:fldCharType="end"/>
    </w:r>
  </w:p>
  <w:p w:rsidR="001B4B15" w:rsidRDefault="001B4B1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B15" w:rsidRDefault="001B4B15">
    <w:pPr>
      <w:pStyle w:val="a6"/>
      <w:framePr w:wrap="around" w:vAnchor="text" w:hAnchor="margin" w:xAlign="center" w:y="1"/>
      <w:rPr>
        <w:rStyle w:val="ab"/>
      </w:rPr>
    </w:pPr>
  </w:p>
  <w:p w:rsidR="001B4B15" w:rsidRDefault="001B4B15">
    <w:pPr>
      <w:pStyle w:val="a6"/>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312694">
      <w:rPr>
        <w:noProof/>
        <w:kern w:val="0"/>
        <w:szCs w:val="21"/>
      </w:rPr>
      <w:t>2</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312694">
      <w:rPr>
        <w:noProof/>
        <w:kern w:val="0"/>
        <w:szCs w:val="21"/>
      </w:rPr>
      <w:t>5</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EB3" w:rsidRDefault="008D0EB3">
      <w:r>
        <w:separator/>
      </w:r>
    </w:p>
  </w:footnote>
  <w:footnote w:type="continuationSeparator" w:id="0">
    <w:p w:rsidR="008D0EB3" w:rsidRDefault="008D0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B15" w:rsidRDefault="000F6DC5">
    <w:pPr>
      <w:pStyle w:val="a7"/>
      <w:jc w:val="both"/>
    </w:pPr>
    <w:r>
      <w:rPr>
        <w:rFonts w:hint="eastAsia"/>
      </w:rPr>
      <w:t>广东天亿马信息产业股份有限公司</w:t>
    </w:r>
    <w:r w:rsidR="001B4B15">
      <w:rPr>
        <w:rFonts w:hint="eastAsia"/>
      </w:rPr>
      <w:t xml:space="preserve">          </w:t>
    </w:r>
    <w:r w:rsidR="001B4B15">
      <w:t xml:space="preserve">     </w:t>
    </w:r>
    <w:r w:rsidR="00721D36">
      <w:t xml:space="preserve"> </w:t>
    </w:r>
    <w:r>
      <w:rPr>
        <w:rFonts w:hint="eastAsia"/>
      </w:rPr>
      <w:t>2023</w:t>
    </w:r>
    <w:r w:rsidR="001B4B15">
      <w:rPr>
        <w:rFonts w:hint="eastAsia"/>
      </w:rPr>
      <w:t>年限制性股票激励计划实施考核管理办法</w:t>
    </w:r>
    <w:r w:rsidR="0079799A">
      <w:rPr>
        <w:rFonts w:hint="eastAsia"/>
      </w:rPr>
      <w:t>（修订稿）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F9"/>
    <w:rsid w:val="00000845"/>
    <w:rsid w:val="00003EFB"/>
    <w:rsid w:val="000075C2"/>
    <w:rsid w:val="00012E94"/>
    <w:rsid w:val="000259F4"/>
    <w:rsid w:val="00026245"/>
    <w:rsid w:val="000273ED"/>
    <w:rsid w:val="000320D2"/>
    <w:rsid w:val="00034997"/>
    <w:rsid w:val="000366A7"/>
    <w:rsid w:val="00036D49"/>
    <w:rsid w:val="00040767"/>
    <w:rsid w:val="0004078D"/>
    <w:rsid w:val="00045C27"/>
    <w:rsid w:val="00047E15"/>
    <w:rsid w:val="00050F00"/>
    <w:rsid w:val="00055570"/>
    <w:rsid w:val="00055E36"/>
    <w:rsid w:val="000610B1"/>
    <w:rsid w:val="000700AA"/>
    <w:rsid w:val="00070C71"/>
    <w:rsid w:val="000714DC"/>
    <w:rsid w:val="00073D2A"/>
    <w:rsid w:val="000744D8"/>
    <w:rsid w:val="00074AFB"/>
    <w:rsid w:val="0007659E"/>
    <w:rsid w:val="0008704E"/>
    <w:rsid w:val="00087BA6"/>
    <w:rsid w:val="00092283"/>
    <w:rsid w:val="000A42D6"/>
    <w:rsid w:val="000A5D2D"/>
    <w:rsid w:val="000A7009"/>
    <w:rsid w:val="000B17E0"/>
    <w:rsid w:val="000B78C9"/>
    <w:rsid w:val="000B798B"/>
    <w:rsid w:val="000C0447"/>
    <w:rsid w:val="000C07AF"/>
    <w:rsid w:val="000C198F"/>
    <w:rsid w:val="000C39BF"/>
    <w:rsid w:val="000C3F3D"/>
    <w:rsid w:val="000C585B"/>
    <w:rsid w:val="000D0293"/>
    <w:rsid w:val="000D0FE6"/>
    <w:rsid w:val="000D175B"/>
    <w:rsid w:val="000D4821"/>
    <w:rsid w:val="000D5341"/>
    <w:rsid w:val="000D69AB"/>
    <w:rsid w:val="000D7879"/>
    <w:rsid w:val="000E1073"/>
    <w:rsid w:val="000E1E61"/>
    <w:rsid w:val="000E3C9E"/>
    <w:rsid w:val="000E63D6"/>
    <w:rsid w:val="000E702D"/>
    <w:rsid w:val="000F13F4"/>
    <w:rsid w:val="000F1658"/>
    <w:rsid w:val="000F6DC5"/>
    <w:rsid w:val="0010025F"/>
    <w:rsid w:val="00100702"/>
    <w:rsid w:val="001017A0"/>
    <w:rsid w:val="00101822"/>
    <w:rsid w:val="00103203"/>
    <w:rsid w:val="001041A0"/>
    <w:rsid w:val="001104E6"/>
    <w:rsid w:val="00112D0F"/>
    <w:rsid w:val="00113F67"/>
    <w:rsid w:val="00114A17"/>
    <w:rsid w:val="00117D0E"/>
    <w:rsid w:val="0013038A"/>
    <w:rsid w:val="00130F95"/>
    <w:rsid w:val="00132825"/>
    <w:rsid w:val="0013611A"/>
    <w:rsid w:val="0013782D"/>
    <w:rsid w:val="00140303"/>
    <w:rsid w:val="00141DEE"/>
    <w:rsid w:val="001441D8"/>
    <w:rsid w:val="001450B0"/>
    <w:rsid w:val="001456FD"/>
    <w:rsid w:val="00156D09"/>
    <w:rsid w:val="00157F44"/>
    <w:rsid w:val="001636A7"/>
    <w:rsid w:val="00170EB8"/>
    <w:rsid w:val="00173525"/>
    <w:rsid w:val="00176165"/>
    <w:rsid w:val="001774BC"/>
    <w:rsid w:val="0019172B"/>
    <w:rsid w:val="001955C7"/>
    <w:rsid w:val="001A5B7E"/>
    <w:rsid w:val="001A73E9"/>
    <w:rsid w:val="001B10FF"/>
    <w:rsid w:val="001B2CC9"/>
    <w:rsid w:val="001B4889"/>
    <w:rsid w:val="001B4B15"/>
    <w:rsid w:val="001B76D8"/>
    <w:rsid w:val="001C005A"/>
    <w:rsid w:val="001C1502"/>
    <w:rsid w:val="001C4ADD"/>
    <w:rsid w:val="001C5B31"/>
    <w:rsid w:val="001D6233"/>
    <w:rsid w:val="001D6394"/>
    <w:rsid w:val="001E2FE8"/>
    <w:rsid w:val="001E47F0"/>
    <w:rsid w:val="001E70D1"/>
    <w:rsid w:val="001E731C"/>
    <w:rsid w:val="001F1F07"/>
    <w:rsid w:val="001F36E2"/>
    <w:rsid w:val="001F4C26"/>
    <w:rsid w:val="002018BF"/>
    <w:rsid w:val="00201B6C"/>
    <w:rsid w:val="0020319C"/>
    <w:rsid w:val="0020392B"/>
    <w:rsid w:val="0020598E"/>
    <w:rsid w:val="00207281"/>
    <w:rsid w:val="00210985"/>
    <w:rsid w:val="0021260C"/>
    <w:rsid w:val="002168A0"/>
    <w:rsid w:val="0021766A"/>
    <w:rsid w:val="00221979"/>
    <w:rsid w:val="00227EA0"/>
    <w:rsid w:val="00237A2B"/>
    <w:rsid w:val="002406E9"/>
    <w:rsid w:val="00242513"/>
    <w:rsid w:val="00244588"/>
    <w:rsid w:val="002479DA"/>
    <w:rsid w:val="00251525"/>
    <w:rsid w:val="002516EC"/>
    <w:rsid w:val="00252327"/>
    <w:rsid w:val="00262C4C"/>
    <w:rsid w:val="0026426E"/>
    <w:rsid w:val="002667DE"/>
    <w:rsid w:val="00282515"/>
    <w:rsid w:val="0028349D"/>
    <w:rsid w:val="00283B32"/>
    <w:rsid w:val="0028467F"/>
    <w:rsid w:val="002871D3"/>
    <w:rsid w:val="00293AC0"/>
    <w:rsid w:val="00293CD0"/>
    <w:rsid w:val="002966A7"/>
    <w:rsid w:val="002A04F9"/>
    <w:rsid w:val="002A2F0C"/>
    <w:rsid w:val="002A33C2"/>
    <w:rsid w:val="002A3A48"/>
    <w:rsid w:val="002A4D3C"/>
    <w:rsid w:val="002A4DE0"/>
    <w:rsid w:val="002A53B1"/>
    <w:rsid w:val="002A5AB2"/>
    <w:rsid w:val="002A7746"/>
    <w:rsid w:val="002B2D97"/>
    <w:rsid w:val="002B3519"/>
    <w:rsid w:val="002B5A0A"/>
    <w:rsid w:val="002C247D"/>
    <w:rsid w:val="002C5934"/>
    <w:rsid w:val="002D07FC"/>
    <w:rsid w:val="002D2D79"/>
    <w:rsid w:val="002D465A"/>
    <w:rsid w:val="002D6CC8"/>
    <w:rsid w:val="002E0C58"/>
    <w:rsid w:val="002E15A6"/>
    <w:rsid w:val="002E2D7A"/>
    <w:rsid w:val="002E6D3B"/>
    <w:rsid w:val="002F23CE"/>
    <w:rsid w:val="002F5921"/>
    <w:rsid w:val="00301A32"/>
    <w:rsid w:val="00304B55"/>
    <w:rsid w:val="003054B9"/>
    <w:rsid w:val="0030674D"/>
    <w:rsid w:val="00306C00"/>
    <w:rsid w:val="0030733A"/>
    <w:rsid w:val="003121E4"/>
    <w:rsid w:val="00312694"/>
    <w:rsid w:val="00313702"/>
    <w:rsid w:val="00320093"/>
    <w:rsid w:val="0032238A"/>
    <w:rsid w:val="00324A1C"/>
    <w:rsid w:val="003313FB"/>
    <w:rsid w:val="00334025"/>
    <w:rsid w:val="00336D41"/>
    <w:rsid w:val="00337073"/>
    <w:rsid w:val="0034509E"/>
    <w:rsid w:val="00345F6F"/>
    <w:rsid w:val="00347757"/>
    <w:rsid w:val="00350910"/>
    <w:rsid w:val="003519BD"/>
    <w:rsid w:val="00351DE2"/>
    <w:rsid w:val="00354D34"/>
    <w:rsid w:val="003578DC"/>
    <w:rsid w:val="003605CB"/>
    <w:rsid w:val="0036180E"/>
    <w:rsid w:val="00364C0C"/>
    <w:rsid w:val="00370F9D"/>
    <w:rsid w:val="00372B0B"/>
    <w:rsid w:val="00373183"/>
    <w:rsid w:val="00374909"/>
    <w:rsid w:val="003758C6"/>
    <w:rsid w:val="0038208D"/>
    <w:rsid w:val="003862E0"/>
    <w:rsid w:val="00386AA5"/>
    <w:rsid w:val="00390F30"/>
    <w:rsid w:val="00392422"/>
    <w:rsid w:val="003968B4"/>
    <w:rsid w:val="003A024C"/>
    <w:rsid w:val="003A5DB7"/>
    <w:rsid w:val="003A69C0"/>
    <w:rsid w:val="003A7425"/>
    <w:rsid w:val="003B1BCD"/>
    <w:rsid w:val="003B3D09"/>
    <w:rsid w:val="003C15EB"/>
    <w:rsid w:val="003C217C"/>
    <w:rsid w:val="003C2997"/>
    <w:rsid w:val="003C36E3"/>
    <w:rsid w:val="003C45C4"/>
    <w:rsid w:val="003C4E23"/>
    <w:rsid w:val="003C5AEB"/>
    <w:rsid w:val="003C6306"/>
    <w:rsid w:val="003C78C2"/>
    <w:rsid w:val="003C7904"/>
    <w:rsid w:val="003D03BE"/>
    <w:rsid w:val="003D404A"/>
    <w:rsid w:val="003D5EC4"/>
    <w:rsid w:val="003E10D6"/>
    <w:rsid w:val="003E3B6C"/>
    <w:rsid w:val="003E451E"/>
    <w:rsid w:val="003E651F"/>
    <w:rsid w:val="003F07B4"/>
    <w:rsid w:val="003F2435"/>
    <w:rsid w:val="003F4FE9"/>
    <w:rsid w:val="003F572E"/>
    <w:rsid w:val="00400DEB"/>
    <w:rsid w:val="00404FB5"/>
    <w:rsid w:val="00406558"/>
    <w:rsid w:val="00407DFF"/>
    <w:rsid w:val="00416107"/>
    <w:rsid w:val="0041631D"/>
    <w:rsid w:val="0041644E"/>
    <w:rsid w:val="00416B1B"/>
    <w:rsid w:val="00417ACB"/>
    <w:rsid w:val="00417EBD"/>
    <w:rsid w:val="0042238A"/>
    <w:rsid w:val="00423974"/>
    <w:rsid w:val="004269C0"/>
    <w:rsid w:val="00426ED4"/>
    <w:rsid w:val="00435FC0"/>
    <w:rsid w:val="0043627E"/>
    <w:rsid w:val="004404B7"/>
    <w:rsid w:val="00442C48"/>
    <w:rsid w:val="00445DA0"/>
    <w:rsid w:val="00456162"/>
    <w:rsid w:val="004604EB"/>
    <w:rsid w:val="004711FE"/>
    <w:rsid w:val="004726E1"/>
    <w:rsid w:val="004748B6"/>
    <w:rsid w:val="0047686B"/>
    <w:rsid w:val="00476878"/>
    <w:rsid w:val="0048431C"/>
    <w:rsid w:val="00484871"/>
    <w:rsid w:val="0048518C"/>
    <w:rsid w:val="0049563E"/>
    <w:rsid w:val="0049571F"/>
    <w:rsid w:val="00497BDD"/>
    <w:rsid w:val="004A36E5"/>
    <w:rsid w:val="004A5203"/>
    <w:rsid w:val="004A61C2"/>
    <w:rsid w:val="004A6ACE"/>
    <w:rsid w:val="004B0EF9"/>
    <w:rsid w:val="004B1EC4"/>
    <w:rsid w:val="004B1F84"/>
    <w:rsid w:val="004B44E8"/>
    <w:rsid w:val="004B59F3"/>
    <w:rsid w:val="004C4223"/>
    <w:rsid w:val="004C493E"/>
    <w:rsid w:val="004D1746"/>
    <w:rsid w:val="004D3C23"/>
    <w:rsid w:val="004D475D"/>
    <w:rsid w:val="004D538D"/>
    <w:rsid w:val="004D5A4B"/>
    <w:rsid w:val="004E188D"/>
    <w:rsid w:val="004E36CF"/>
    <w:rsid w:val="004E6E6D"/>
    <w:rsid w:val="004F388D"/>
    <w:rsid w:val="00503F6D"/>
    <w:rsid w:val="00503F7C"/>
    <w:rsid w:val="0050487D"/>
    <w:rsid w:val="00504897"/>
    <w:rsid w:val="0050534E"/>
    <w:rsid w:val="00506803"/>
    <w:rsid w:val="00507E62"/>
    <w:rsid w:val="00511781"/>
    <w:rsid w:val="00511F12"/>
    <w:rsid w:val="005120A4"/>
    <w:rsid w:val="00517F0F"/>
    <w:rsid w:val="005208E7"/>
    <w:rsid w:val="00525A15"/>
    <w:rsid w:val="0052630A"/>
    <w:rsid w:val="005272AF"/>
    <w:rsid w:val="00531198"/>
    <w:rsid w:val="005362DC"/>
    <w:rsid w:val="00540AE1"/>
    <w:rsid w:val="00541E52"/>
    <w:rsid w:val="00547090"/>
    <w:rsid w:val="0055416D"/>
    <w:rsid w:val="005544A8"/>
    <w:rsid w:val="005555EE"/>
    <w:rsid w:val="00556E61"/>
    <w:rsid w:val="00561033"/>
    <w:rsid w:val="005673C0"/>
    <w:rsid w:val="005708E3"/>
    <w:rsid w:val="00573294"/>
    <w:rsid w:val="005743F5"/>
    <w:rsid w:val="00576908"/>
    <w:rsid w:val="00577757"/>
    <w:rsid w:val="00580831"/>
    <w:rsid w:val="00583A97"/>
    <w:rsid w:val="00587E64"/>
    <w:rsid w:val="005905C6"/>
    <w:rsid w:val="00592C5C"/>
    <w:rsid w:val="005955B9"/>
    <w:rsid w:val="005A0B4B"/>
    <w:rsid w:val="005A0DC2"/>
    <w:rsid w:val="005A3420"/>
    <w:rsid w:val="005A3DD1"/>
    <w:rsid w:val="005B4449"/>
    <w:rsid w:val="005B656B"/>
    <w:rsid w:val="005C7EA4"/>
    <w:rsid w:val="005D07B7"/>
    <w:rsid w:val="005D0FE0"/>
    <w:rsid w:val="005E0069"/>
    <w:rsid w:val="005E3063"/>
    <w:rsid w:val="005E57BC"/>
    <w:rsid w:val="005F722F"/>
    <w:rsid w:val="005F7E7D"/>
    <w:rsid w:val="0060326C"/>
    <w:rsid w:val="00603DF1"/>
    <w:rsid w:val="00604011"/>
    <w:rsid w:val="006061C0"/>
    <w:rsid w:val="00606392"/>
    <w:rsid w:val="00606FB7"/>
    <w:rsid w:val="006133D3"/>
    <w:rsid w:val="00620449"/>
    <w:rsid w:val="00622561"/>
    <w:rsid w:val="00622D98"/>
    <w:rsid w:val="00630025"/>
    <w:rsid w:val="00632B69"/>
    <w:rsid w:val="00633D8B"/>
    <w:rsid w:val="00636D70"/>
    <w:rsid w:val="006375FC"/>
    <w:rsid w:val="00644638"/>
    <w:rsid w:val="00650AD0"/>
    <w:rsid w:val="00650E7E"/>
    <w:rsid w:val="006556BE"/>
    <w:rsid w:val="00661A6D"/>
    <w:rsid w:val="00663D32"/>
    <w:rsid w:val="006706FA"/>
    <w:rsid w:val="0067229E"/>
    <w:rsid w:val="00680717"/>
    <w:rsid w:val="00684E40"/>
    <w:rsid w:val="00685089"/>
    <w:rsid w:val="006850C5"/>
    <w:rsid w:val="006871AE"/>
    <w:rsid w:val="00694839"/>
    <w:rsid w:val="00695175"/>
    <w:rsid w:val="006A1769"/>
    <w:rsid w:val="006A51D6"/>
    <w:rsid w:val="006A5308"/>
    <w:rsid w:val="006B4EC8"/>
    <w:rsid w:val="006B7C41"/>
    <w:rsid w:val="006C0230"/>
    <w:rsid w:val="006C2A51"/>
    <w:rsid w:val="006C3811"/>
    <w:rsid w:val="006C3D1A"/>
    <w:rsid w:val="006C466D"/>
    <w:rsid w:val="006C4D18"/>
    <w:rsid w:val="006C6840"/>
    <w:rsid w:val="006D0B0B"/>
    <w:rsid w:val="006D5F53"/>
    <w:rsid w:val="006D6F1C"/>
    <w:rsid w:val="006E1F11"/>
    <w:rsid w:val="006F712D"/>
    <w:rsid w:val="00701877"/>
    <w:rsid w:val="0070429A"/>
    <w:rsid w:val="007051BA"/>
    <w:rsid w:val="007054CC"/>
    <w:rsid w:val="00705C4D"/>
    <w:rsid w:val="007142F0"/>
    <w:rsid w:val="00716169"/>
    <w:rsid w:val="00716289"/>
    <w:rsid w:val="00721D36"/>
    <w:rsid w:val="007235D8"/>
    <w:rsid w:val="00726318"/>
    <w:rsid w:val="00734DC4"/>
    <w:rsid w:val="00735E74"/>
    <w:rsid w:val="00741059"/>
    <w:rsid w:val="00744489"/>
    <w:rsid w:val="00744606"/>
    <w:rsid w:val="00747359"/>
    <w:rsid w:val="00751377"/>
    <w:rsid w:val="007524C4"/>
    <w:rsid w:val="007528A4"/>
    <w:rsid w:val="00752C26"/>
    <w:rsid w:val="00757071"/>
    <w:rsid w:val="00764394"/>
    <w:rsid w:val="00765973"/>
    <w:rsid w:val="00773188"/>
    <w:rsid w:val="0077572A"/>
    <w:rsid w:val="00781569"/>
    <w:rsid w:val="007820C2"/>
    <w:rsid w:val="00784F4E"/>
    <w:rsid w:val="00786A1D"/>
    <w:rsid w:val="007952C9"/>
    <w:rsid w:val="0079799A"/>
    <w:rsid w:val="007A1237"/>
    <w:rsid w:val="007A2E50"/>
    <w:rsid w:val="007A5036"/>
    <w:rsid w:val="007B1B52"/>
    <w:rsid w:val="007B48EE"/>
    <w:rsid w:val="007B4A61"/>
    <w:rsid w:val="007C2615"/>
    <w:rsid w:val="007D033C"/>
    <w:rsid w:val="007D3CF8"/>
    <w:rsid w:val="007D6C10"/>
    <w:rsid w:val="007D7951"/>
    <w:rsid w:val="007D7DE6"/>
    <w:rsid w:val="007E0621"/>
    <w:rsid w:val="007E46C1"/>
    <w:rsid w:val="007E53AB"/>
    <w:rsid w:val="007E6C55"/>
    <w:rsid w:val="007E6DFE"/>
    <w:rsid w:val="007F516A"/>
    <w:rsid w:val="007F556F"/>
    <w:rsid w:val="007F7770"/>
    <w:rsid w:val="00806599"/>
    <w:rsid w:val="00807380"/>
    <w:rsid w:val="008139E3"/>
    <w:rsid w:val="00814C80"/>
    <w:rsid w:val="00815581"/>
    <w:rsid w:val="00816FC6"/>
    <w:rsid w:val="00817351"/>
    <w:rsid w:val="008176F0"/>
    <w:rsid w:val="00822655"/>
    <w:rsid w:val="00830D86"/>
    <w:rsid w:val="0083583C"/>
    <w:rsid w:val="0083772C"/>
    <w:rsid w:val="00842522"/>
    <w:rsid w:val="008430D2"/>
    <w:rsid w:val="00843E0C"/>
    <w:rsid w:val="008465B0"/>
    <w:rsid w:val="008473DF"/>
    <w:rsid w:val="00847C08"/>
    <w:rsid w:val="00847FEF"/>
    <w:rsid w:val="00850ADF"/>
    <w:rsid w:val="00850E17"/>
    <w:rsid w:val="00852311"/>
    <w:rsid w:val="008561B7"/>
    <w:rsid w:val="0085774B"/>
    <w:rsid w:val="00860046"/>
    <w:rsid w:val="008658C8"/>
    <w:rsid w:val="00867217"/>
    <w:rsid w:val="008704B6"/>
    <w:rsid w:val="008707C4"/>
    <w:rsid w:val="00880181"/>
    <w:rsid w:val="00881A06"/>
    <w:rsid w:val="0088461C"/>
    <w:rsid w:val="00885A5F"/>
    <w:rsid w:val="0088796B"/>
    <w:rsid w:val="00895292"/>
    <w:rsid w:val="00896F33"/>
    <w:rsid w:val="00897C6F"/>
    <w:rsid w:val="00897E9B"/>
    <w:rsid w:val="008A1E0C"/>
    <w:rsid w:val="008A6593"/>
    <w:rsid w:val="008B24A3"/>
    <w:rsid w:val="008C4830"/>
    <w:rsid w:val="008C59DD"/>
    <w:rsid w:val="008D0EB3"/>
    <w:rsid w:val="008D1228"/>
    <w:rsid w:val="008D444A"/>
    <w:rsid w:val="008D6ACF"/>
    <w:rsid w:val="008E2A27"/>
    <w:rsid w:val="008E4DA3"/>
    <w:rsid w:val="008F067A"/>
    <w:rsid w:val="008F5014"/>
    <w:rsid w:val="00903C93"/>
    <w:rsid w:val="009053FB"/>
    <w:rsid w:val="00905656"/>
    <w:rsid w:val="00906449"/>
    <w:rsid w:val="00906C49"/>
    <w:rsid w:val="00915AA1"/>
    <w:rsid w:val="00916FB3"/>
    <w:rsid w:val="00922FB3"/>
    <w:rsid w:val="00924B9B"/>
    <w:rsid w:val="009317FA"/>
    <w:rsid w:val="00932379"/>
    <w:rsid w:val="00933D09"/>
    <w:rsid w:val="00935010"/>
    <w:rsid w:val="009438BE"/>
    <w:rsid w:val="009458B6"/>
    <w:rsid w:val="009535D2"/>
    <w:rsid w:val="0095393A"/>
    <w:rsid w:val="00956EF8"/>
    <w:rsid w:val="00960CBD"/>
    <w:rsid w:val="00960F1C"/>
    <w:rsid w:val="00961557"/>
    <w:rsid w:val="00961570"/>
    <w:rsid w:val="00962201"/>
    <w:rsid w:val="00963DB1"/>
    <w:rsid w:val="00967904"/>
    <w:rsid w:val="00973BCF"/>
    <w:rsid w:val="00976692"/>
    <w:rsid w:val="00977025"/>
    <w:rsid w:val="00977ABB"/>
    <w:rsid w:val="00981EF5"/>
    <w:rsid w:val="009822FA"/>
    <w:rsid w:val="009853A3"/>
    <w:rsid w:val="009857E5"/>
    <w:rsid w:val="00990CBF"/>
    <w:rsid w:val="00992329"/>
    <w:rsid w:val="00993C38"/>
    <w:rsid w:val="009962C2"/>
    <w:rsid w:val="0099702A"/>
    <w:rsid w:val="0099705A"/>
    <w:rsid w:val="009A111D"/>
    <w:rsid w:val="009A56E2"/>
    <w:rsid w:val="009A633E"/>
    <w:rsid w:val="009A7211"/>
    <w:rsid w:val="009B238F"/>
    <w:rsid w:val="009B2DC5"/>
    <w:rsid w:val="009B4992"/>
    <w:rsid w:val="009C027E"/>
    <w:rsid w:val="009C462A"/>
    <w:rsid w:val="009C4F6B"/>
    <w:rsid w:val="009C571A"/>
    <w:rsid w:val="009C640B"/>
    <w:rsid w:val="009C6414"/>
    <w:rsid w:val="009C76EC"/>
    <w:rsid w:val="009D0E25"/>
    <w:rsid w:val="009D3075"/>
    <w:rsid w:val="009E0DE0"/>
    <w:rsid w:val="009F258A"/>
    <w:rsid w:val="009F3DAA"/>
    <w:rsid w:val="009F582B"/>
    <w:rsid w:val="009F5A9A"/>
    <w:rsid w:val="009F6970"/>
    <w:rsid w:val="009F6A95"/>
    <w:rsid w:val="009F7DC5"/>
    <w:rsid w:val="00A0169A"/>
    <w:rsid w:val="00A026E2"/>
    <w:rsid w:val="00A0296C"/>
    <w:rsid w:val="00A029BA"/>
    <w:rsid w:val="00A04CB1"/>
    <w:rsid w:val="00A117B0"/>
    <w:rsid w:val="00A12074"/>
    <w:rsid w:val="00A126BB"/>
    <w:rsid w:val="00A15A1C"/>
    <w:rsid w:val="00A22287"/>
    <w:rsid w:val="00A225A4"/>
    <w:rsid w:val="00A22AF8"/>
    <w:rsid w:val="00A27818"/>
    <w:rsid w:val="00A30564"/>
    <w:rsid w:val="00A31977"/>
    <w:rsid w:val="00A33210"/>
    <w:rsid w:val="00A36F8F"/>
    <w:rsid w:val="00A4341E"/>
    <w:rsid w:val="00A469CF"/>
    <w:rsid w:val="00A51B70"/>
    <w:rsid w:val="00A51ECA"/>
    <w:rsid w:val="00A5292D"/>
    <w:rsid w:val="00A54136"/>
    <w:rsid w:val="00A566AB"/>
    <w:rsid w:val="00A651CD"/>
    <w:rsid w:val="00A653C0"/>
    <w:rsid w:val="00A66D1A"/>
    <w:rsid w:val="00A71C5C"/>
    <w:rsid w:val="00A74025"/>
    <w:rsid w:val="00A83F57"/>
    <w:rsid w:val="00A86B18"/>
    <w:rsid w:val="00A87AEF"/>
    <w:rsid w:val="00A93F62"/>
    <w:rsid w:val="00A9537E"/>
    <w:rsid w:val="00A95A8F"/>
    <w:rsid w:val="00AA03C9"/>
    <w:rsid w:val="00AA0B4C"/>
    <w:rsid w:val="00AA22C3"/>
    <w:rsid w:val="00AA26E7"/>
    <w:rsid w:val="00AA6E78"/>
    <w:rsid w:val="00AB1C27"/>
    <w:rsid w:val="00AB3247"/>
    <w:rsid w:val="00AB3692"/>
    <w:rsid w:val="00AB7377"/>
    <w:rsid w:val="00AB75C9"/>
    <w:rsid w:val="00AC2EE1"/>
    <w:rsid w:val="00AC2FF9"/>
    <w:rsid w:val="00AC4B8D"/>
    <w:rsid w:val="00AC6127"/>
    <w:rsid w:val="00AC6466"/>
    <w:rsid w:val="00AC6858"/>
    <w:rsid w:val="00AD05C9"/>
    <w:rsid w:val="00AD0E8F"/>
    <w:rsid w:val="00AD3BF9"/>
    <w:rsid w:val="00AD4AD1"/>
    <w:rsid w:val="00AE08CB"/>
    <w:rsid w:val="00AF04AA"/>
    <w:rsid w:val="00AF4D29"/>
    <w:rsid w:val="00AF6F7E"/>
    <w:rsid w:val="00B02A62"/>
    <w:rsid w:val="00B06D33"/>
    <w:rsid w:val="00B11867"/>
    <w:rsid w:val="00B17C24"/>
    <w:rsid w:val="00B224CC"/>
    <w:rsid w:val="00B2469F"/>
    <w:rsid w:val="00B2536C"/>
    <w:rsid w:val="00B27703"/>
    <w:rsid w:val="00B30212"/>
    <w:rsid w:val="00B32F16"/>
    <w:rsid w:val="00B33B86"/>
    <w:rsid w:val="00B33FB7"/>
    <w:rsid w:val="00B352AF"/>
    <w:rsid w:val="00B3590C"/>
    <w:rsid w:val="00B37CD1"/>
    <w:rsid w:val="00B422F1"/>
    <w:rsid w:val="00B47AF7"/>
    <w:rsid w:val="00B50256"/>
    <w:rsid w:val="00B515F1"/>
    <w:rsid w:val="00B522C9"/>
    <w:rsid w:val="00B52EAD"/>
    <w:rsid w:val="00B56522"/>
    <w:rsid w:val="00B57460"/>
    <w:rsid w:val="00B61DCC"/>
    <w:rsid w:val="00B62058"/>
    <w:rsid w:val="00B64220"/>
    <w:rsid w:val="00B65DF6"/>
    <w:rsid w:val="00B74967"/>
    <w:rsid w:val="00B7572D"/>
    <w:rsid w:val="00B9336B"/>
    <w:rsid w:val="00B93C67"/>
    <w:rsid w:val="00B95B84"/>
    <w:rsid w:val="00B97611"/>
    <w:rsid w:val="00BA049E"/>
    <w:rsid w:val="00BA2ACE"/>
    <w:rsid w:val="00BA39C3"/>
    <w:rsid w:val="00BA6119"/>
    <w:rsid w:val="00BB05B1"/>
    <w:rsid w:val="00BB16BE"/>
    <w:rsid w:val="00BB7AA3"/>
    <w:rsid w:val="00BB7BE4"/>
    <w:rsid w:val="00BC2BFF"/>
    <w:rsid w:val="00BC2D4B"/>
    <w:rsid w:val="00BC4A24"/>
    <w:rsid w:val="00BC510D"/>
    <w:rsid w:val="00BC56E5"/>
    <w:rsid w:val="00BC575A"/>
    <w:rsid w:val="00BC59F5"/>
    <w:rsid w:val="00BC5E09"/>
    <w:rsid w:val="00BC7329"/>
    <w:rsid w:val="00BD0795"/>
    <w:rsid w:val="00BD1468"/>
    <w:rsid w:val="00BD247F"/>
    <w:rsid w:val="00BD33C5"/>
    <w:rsid w:val="00BE1463"/>
    <w:rsid w:val="00BE3997"/>
    <w:rsid w:val="00BE44E8"/>
    <w:rsid w:val="00BE58A4"/>
    <w:rsid w:val="00BF0561"/>
    <w:rsid w:val="00BF0D09"/>
    <w:rsid w:val="00BF608A"/>
    <w:rsid w:val="00C0108A"/>
    <w:rsid w:val="00C02712"/>
    <w:rsid w:val="00C10507"/>
    <w:rsid w:val="00C1301D"/>
    <w:rsid w:val="00C145CD"/>
    <w:rsid w:val="00C152B6"/>
    <w:rsid w:val="00C167A2"/>
    <w:rsid w:val="00C2043B"/>
    <w:rsid w:val="00C21347"/>
    <w:rsid w:val="00C21570"/>
    <w:rsid w:val="00C2188F"/>
    <w:rsid w:val="00C2260B"/>
    <w:rsid w:val="00C36684"/>
    <w:rsid w:val="00C406E5"/>
    <w:rsid w:val="00C406EC"/>
    <w:rsid w:val="00C414F3"/>
    <w:rsid w:val="00C433E7"/>
    <w:rsid w:val="00C45FDD"/>
    <w:rsid w:val="00C46553"/>
    <w:rsid w:val="00C46879"/>
    <w:rsid w:val="00C522DF"/>
    <w:rsid w:val="00C52D96"/>
    <w:rsid w:val="00C53B3A"/>
    <w:rsid w:val="00C565BE"/>
    <w:rsid w:val="00C56B16"/>
    <w:rsid w:val="00C577A7"/>
    <w:rsid w:val="00C654C1"/>
    <w:rsid w:val="00C6617A"/>
    <w:rsid w:val="00C80426"/>
    <w:rsid w:val="00C80493"/>
    <w:rsid w:val="00C817BC"/>
    <w:rsid w:val="00C82B5C"/>
    <w:rsid w:val="00C83961"/>
    <w:rsid w:val="00C858A2"/>
    <w:rsid w:val="00C95D1B"/>
    <w:rsid w:val="00C96ACE"/>
    <w:rsid w:val="00C97ED3"/>
    <w:rsid w:val="00CA0083"/>
    <w:rsid w:val="00CA07FD"/>
    <w:rsid w:val="00CA1161"/>
    <w:rsid w:val="00CA629D"/>
    <w:rsid w:val="00CB2BB2"/>
    <w:rsid w:val="00CB38BD"/>
    <w:rsid w:val="00CB5CB4"/>
    <w:rsid w:val="00CB6113"/>
    <w:rsid w:val="00CC05F8"/>
    <w:rsid w:val="00CC05FC"/>
    <w:rsid w:val="00CC4C84"/>
    <w:rsid w:val="00CC4D6D"/>
    <w:rsid w:val="00CD1B51"/>
    <w:rsid w:val="00CD6900"/>
    <w:rsid w:val="00CE0A5C"/>
    <w:rsid w:val="00CE3C85"/>
    <w:rsid w:val="00CE472C"/>
    <w:rsid w:val="00D018AB"/>
    <w:rsid w:val="00D03D74"/>
    <w:rsid w:val="00D041EC"/>
    <w:rsid w:val="00D06696"/>
    <w:rsid w:val="00D06844"/>
    <w:rsid w:val="00D14649"/>
    <w:rsid w:val="00D20BA4"/>
    <w:rsid w:val="00D26C88"/>
    <w:rsid w:val="00D32C95"/>
    <w:rsid w:val="00D37A78"/>
    <w:rsid w:val="00D401F7"/>
    <w:rsid w:val="00D42D9E"/>
    <w:rsid w:val="00D452FB"/>
    <w:rsid w:val="00D46029"/>
    <w:rsid w:val="00D51A5C"/>
    <w:rsid w:val="00D54256"/>
    <w:rsid w:val="00D56400"/>
    <w:rsid w:val="00D629B2"/>
    <w:rsid w:val="00D660E3"/>
    <w:rsid w:val="00D735A0"/>
    <w:rsid w:val="00D76F8C"/>
    <w:rsid w:val="00D77253"/>
    <w:rsid w:val="00D93617"/>
    <w:rsid w:val="00DA1F1B"/>
    <w:rsid w:val="00DA2071"/>
    <w:rsid w:val="00DA2F99"/>
    <w:rsid w:val="00DA5DFA"/>
    <w:rsid w:val="00DB05E9"/>
    <w:rsid w:val="00DB41A4"/>
    <w:rsid w:val="00DB46A9"/>
    <w:rsid w:val="00DB5151"/>
    <w:rsid w:val="00DB5FDB"/>
    <w:rsid w:val="00DB6255"/>
    <w:rsid w:val="00DC38E0"/>
    <w:rsid w:val="00DC7BA9"/>
    <w:rsid w:val="00DD2A67"/>
    <w:rsid w:val="00DD7A47"/>
    <w:rsid w:val="00DE068B"/>
    <w:rsid w:val="00DE21D1"/>
    <w:rsid w:val="00DE29C9"/>
    <w:rsid w:val="00DE3C99"/>
    <w:rsid w:val="00DE3CA5"/>
    <w:rsid w:val="00DE544F"/>
    <w:rsid w:val="00DF13EC"/>
    <w:rsid w:val="00DF20E1"/>
    <w:rsid w:val="00DF4C37"/>
    <w:rsid w:val="00E00FA2"/>
    <w:rsid w:val="00E077DB"/>
    <w:rsid w:val="00E116AA"/>
    <w:rsid w:val="00E11BA2"/>
    <w:rsid w:val="00E12528"/>
    <w:rsid w:val="00E13388"/>
    <w:rsid w:val="00E1353A"/>
    <w:rsid w:val="00E26E14"/>
    <w:rsid w:val="00E27916"/>
    <w:rsid w:val="00E36EDF"/>
    <w:rsid w:val="00E4102B"/>
    <w:rsid w:val="00E41A14"/>
    <w:rsid w:val="00E45861"/>
    <w:rsid w:val="00E468E6"/>
    <w:rsid w:val="00E47CFE"/>
    <w:rsid w:val="00E50AE0"/>
    <w:rsid w:val="00E5252D"/>
    <w:rsid w:val="00E66C85"/>
    <w:rsid w:val="00E710CA"/>
    <w:rsid w:val="00E84BAD"/>
    <w:rsid w:val="00E84C1D"/>
    <w:rsid w:val="00E9232C"/>
    <w:rsid w:val="00E92C8C"/>
    <w:rsid w:val="00E97E14"/>
    <w:rsid w:val="00EA5062"/>
    <w:rsid w:val="00EA7DF5"/>
    <w:rsid w:val="00EC4422"/>
    <w:rsid w:val="00EC4A8E"/>
    <w:rsid w:val="00EC5397"/>
    <w:rsid w:val="00EC6D89"/>
    <w:rsid w:val="00ED0DE1"/>
    <w:rsid w:val="00ED1BD9"/>
    <w:rsid w:val="00ED24EE"/>
    <w:rsid w:val="00EE0416"/>
    <w:rsid w:val="00EE2A76"/>
    <w:rsid w:val="00EF00D5"/>
    <w:rsid w:val="00EF0DA8"/>
    <w:rsid w:val="00EF1B0D"/>
    <w:rsid w:val="00EF52A2"/>
    <w:rsid w:val="00EF7C9C"/>
    <w:rsid w:val="00F00926"/>
    <w:rsid w:val="00F01258"/>
    <w:rsid w:val="00F02680"/>
    <w:rsid w:val="00F0313A"/>
    <w:rsid w:val="00F20284"/>
    <w:rsid w:val="00F24C20"/>
    <w:rsid w:val="00F274C7"/>
    <w:rsid w:val="00F32B62"/>
    <w:rsid w:val="00F3402C"/>
    <w:rsid w:val="00F342AF"/>
    <w:rsid w:val="00F34CB1"/>
    <w:rsid w:val="00F45436"/>
    <w:rsid w:val="00F47A57"/>
    <w:rsid w:val="00F52AD1"/>
    <w:rsid w:val="00F62F49"/>
    <w:rsid w:val="00F64750"/>
    <w:rsid w:val="00F65813"/>
    <w:rsid w:val="00F6598A"/>
    <w:rsid w:val="00F66B01"/>
    <w:rsid w:val="00F70FFA"/>
    <w:rsid w:val="00F719F8"/>
    <w:rsid w:val="00F808BF"/>
    <w:rsid w:val="00F83F8F"/>
    <w:rsid w:val="00F8560F"/>
    <w:rsid w:val="00F8678D"/>
    <w:rsid w:val="00F87F51"/>
    <w:rsid w:val="00F96EB6"/>
    <w:rsid w:val="00F97F6F"/>
    <w:rsid w:val="00FA2382"/>
    <w:rsid w:val="00FA249E"/>
    <w:rsid w:val="00FA5497"/>
    <w:rsid w:val="00FB56C3"/>
    <w:rsid w:val="00FC0101"/>
    <w:rsid w:val="00FC0A93"/>
    <w:rsid w:val="00FC243A"/>
    <w:rsid w:val="00FC52BB"/>
    <w:rsid w:val="00FC53D5"/>
    <w:rsid w:val="00FD3F45"/>
    <w:rsid w:val="00FD5F25"/>
    <w:rsid w:val="00FE49AF"/>
    <w:rsid w:val="00FE5D9A"/>
    <w:rsid w:val="00FE6453"/>
    <w:rsid w:val="00FE78AD"/>
    <w:rsid w:val="00FF097C"/>
    <w:rsid w:val="00FF3B3A"/>
    <w:rsid w:val="00FF575F"/>
    <w:rsid w:val="0AA639D5"/>
    <w:rsid w:val="0DA846E1"/>
    <w:rsid w:val="1AC52DC6"/>
    <w:rsid w:val="1D264EF2"/>
    <w:rsid w:val="301A0E79"/>
    <w:rsid w:val="33A63734"/>
    <w:rsid w:val="36A31214"/>
    <w:rsid w:val="66B41F63"/>
    <w:rsid w:val="6A6023E8"/>
    <w:rsid w:val="6D95090B"/>
    <w:rsid w:val="702B3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3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pPr>
      <w:jc w:val="left"/>
    </w:pPr>
  </w:style>
  <w:style w:type="character" w:customStyle="1" w:styleId="Char">
    <w:name w:val="批注文字 Char"/>
    <w:link w:val="a3"/>
    <w:uiPriority w:val="99"/>
    <w:rPr>
      <w:kern w:val="2"/>
      <w:sz w:val="21"/>
      <w:szCs w:val="24"/>
    </w:rPr>
  </w:style>
  <w:style w:type="paragraph" w:styleId="a4">
    <w:name w:val="Date"/>
    <w:basedOn w:val="a"/>
    <w:next w:val="a"/>
    <w:pPr>
      <w:ind w:leftChars="2500" w:left="100"/>
    </w:pPr>
  </w:style>
  <w:style w:type="paragraph" w:styleId="a5">
    <w:name w:val="Balloon Text"/>
    <w:basedOn w:val="a"/>
    <w:semiHidden/>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pPr>
      <w:widowControl/>
      <w:spacing w:before="100" w:beforeAutospacing="1" w:after="100" w:afterAutospacing="1"/>
      <w:jc w:val="left"/>
    </w:pPr>
    <w:rPr>
      <w:rFonts w:ascii="宋体" w:hAnsi="宋体"/>
      <w:kern w:val="0"/>
      <w:sz w:val="24"/>
    </w:rPr>
  </w:style>
  <w:style w:type="paragraph" w:styleId="a9">
    <w:name w:val="annotation subject"/>
    <w:basedOn w:val="a3"/>
    <w:next w:val="a3"/>
    <w:link w:val="Char0"/>
    <w:rPr>
      <w:b/>
      <w:bCs/>
    </w:rPr>
  </w:style>
  <w:style w:type="character" w:customStyle="1" w:styleId="Char0">
    <w:name w:val="批注主题 Char"/>
    <w:link w:val="a9"/>
    <w:rPr>
      <w:b/>
      <w:bCs/>
      <w:kern w:val="2"/>
      <w:sz w:val="21"/>
      <w:szCs w:val="24"/>
    </w:rPr>
  </w:style>
  <w:style w:type="table" w:styleId="aa">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style>
  <w:style w:type="character" w:styleId="ac">
    <w:name w:val="annotation reference"/>
    <w:uiPriority w:val="99"/>
    <w:rPr>
      <w:sz w:val="21"/>
      <w:szCs w:val="21"/>
    </w:rPr>
  </w:style>
  <w:style w:type="character" w:customStyle="1" w:styleId="Char1">
    <w:name w:val="批注文字 Char1"/>
    <w:uiPriority w:val="99"/>
    <w:locked/>
    <w:rPr>
      <w:rFonts w:ascii="Times New Roman" w:hAnsi="Times New Roman"/>
      <w:kern w:val="2"/>
      <w:sz w:val="18"/>
      <w:szCs w:val="18"/>
    </w:rPr>
  </w:style>
  <w:style w:type="paragraph" w:customStyle="1" w:styleId="text1">
    <w:name w:val="text1"/>
    <w:basedOn w:val="a"/>
    <w:pPr>
      <w:widowControl/>
      <w:spacing w:before="100" w:beforeAutospacing="1" w:after="100" w:afterAutospacing="1"/>
      <w:jc w:val="left"/>
    </w:pPr>
    <w:rPr>
      <w:b/>
      <w:bCs/>
      <w:color w:val="1D2585"/>
      <w:kern w:val="0"/>
      <w:sz w:val="22"/>
      <w:szCs w:val="22"/>
    </w:rPr>
  </w:style>
  <w:style w:type="paragraph" w:customStyle="1" w:styleId="text">
    <w:name w:val="text"/>
    <w:basedOn w:val="a"/>
    <w:pPr>
      <w:widowControl/>
      <w:spacing w:before="100" w:beforeAutospacing="1" w:after="100" w:afterAutospacing="1"/>
      <w:jc w:val="left"/>
    </w:pPr>
    <w:rPr>
      <w:color w:val="000000"/>
      <w:kern w:val="0"/>
      <w:sz w:val="18"/>
      <w:szCs w:val="18"/>
    </w:rPr>
  </w:style>
  <w:style w:type="table" w:customStyle="1" w:styleId="2">
    <w:name w:val="网格型2"/>
    <w:basedOn w:val="a1"/>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uiPriority w:val="59"/>
    <w:rPr>
      <w:rFonts w:ascii="Calibri" w:hAnsi="Calibr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uiPriority w:val="59"/>
    <w:rPr>
      <w:rFonts w:ascii="Calibri" w:hAnsi="Calibr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basedOn w:val="a1"/>
    <w:uiPriority w:val="3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批注文字 字符"/>
    <w:uiPriority w:val="99"/>
    <w:qFormat/>
    <w:locked/>
    <w:rPr>
      <w:rFonts w:ascii="Times New Roman" w:eastAsia="宋体" w:hAnsi="Times New Roman" w:cs="Times New Roman"/>
      <w:sz w:val="18"/>
      <w:szCs w:val="18"/>
    </w:rPr>
  </w:style>
  <w:style w:type="paragraph" w:styleId="ae">
    <w:name w:val="Revision"/>
    <w:uiPriority w:val="99"/>
    <w:unhideWhenUse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3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pPr>
      <w:jc w:val="left"/>
    </w:pPr>
  </w:style>
  <w:style w:type="character" w:customStyle="1" w:styleId="Char">
    <w:name w:val="批注文字 Char"/>
    <w:link w:val="a3"/>
    <w:uiPriority w:val="99"/>
    <w:rPr>
      <w:kern w:val="2"/>
      <w:sz w:val="21"/>
      <w:szCs w:val="24"/>
    </w:rPr>
  </w:style>
  <w:style w:type="paragraph" w:styleId="a4">
    <w:name w:val="Date"/>
    <w:basedOn w:val="a"/>
    <w:next w:val="a"/>
    <w:pPr>
      <w:ind w:leftChars="2500" w:left="100"/>
    </w:pPr>
  </w:style>
  <w:style w:type="paragraph" w:styleId="a5">
    <w:name w:val="Balloon Text"/>
    <w:basedOn w:val="a"/>
    <w:semiHidden/>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pPr>
      <w:widowControl/>
      <w:spacing w:before="100" w:beforeAutospacing="1" w:after="100" w:afterAutospacing="1"/>
      <w:jc w:val="left"/>
    </w:pPr>
    <w:rPr>
      <w:rFonts w:ascii="宋体" w:hAnsi="宋体"/>
      <w:kern w:val="0"/>
      <w:sz w:val="24"/>
    </w:rPr>
  </w:style>
  <w:style w:type="paragraph" w:styleId="a9">
    <w:name w:val="annotation subject"/>
    <w:basedOn w:val="a3"/>
    <w:next w:val="a3"/>
    <w:link w:val="Char0"/>
    <w:rPr>
      <w:b/>
      <w:bCs/>
    </w:rPr>
  </w:style>
  <w:style w:type="character" w:customStyle="1" w:styleId="Char0">
    <w:name w:val="批注主题 Char"/>
    <w:link w:val="a9"/>
    <w:rPr>
      <w:b/>
      <w:bCs/>
      <w:kern w:val="2"/>
      <w:sz w:val="21"/>
      <w:szCs w:val="24"/>
    </w:rPr>
  </w:style>
  <w:style w:type="table" w:styleId="aa">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style>
  <w:style w:type="character" w:styleId="ac">
    <w:name w:val="annotation reference"/>
    <w:uiPriority w:val="99"/>
    <w:rPr>
      <w:sz w:val="21"/>
      <w:szCs w:val="21"/>
    </w:rPr>
  </w:style>
  <w:style w:type="character" w:customStyle="1" w:styleId="Char1">
    <w:name w:val="批注文字 Char1"/>
    <w:uiPriority w:val="99"/>
    <w:locked/>
    <w:rPr>
      <w:rFonts w:ascii="Times New Roman" w:hAnsi="Times New Roman"/>
      <w:kern w:val="2"/>
      <w:sz w:val="18"/>
      <w:szCs w:val="18"/>
    </w:rPr>
  </w:style>
  <w:style w:type="paragraph" w:customStyle="1" w:styleId="text1">
    <w:name w:val="text1"/>
    <w:basedOn w:val="a"/>
    <w:pPr>
      <w:widowControl/>
      <w:spacing w:before="100" w:beforeAutospacing="1" w:after="100" w:afterAutospacing="1"/>
      <w:jc w:val="left"/>
    </w:pPr>
    <w:rPr>
      <w:b/>
      <w:bCs/>
      <w:color w:val="1D2585"/>
      <w:kern w:val="0"/>
      <w:sz w:val="22"/>
      <w:szCs w:val="22"/>
    </w:rPr>
  </w:style>
  <w:style w:type="paragraph" w:customStyle="1" w:styleId="text">
    <w:name w:val="text"/>
    <w:basedOn w:val="a"/>
    <w:pPr>
      <w:widowControl/>
      <w:spacing w:before="100" w:beforeAutospacing="1" w:after="100" w:afterAutospacing="1"/>
      <w:jc w:val="left"/>
    </w:pPr>
    <w:rPr>
      <w:color w:val="000000"/>
      <w:kern w:val="0"/>
      <w:sz w:val="18"/>
      <w:szCs w:val="18"/>
    </w:rPr>
  </w:style>
  <w:style w:type="table" w:customStyle="1" w:styleId="2">
    <w:name w:val="网格型2"/>
    <w:basedOn w:val="a1"/>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uiPriority w:val="59"/>
    <w:rPr>
      <w:rFonts w:ascii="Calibri" w:hAnsi="Calibr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uiPriority w:val="59"/>
    <w:rPr>
      <w:rFonts w:ascii="Calibri" w:hAnsi="Calibr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basedOn w:val="a1"/>
    <w:uiPriority w:val="3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批注文字 字符"/>
    <w:uiPriority w:val="99"/>
    <w:qFormat/>
    <w:locked/>
    <w:rPr>
      <w:rFonts w:ascii="Times New Roman" w:eastAsia="宋体" w:hAnsi="Times New Roman" w:cs="Times New Roman"/>
      <w:sz w:val="18"/>
      <w:szCs w:val="18"/>
    </w:rPr>
  </w:style>
  <w:style w:type="paragraph" w:styleId="ae">
    <w:name w:val="Revision"/>
    <w:uiPriority w:val="99"/>
    <w:unhideWhenUs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555</Words>
  <Characters>3169</Characters>
  <Application>Microsoft Office Word</Application>
  <DocSecurity>0</DocSecurity>
  <Lines>26</Lines>
  <Paragraphs>7</Paragraphs>
  <ScaleCrop>false</ScaleCrop>
  <Company>Microsoft</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老板</dc:title>
  <dc:creator>in</dc:creator>
  <cp:lastModifiedBy>hsq</cp:lastModifiedBy>
  <cp:revision>1</cp:revision>
  <cp:lastPrinted>2016-08-29T05:46:00Z</cp:lastPrinted>
  <dcterms:created xsi:type="dcterms:W3CDTF">2023-08-18T04:56:00Z</dcterms:created>
  <dcterms:modified xsi:type="dcterms:W3CDTF">2023-08-18T04:59:00Z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7CDFF74C37334776B866D6C31E7B5888</vt:lpwstr>
  </property>
</Properties>
</file>