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w:t>
      </w:r>
      <w:r w:rsidR="002E0048">
        <w:rPr>
          <w:rFonts w:eastAsia="仿宋" w:hint="eastAsia"/>
          <w:color w:val="000000"/>
          <w:sz w:val="28"/>
        </w:rPr>
        <w:t>104</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3D4E6E">
      <w:pPr>
        <w:spacing w:afterLines="100" w:after="312" w:line="360" w:lineRule="auto"/>
        <w:jc w:val="center"/>
        <w:rPr>
          <w:rFonts w:eastAsia="黑体"/>
          <w:sz w:val="36"/>
          <w:szCs w:val="36"/>
        </w:rPr>
      </w:pPr>
      <w:r>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BC28DD" w:rsidRDefault="00BC28DD">
      <w:pPr>
        <w:spacing w:line="360" w:lineRule="auto"/>
        <w:ind w:firstLineChars="200" w:firstLine="560"/>
        <w:rPr>
          <w:rFonts w:eastAsia="仿宋" w:hint="eastAsia"/>
          <w:sz w:val="28"/>
          <w:szCs w:val="28"/>
        </w:rPr>
      </w:pPr>
    </w:p>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w:t>
      </w:r>
      <w:bookmarkStart w:id="0" w:name="_GoBack"/>
      <w:bookmarkEnd w:id="0"/>
      <w:r>
        <w:rPr>
          <w:rFonts w:eastAsia="仿宋"/>
          <w:sz w:val="28"/>
          <w:szCs w:val="28"/>
        </w:rPr>
        <w:t>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p>
    <w:p w:rsidR="00C37BB8" w:rsidRDefault="003D4E6E">
      <w:pPr>
        <w:spacing w:line="360" w:lineRule="auto"/>
        <w:ind w:firstLineChars="200" w:firstLine="560"/>
        <w:rPr>
          <w:rFonts w:eastAsia="仿宋"/>
          <w:sz w:val="28"/>
        </w:rPr>
      </w:pPr>
      <w:r>
        <w:rPr>
          <w:rFonts w:eastAsia="仿宋"/>
          <w:sz w:val="28"/>
        </w:rPr>
        <w:t>近日，公司购买了符合规定的现金管理产品，具体情况如下：</w:t>
      </w:r>
    </w:p>
    <w:p w:rsidR="00C37BB8" w:rsidRDefault="002E0048">
      <w:pPr>
        <w:outlineLvl w:val="0"/>
        <w:rPr>
          <w:rFonts w:eastAsia="仿宋"/>
          <w:b/>
          <w:sz w:val="28"/>
        </w:rPr>
      </w:pPr>
      <w:r>
        <w:rPr>
          <w:rFonts w:eastAsia="仿宋" w:hint="eastAsia"/>
          <w:b/>
          <w:caps/>
          <w:sz w:val="28"/>
        </w:rPr>
        <w:lastRenderedPageBreak/>
        <w:t>一</w:t>
      </w:r>
      <w:r w:rsidR="003D4E6E">
        <w:rPr>
          <w:rFonts w:eastAsia="仿宋"/>
          <w:b/>
          <w:sz w:val="28"/>
        </w:rPr>
        <w:t>、本次部分闲置募集资金（含超募资金）进行现金管理的实施情况</w:t>
      </w:r>
    </w:p>
    <w:tbl>
      <w:tblPr>
        <w:tblStyle w:val="a6"/>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C37BB8">
        <w:trPr>
          <w:trHeight w:val="275"/>
        </w:trPr>
        <w:tc>
          <w:tcPr>
            <w:tcW w:w="426" w:type="dxa"/>
            <w:noWrap/>
            <w:vAlign w:val="center"/>
          </w:tcPr>
          <w:p w:rsidR="00C37BB8" w:rsidRDefault="003D4E6E">
            <w:pPr>
              <w:jc w:val="center"/>
              <w:rPr>
                <w:rFonts w:eastAsia="仿宋"/>
                <w:sz w:val="20"/>
              </w:rPr>
            </w:pPr>
            <w:r>
              <w:rPr>
                <w:rFonts w:eastAsia="仿宋"/>
                <w:sz w:val="20"/>
              </w:rPr>
              <w:t>序号</w:t>
            </w:r>
          </w:p>
        </w:tc>
        <w:tc>
          <w:tcPr>
            <w:tcW w:w="709" w:type="dxa"/>
            <w:noWrap/>
            <w:vAlign w:val="center"/>
          </w:tcPr>
          <w:p w:rsidR="00C37BB8" w:rsidRDefault="003D4E6E">
            <w:pPr>
              <w:jc w:val="center"/>
              <w:rPr>
                <w:rFonts w:eastAsia="仿宋"/>
                <w:sz w:val="20"/>
              </w:rPr>
            </w:pPr>
            <w:r>
              <w:rPr>
                <w:rFonts w:eastAsia="仿宋"/>
                <w:sz w:val="20"/>
              </w:rPr>
              <w:t>购买主体</w:t>
            </w:r>
          </w:p>
        </w:tc>
        <w:tc>
          <w:tcPr>
            <w:tcW w:w="1843" w:type="dxa"/>
            <w:noWrap/>
            <w:vAlign w:val="center"/>
          </w:tcPr>
          <w:p w:rsidR="00C37BB8" w:rsidRDefault="003D4E6E">
            <w:pPr>
              <w:jc w:val="center"/>
              <w:rPr>
                <w:rFonts w:eastAsia="仿宋"/>
                <w:sz w:val="20"/>
              </w:rPr>
            </w:pPr>
            <w:r>
              <w:rPr>
                <w:rFonts w:eastAsia="仿宋"/>
                <w:sz w:val="20"/>
              </w:rPr>
              <w:t>受托方</w:t>
            </w:r>
          </w:p>
        </w:tc>
        <w:tc>
          <w:tcPr>
            <w:tcW w:w="850" w:type="dxa"/>
            <w:noWrap/>
            <w:vAlign w:val="center"/>
          </w:tcPr>
          <w:p w:rsidR="00C37BB8" w:rsidRDefault="003D4E6E">
            <w:pPr>
              <w:ind w:leftChars="-50" w:left="-105" w:rightChars="-50" w:right="-105"/>
              <w:jc w:val="center"/>
              <w:rPr>
                <w:rFonts w:eastAsia="仿宋"/>
                <w:sz w:val="20"/>
              </w:rPr>
            </w:pPr>
            <w:r>
              <w:rPr>
                <w:rFonts w:eastAsia="仿宋"/>
                <w:sz w:val="20"/>
              </w:rPr>
              <w:t>产品类型</w:t>
            </w:r>
          </w:p>
        </w:tc>
        <w:tc>
          <w:tcPr>
            <w:tcW w:w="1985" w:type="dxa"/>
            <w:vAlign w:val="center"/>
          </w:tcPr>
          <w:p w:rsidR="00C37BB8" w:rsidRDefault="003D4E6E">
            <w:pPr>
              <w:jc w:val="center"/>
              <w:rPr>
                <w:rFonts w:eastAsia="仿宋"/>
                <w:sz w:val="20"/>
              </w:rPr>
            </w:pPr>
            <w:r>
              <w:rPr>
                <w:rFonts w:eastAsia="仿宋"/>
                <w:sz w:val="20"/>
              </w:rPr>
              <w:t>产品名称</w:t>
            </w:r>
          </w:p>
        </w:tc>
        <w:tc>
          <w:tcPr>
            <w:tcW w:w="1276" w:type="dxa"/>
            <w:noWrap/>
            <w:vAlign w:val="center"/>
          </w:tcPr>
          <w:p w:rsidR="00C37BB8" w:rsidRDefault="003D4E6E">
            <w:pPr>
              <w:jc w:val="center"/>
              <w:rPr>
                <w:rFonts w:eastAsia="仿宋"/>
                <w:sz w:val="20"/>
              </w:rPr>
            </w:pPr>
            <w:r>
              <w:rPr>
                <w:rFonts w:eastAsia="仿宋"/>
                <w:sz w:val="20"/>
              </w:rPr>
              <w:t>购买金额（万元）</w:t>
            </w:r>
          </w:p>
        </w:tc>
        <w:tc>
          <w:tcPr>
            <w:tcW w:w="1134" w:type="dxa"/>
            <w:noWrap/>
            <w:vAlign w:val="center"/>
          </w:tcPr>
          <w:p w:rsidR="00C37BB8" w:rsidRDefault="003D4E6E">
            <w:pPr>
              <w:jc w:val="center"/>
              <w:rPr>
                <w:rFonts w:eastAsia="仿宋"/>
                <w:sz w:val="20"/>
              </w:rPr>
            </w:pPr>
            <w:r>
              <w:rPr>
                <w:rFonts w:eastAsia="仿宋"/>
                <w:sz w:val="20"/>
              </w:rPr>
              <w:t>起始日期</w:t>
            </w:r>
          </w:p>
        </w:tc>
        <w:tc>
          <w:tcPr>
            <w:tcW w:w="1134" w:type="dxa"/>
            <w:noWrap/>
            <w:vAlign w:val="center"/>
          </w:tcPr>
          <w:p w:rsidR="00C37BB8" w:rsidRDefault="003D4E6E">
            <w:pPr>
              <w:jc w:val="center"/>
              <w:rPr>
                <w:rFonts w:eastAsia="仿宋"/>
                <w:sz w:val="20"/>
              </w:rPr>
            </w:pPr>
            <w:r>
              <w:rPr>
                <w:rFonts w:eastAsia="仿宋"/>
                <w:sz w:val="20"/>
              </w:rPr>
              <w:t>到期日期</w:t>
            </w:r>
          </w:p>
        </w:tc>
        <w:tc>
          <w:tcPr>
            <w:tcW w:w="1234" w:type="dxa"/>
            <w:noWrap/>
            <w:vAlign w:val="center"/>
          </w:tcPr>
          <w:p w:rsidR="00C37BB8" w:rsidRDefault="003D4E6E">
            <w:pPr>
              <w:jc w:val="center"/>
              <w:rPr>
                <w:rFonts w:eastAsia="仿宋"/>
                <w:sz w:val="20"/>
              </w:rPr>
            </w:pPr>
            <w:r>
              <w:rPr>
                <w:rFonts w:eastAsia="仿宋"/>
                <w:sz w:val="20"/>
              </w:rPr>
              <w:t>预期年化收益率</w:t>
            </w:r>
          </w:p>
        </w:tc>
      </w:tr>
      <w:tr w:rsidR="00C37BB8">
        <w:trPr>
          <w:trHeight w:val="285"/>
        </w:trPr>
        <w:tc>
          <w:tcPr>
            <w:tcW w:w="426" w:type="dxa"/>
            <w:noWrap/>
            <w:vAlign w:val="center"/>
          </w:tcPr>
          <w:p w:rsidR="00C37BB8" w:rsidRDefault="003D4E6E">
            <w:pPr>
              <w:widowControl/>
              <w:jc w:val="center"/>
              <w:rPr>
                <w:rFonts w:eastAsia="仿宋"/>
                <w:color w:val="000000"/>
                <w:kern w:val="0"/>
                <w:sz w:val="20"/>
              </w:rPr>
            </w:pPr>
            <w:r>
              <w:rPr>
                <w:rFonts w:eastAsia="仿宋"/>
                <w:color w:val="000000"/>
                <w:kern w:val="0"/>
                <w:sz w:val="20"/>
              </w:rPr>
              <w:t>1</w:t>
            </w:r>
          </w:p>
        </w:tc>
        <w:tc>
          <w:tcPr>
            <w:tcW w:w="709" w:type="dxa"/>
            <w:noWrap/>
            <w:vAlign w:val="center"/>
          </w:tcPr>
          <w:p w:rsidR="00C37BB8" w:rsidRDefault="003D4E6E">
            <w:pPr>
              <w:jc w:val="center"/>
              <w:rPr>
                <w:rFonts w:eastAsia="仿宋"/>
                <w:sz w:val="20"/>
              </w:rPr>
            </w:pPr>
            <w:r>
              <w:rPr>
                <w:rFonts w:eastAsia="仿宋"/>
                <w:sz w:val="20"/>
              </w:rPr>
              <w:t>天亿马</w:t>
            </w:r>
          </w:p>
        </w:tc>
        <w:tc>
          <w:tcPr>
            <w:tcW w:w="1843" w:type="dxa"/>
            <w:vAlign w:val="center"/>
          </w:tcPr>
          <w:p w:rsidR="00C37BB8" w:rsidRDefault="002E0048">
            <w:pPr>
              <w:widowControl/>
              <w:jc w:val="center"/>
              <w:rPr>
                <w:rFonts w:eastAsia="仿宋"/>
                <w:color w:val="000000"/>
                <w:kern w:val="0"/>
                <w:sz w:val="20"/>
              </w:rPr>
            </w:pPr>
            <w:r w:rsidRPr="002E0048">
              <w:rPr>
                <w:rFonts w:eastAsia="仿宋" w:hint="eastAsia"/>
                <w:sz w:val="20"/>
              </w:rPr>
              <w:t>南洋商业银行（中国）有限公司汕头分行</w:t>
            </w:r>
          </w:p>
        </w:tc>
        <w:tc>
          <w:tcPr>
            <w:tcW w:w="850" w:type="dxa"/>
            <w:noWrap/>
            <w:vAlign w:val="center"/>
          </w:tcPr>
          <w:p w:rsidR="00C37BB8" w:rsidRDefault="001E1D71">
            <w:pPr>
              <w:widowControl/>
              <w:jc w:val="center"/>
              <w:rPr>
                <w:rFonts w:eastAsia="仿宋"/>
                <w:color w:val="000000"/>
                <w:kern w:val="0"/>
                <w:sz w:val="20"/>
              </w:rPr>
            </w:pPr>
            <w:r w:rsidRPr="001E1D71">
              <w:rPr>
                <w:rFonts w:eastAsia="仿宋" w:hint="eastAsia"/>
                <w:color w:val="000000"/>
                <w:kern w:val="0"/>
                <w:sz w:val="20"/>
              </w:rPr>
              <w:t>本金保证浮动收益型</w:t>
            </w:r>
          </w:p>
        </w:tc>
        <w:tc>
          <w:tcPr>
            <w:tcW w:w="1985" w:type="dxa"/>
            <w:vAlign w:val="center"/>
          </w:tcPr>
          <w:p w:rsidR="00C37BB8" w:rsidRDefault="001E1D71" w:rsidP="001E1D71">
            <w:pPr>
              <w:widowControl/>
              <w:rPr>
                <w:rFonts w:eastAsia="仿宋"/>
                <w:color w:val="000000"/>
                <w:kern w:val="0"/>
                <w:sz w:val="20"/>
              </w:rPr>
            </w:pPr>
            <w:r>
              <w:rPr>
                <w:rFonts w:ascii="仿宋" w:eastAsia="仿宋" w:hAnsi="仿宋" w:hint="eastAsia"/>
                <w:color w:val="000000"/>
                <w:kern w:val="0"/>
                <w:sz w:val="20"/>
              </w:rPr>
              <w:t>“</w:t>
            </w:r>
            <w:r w:rsidRPr="001E1D71">
              <w:rPr>
                <w:rFonts w:ascii="仿宋" w:eastAsia="仿宋" w:hAnsi="仿宋" w:hint="eastAsia"/>
                <w:color w:val="000000"/>
                <w:kern w:val="0"/>
                <w:sz w:val="20"/>
              </w:rPr>
              <w:t>益汇</w:t>
            </w:r>
            <w:r>
              <w:rPr>
                <w:rFonts w:ascii="仿宋" w:eastAsia="仿宋" w:hAnsi="仿宋" w:hint="eastAsia"/>
                <w:color w:val="000000"/>
                <w:kern w:val="0"/>
                <w:sz w:val="20"/>
              </w:rPr>
              <w:t>”</w:t>
            </w:r>
            <w:r w:rsidRPr="001E1D71">
              <w:rPr>
                <w:rFonts w:ascii="仿宋" w:eastAsia="仿宋" w:hAnsi="仿宋" w:hint="eastAsia"/>
                <w:color w:val="000000"/>
                <w:kern w:val="0"/>
                <w:sz w:val="20"/>
              </w:rPr>
              <w:t>汇</w:t>
            </w:r>
            <w:r w:rsidRPr="001E1D71">
              <w:rPr>
                <w:rFonts w:eastAsia="仿宋" w:hint="eastAsia"/>
                <w:color w:val="000000"/>
                <w:kern w:val="0"/>
                <w:sz w:val="20"/>
              </w:rPr>
              <w:t>率挂钩人民币结构性存款</w:t>
            </w:r>
          </w:p>
        </w:tc>
        <w:tc>
          <w:tcPr>
            <w:tcW w:w="1276" w:type="dxa"/>
            <w:noWrap/>
            <w:vAlign w:val="center"/>
          </w:tcPr>
          <w:p w:rsidR="00C37BB8" w:rsidRDefault="001E1D71">
            <w:pPr>
              <w:widowControl/>
              <w:jc w:val="right"/>
              <w:rPr>
                <w:rFonts w:eastAsia="仿宋"/>
                <w:color w:val="000000"/>
                <w:kern w:val="0"/>
                <w:sz w:val="20"/>
              </w:rPr>
            </w:pPr>
            <w:r>
              <w:rPr>
                <w:rFonts w:eastAsia="仿宋" w:hint="eastAsia"/>
                <w:color w:val="000000"/>
                <w:kern w:val="0"/>
                <w:sz w:val="20"/>
              </w:rPr>
              <w:t>3</w:t>
            </w:r>
            <w:r w:rsidR="003D4E6E">
              <w:rPr>
                <w:rFonts w:eastAsia="仿宋" w:hint="eastAsia"/>
                <w:color w:val="000000"/>
                <w:kern w:val="0"/>
                <w:sz w:val="20"/>
              </w:rPr>
              <w:t>,000.00</w:t>
            </w:r>
          </w:p>
        </w:tc>
        <w:tc>
          <w:tcPr>
            <w:tcW w:w="1134" w:type="dxa"/>
            <w:noWrap/>
            <w:vAlign w:val="center"/>
          </w:tcPr>
          <w:p w:rsidR="00C37BB8" w:rsidRDefault="00343C25" w:rsidP="001E1D71">
            <w:pPr>
              <w:widowControl/>
              <w:jc w:val="center"/>
              <w:rPr>
                <w:rFonts w:eastAsia="仿宋"/>
                <w:kern w:val="0"/>
                <w:sz w:val="20"/>
              </w:rPr>
            </w:pPr>
            <w:r>
              <w:rPr>
                <w:rFonts w:eastAsia="仿宋" w:hint="eastAsia"/>
                <w:kern w:val="0"/>
                <w:sz w:val="20"/>
              </w:rPr>
              <w:t>2023-</w:t>
            </w:r>
            <w:r w:rsidR="001E1D71">
              <w:rPr>
                <w:rFonts w:eastAsia="仿宋" w:hint="eastAsia"/>
                <w:kern w:val="0"/>
                <w:sz w:val="20"/>
              </w:rPr>
              <w:t>9</w:t>
            </w:r>
            <w:r w:rsidR="003D4E6E">
              <w:rPr>
                <w:rFonts w:eastAsia="仿宋" w:hint="eastAsia"/>
                <w:kern w:val="0"/>
                <w:sz w:val="20"/>
              </w:rPr>
              <w:t>-</w:t>
            </w:r>
            <w:r w:rsidR="001E1D71">
              <w:rPr>
                <w:rFonts w:eastAsia="仿宋" w:hint="eastAsia"/>
                <w:kern w:val="0"/>
                <w:sz w:val="20"/>
              </w:rPr>
              <w:t>1</w:t>
            </w:r>
          </w:p>
        </w:tc>
        <w:tc>
          <w:tcPr>
            <w:tcW w:w="1134" w:type="dxa"/>
            <w:noWrap/>
            <w:vAlign w:val="center"/>
          </w:tcPr>
          <w:p w:rsidR="00C37BB8" w:rsidRDefault="003D4E6E" w:rsidP="001E1D71">
            <w:pPr>
              <w:widowControl/>
              <w:jc w:val="center"/>
              <w:rPr>
                <w:rFonts w:eastAsia="仿宋"/>
                <w:kern w:val="0"/>
                <w:sz w:val="20"/>
              </w:rPr>
            </w:pPr>
            <w:r>
              <w:rPr>
                <w:rFonts w:eastAsia="仿宋" w:hint="eastAsia"/>
                <w:kern w:val="0"/>
                <w:sz w:val="20"/>
              </w:rPr>
              <w:t>2023-</w:t>
            </w:r>
            <w:r w:rsidR="001E1D71">
              <w:rPr>
                <w:rFonts w:eastAsia="仿宋" w:hint="eastAsia"/>
                <w:kern w:val="0"/>
                <w:sz w:val="20"/>
              </w:rPr>
              <w:t>12</w:t>
            </w:r>
            <w:r>
              <w:rPr>
                <w:rFonts w:eastAsia="仿宋" w:hint="eastAsia"/>
                <w:kern w:val="0"/>
                <w:sz w:val="20"/>
              </w:rPr>
              <w:t>-</w:t>
            </w:r>
            <w:r w:rsidR="001E1D71">
              <w:rPr>
                <w:rFonts w:eastAsia="仿宋" w:hint="eastAsia"/>
                <w:kern w:val="0"/>
                <w:sz w:val="20"/>
              </w:rPr>
              <w:t>1</w:t>
            </w:r>
          </w:p>
        </w:tc>
        <w:tc>
          <w:tcPr>
            <w:tcW w:w="1234" w:type="dxa"/>
            <w:noWrap/>
            <w:vAlign w:val="center"/>
          </w:tcPr>
          <w:p w:rsidR="00C37BB8" w:rsidRDefault="001E1D71">
            <w:pPr>
              <w:widowControl/>
              <w:jc w:val="center"/>
              <w:rPr>
                <w:rFonts w:eastAsia="仿宋"/>
                <w:color w:val="000000"/>
                <w:kern w:val="0"/>
                <w:sz w:val="20"/>
              </w:rPr>
            </w:pPr>
            <w:r w:rsidRPr="001E1D71">
              <w:rPr>
                <w:rFonts w:eastAsia="仿宋"/>
                <w:color w:val="000000"/>
                <w:kern w:val="0"/>
                <w:sz w:val="20"/>
              </w:rPr>
              <w:t>2.50%/1.65%</w:t>
            </w:r>
          </w:p>
        </w:tc>
      </w:tr>
    </w:tbl>
    <w:p w:rsidR="00C37BB8" w:rsidRDefault="003D4E6E">
      <w:pPr>
        <w:ind w:firstLineChars="200" w:firstLine="560"/>
        <w:rPr>
          <w:rFonts w:eastAsia="仿宋"/>
          <w:sz w:val="28"/>
        </w:rPr>
      </w:pPr>
      <w:r>
        <w:rPr>
          <w:rFonts w:eastAsia="仿宋" w:hint="eastAsia"/>
          <w:sz w:val="28"/>
        </w:rPr>
        <w:t>关联关系说明：公司与</w:t>
      </w:r>
      <w:r w:rsidR="001E1D71" w:rsidRPr="001E1D71">
        <w:rPr>
          <w:rFonts w:eastAsia="仿宋" w:hint="eastAsia"/>
          <w:sz w:val="28"/>
        </w:rPr>
        <w:t>南洋商业银行（中国）有限公司汕头分行</w:t>
      </w:r>
      <w:r>
        <w:rPr>
          <w:rFonts w:eastAsia="仿宋" w:hint="eastAsia"/>
          <w:sz w:val="28"/>
        </w:rPr>
        <w:t>不存在关联关系。</w:t>
      </w:r>
    </w:p>
    <w:p w:rsidR="00C37BB8" w:rsidRDefault="00327ED1">
      <w:pPr>
        <w:outlineLvl w:val="0"/>
        <w:rPr>
          <w:rFonts w:eastAsia="仿宋"/>
          <w:b/>
          <w:sz w:val="28"/>
        </w:rPr>
      </w:pPr>
      <w:r>
        <w:rPr>
          <w:rFonts w:eastAsia="仿宋" w:hint="eastAsia"/>
          <w:b/>
          <w:sz w:val="28"/>
        </w:rPr>
        <w:t>二</w:t>
      </w:r>
      <w:r w:rsidR="003D4E6E">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t>3.</w:t>
      </w:r>
      <w:r>
        <w:rPr>
          <w:rFonts w:eastAsia="仿宋"/>
          <w:sz w:val="28"/>
        </w:rPr>
        <w:t>公司审计部门对理财资金使用和保管情况进行日常监督，定期对理财资金使用情况进行审计、核实。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公司监事会、独立董事有权对资金使用情况进行监督与核查，必要时可以聘请专业机构进行审计。</w:t>
      </w:r>
    </w:p>
    <w:p w:rsidR="00C37BB8" w:rsidRDefault="003D4E6E">
      <w:pPr>
        <w:ind w:firstLineChars="200" w:firstLine="560"/>
        <w:rPr>
          <w:rFonts w:eastAsia="仿宋"/>
          <w:sz w:val="28"/>
        </w:rPr>
      </w:pPr>
      <w:r>
        <w:rPr>
          <w:rFonts w:eastAsia="仿宋"/>
          <w:sz w:val="28"/>
        </w:rPr>
        <w:lastRenderedPageBreak/>
        <w:t>5.</w:t>
      </w:r>
      <w:r>
        <w:rPr>
          <w:rFonts w:eastAsia="仿宋"/>
          <w:sz w:val="28"/>
        </w:rPr>
        <w:t>公司将依据深圳证券交易所的相关规定，及时做好相关信息披露工作。</w:t>
      </w:r>
    </w:p>
    <w:p w:rsidR="00C37BB8" w:rsidRDefault="00327ED1">
      <w:pPr>
        <w:outlineLvl w:val="0"/>
        <w:rPr>
          <w:rFonts w:eastAsia="仿宋"/>
          <w:b/>
          <w:sz w:val="28"/>
        </w:rPr>
      </w:pPr>
      <w:r>
        <w:rPr>
          <w:rFonts w:eastAsia="仿宋" w:hint="eastAsia"/>
          <w:b/>
          <w:sz w:val="28"/>
        </w:rPr>
        <w:t>三</w:t>
      </w:r>
      <w:r w:rsidR="003D4E6E">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327ED1">
      <w:pPr>
        <w:outlineLvl w:val="0"/>
        <w:rPr>
          <w:rFonts w:eastAsia="仿宋"/>
          <w:b/>
          <w:sz w:val="28"/>
        </w:rPr>
      </w:pPr>
      <w:r>
        <w:rPr>
          <w:rFonts w:eastAsia="仿宋" w:hint="eastAsia"/>
          <w:b/>
          <w:sz w:val="28"/>
        </w:rPr>
        <w:t>四</w:t>
      </w:r>
      <w:r w:rsidR="003D4E6E">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sidR="001D4D8C">
        <w:rPr>
          <w:rFonts w:eastAsia="仿宋" w:hint="eastAsia"/>
          <w:sz w:val="28"/>
        </w:rPr>
        <w:t>26,</w:t>
      </w:r>
      <w:r>
        <w:rPr>
          <w:rFonts w:eastAsia="仿宋" w:hint="eastAsia"/>
          <w:sz w:val="28"/>
        </w:rPr>
        <w:t>0</w:t>
      </w:r>
      <w:r>
        <w:rPr>
          <w:rFonts w:eastAsia="仿宋"/>
          <w:sz w:val="28"/>
        </w:rPr>
        <w:t>00.00</w:t>
      </w:r>
      <w:r>
        <w:rPr>
          <w:rFonts w:eastAsia="仿宋"/>
          <w:sz w:val="28"/>
        </w:rPr>
        <w:t>万元，未超过股东大会对使用闲置募集资金进行现金管理的授权额度，具体如下：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C37BB8">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0"/>
        </w:trPr>
        <w:tc>
          <w:tcPr>
            <w:tcW w:w="389" w:type="dxa"/>
            <w:noWrap/>
            <w:vAlign w:val="center"/>
          </w:tcPr>
          <w:p w:rsidR="00C37BB8" w:rsidRDefault="008A3E3E">
            <w:pPr>
              <w:jc w:val="center"/>
              <w:rPr>
                <w:rFonts w:eastAsia="仿宋"/>
                <w:sz w:val="20"/>
              </w:rPr>
            </w:pPr>
            <w:r>
              <w:rPr>
                <w:rFonts w:eastAsia="仿宋" w:hint="eastAsia"/>
                <w:sz w:val="20"/>
              </w:rPr>
              <w:t>1</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518.00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69,935.77</w:t>
            </w:r>
          </w:p>
        </w:tc>
        <w:tc>
          <w:tcPr>
            <w:tcW w:w="567" w:type="dxa"/>
            <w:vAlign w:val="center"/>
          </w:tcPr>
          <w:p w:rsidR="00C37BB8" w:rsidRDefault="003D4E6E">
            <w:pPr>
              <w:jc w:val="center"/>
              <w:rPr>
                <w:rFonts w:eastAsia="仿宋"/>
                <w:sz w:val="20"/>
              </w:rPr>
            </w:pPr>
            <w:r>
              <w:rPr>
                <w:rFonts w:eastAsia="仿宋"/>
                <w:sz w:val="20"/>
              </w:rPr>
              <w:t>已赎回</w:t>
            </w:r>
          </w:p>
        </w:tc>
      </w:tr>
      <w:tr w:rsidR="00C37BB8">
        <w:trPr>
          <w:trHeight w:val="20"/>
        </w:trPr>
        <w:tc>
          <w:tcPr>
            <w:tcW w:w="389" w:type="dxa"/>
            <w:noWrap/>
            <w:vAlign w:val="center"/>
          </w:tcPr>
          <w:p w:rsidR="00C37BB8" w:rsidRDefault="008A3E3E">
            <w:pPr>
              <w:jc w:val="center"/>
              <w:rPr>
                <w:rFonts w:eastAsia="仿宋"/>
                <w:sz w:val="20"/>
              </w:rPr>
            </w:pPr>
            <w:r>
              <w:rPr>
                <w:rFonts w:eastAsia="仿宋" w:hint="eastAsia"/>
                <w:sz w:val="20"/>
              </w:rPr>
              <w:t>2</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106.00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13,149.15</w:t>
            </w:r>
          </w:p>
        </w:tc>
        <w:tc>
          <w:tcPr>
            <w:tcW w:w="567" w:type="dxa"/>
            <w:vAlign w:val="center"/>
          </w:tcPr>
          <w:p w:rsidR="00C37BB8" w:rsidRDefault="003D4E6E">
            <w:pPr>
              <w:jc w:val="center"/>
              <w:rPr>
                <w:rFonts w:eastAsia="仿宋"/>
                <w:sz w:val="20"/>
              </w:rPr>
            </w:pPr>
            <w:r>
              <w:rPr>
                <w:rFonts w:eastAsia="仿宋"/>
                <w:sz w:val="20"/>
              </w:rPr>
              <w:t>已赎回</w:t>
            </w:r>
          </w:p>
        </w:tc>
      </w:tr>
      <w:tr w:rsidR="008A3E3E">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t>3</w:t>
            </w:r>
          </w:p>
        </w:tc>
        <w:tc>
          <w:tcPr>
            <w:tcW w:w="746" w:type="dxa"/>
            <w:noWrap/>
            <w:vAlign w:val="center"/>
          </w:tcPr>
          <w:p w:rsidR="008A3E3E" w:rsidRDefault="008A3E3E">
            <w:pPr>
              <w:jc w:val="center"/>
              <w:rPr>
                <w:rFonts w:eastAsia="仿宋"/>
                <w:sz w:val="20"/>
              </w:rPr>
            </w:pPr>
            <w:r>
              <w:rPr>
                <w:rFonts w:eastAsia="仿宋"/>
                <w:sz w:val="20"/>
              </w:rPr>
              <w:t>天亿</w:t>
            </w:r>
            <w:r>
              <w:rPr>
                <w:rFonts w:eastAsia="仿宋"/>
                <w:sz w:val="20"/>
              </w:rPr>
              <w:lastRenderedPageBreak/>
              <w:t>马</w:t>
            </w:r>
          </w:p>
        </w:tc>
        <w:tc>
          <w:tcPr>
            <w:tcW w:w="1134" w:type="dxa"/>
            <w:noWrap/>
            <w:vAlign w:val="center"/>
          </w:tcPr>
          <w:p w:rsidR="008A3E3E" w:rsidRDefault="008A3E3E">
            <w:pPr>
              <w:ind w:leftChars="-50" w:left="-105"/>
              <w:jc w:val="center"/>
              <w:rPr>
                <w:rFonts w:eastAsia="仿宋"/>
                <w:sz w:val="20"/>
              </w:rPr>
            </w:pPr>
            <w:r>
              <w:rPr>
                <w:rFonts w:eastAsia="仿宋"/>
                <w:sz w:val="20"/>
              </w:rPr>
              <w:lastRenderedPageBreak/>
              <w:t>交通银行股</w:t>
            </w:r>
            <w:r>
              <w:rPr>
                <w:rFonts w:eastAsia="仿宋"/>
                <w:sz w:val="20"/>
              </w:rPr>
              <w:lastRenderedPageBreak/>
              <w:t>份有限公司汕头分行</w:t>
            </w:r>
          </w:p>
        </w:tc>
        <w:tc>
          <w:tcPr>
            <w:tcW w:w="1134" w:type="dxa"/>
            <w:vAlign w:val="center"/>
          </w:tcPr>
          <w:p w:rsidR="008A3E3E" w:rsidRDefault="008A3E3E">
            <w:pPr>
              <w:ind w:leftChars="-50" w:left="-105" w:rightChars="-50" w:right="-105"/>
              <w:jc w:val="center"/>
              <w:rPr>
                <w:rFonts w:eastAsia="仿宋"/>
                <w:sz w:val="20"/>
              </w:rPr>
            </w:pPr>
            <w:r>
              <w:rPr>
                <w:rFonts w:eastAsia="仿宋"/>
                <w:sz w:val="20"/>
              </w:rPr>
              <w:lastRenderedPageBreak/>
              <w:t>保本浮动收</w:t>
            </w:r>
            <w:r>
              <w:rPr>
                <w:rFonts w:eastAsia="仿宋"/>
                <w:sz w:val="20"/>
              </w:rPr>
              <w:lastRenderedPageBreak/>
              <w:t>益型</w:t>
            </w:r>
          </w:p>
        </w:tc>
        <w:tc>
          <w:tcPr>
            <w:tcW w:w="1276" w:type="dxa"/>
            <w:noWrap/>
            <w:vAlign w:val="center"/>
          </w:tcPr>
          <w:p w:rsidR="008A3E3E" w:rsidRDefault="008A3E3E">
            <w:pPr>
              <w:jc w:val="center"/>
              <w:rPr>
                <w:rFonts w:eastAsia="仿宋"/>
                <w:sz w:val="20"/>
              </w:rPr>
            </w:pPr>
            <w:r>
              <w:rPr>
                <w:rFonts w:eastAsia="仿宋"/>
                <w:sz w:val="20"/>
              </w:rPr>
              <w:lastRenderedPageBreak/>
              <w:t>交通银行蕴</w:t>
            </w:r>
            <w:r>
              <w:rPr>
                <w:rFonts w:eastAsia="仿宋"/>
                <w:sz w:val="20"/>
              </w:rPr>
              <w:lastRenderedPageBreak/>
              <w:t>通财富定期型结构存款</w:t>
            </w:r>
            <w:r>
              <w:rPr>
                <w:rFonts w:eastAsia="仿宋"/>
                <w:sz w:val="20"/>
              </w:rPr>
              <w:t>99</w:t>
            </w:r>
            <w:r>
              <w:rPr>
                <w:rFonts w:eastAsia="仿宋"/>
                <w:sz w:val="20"/>
              </w:rPr>
              <w:t>天（汇率挂钩看跌）</w:t>
            </w:r>
          </w:p>
        </w:tc>
        <w:tc>
          <w:tcPr>
            <w:tcW w:w="992" w:type="dxa"/>
            <w:noWrap/>
            <w:vAlign w:val="center"/>
          </w:tcPr>
          <w:p w:rsidR="008A3E3E" w:rsidRDefault="008A3E3E">
            <w:pPr>
              <w:jc w:val="right"/>
              <w:rPr>
                <w:rFonts w:eastAsia="仿宋"/>
                <w:sz w:val="20"/>
              </w:rPr>
            </w:pPr>
            <w:r>
              <w:rPr>
                <w:rFonts w:eastAsia="仿宋"/>
                <w:sz w:val="20"/>
              </w:rPr>
              <w:lastRenderedPageBreak/>
              <w:t>4,000.00</w:t>
            </w:r>
          </w:p>
        </w:tc>
        <w:tc>
          <w:tcPr>
            <w:tcW w:w="709" w:type="dxa"/>
            <w:noWrap/>
            <w:vAlign w:val="center"/>
          </w:tcPr>
          <w:p w:rsidR="008A3E3E" w:rsidRDefault="008A3E3E">
            <w:pPr>
              <w:jc w:val="center"/>
              <w:rPr>
                <w:rFonts w:eastAsia="仿宋"/>
                <w:sz w:val="20"/>
              </w:rPr>
            </w:pPr>
            <w:r>
              <w:rPr>
                <w:rFonts w:eastAsia="仿宋"/>
                <w:sz w:val="20"/>
              </w:rPr>
              <w:t>2022-</w:t>
            </w:r>
            <w:r>
              <w:rPr>
                <w:rFonts w:eastAsia="仿宋"/>
                <w:sz w:val="20"/>
              </w:rPr>
              <w:lastRenderedPageBreak/>
              <w:t>7-18</w:t>
            </w:r>
          </w:p>
        </w:tc>
        <w:tc>
          <w:tcPr>
            <w:tcW w:w="709" w:type="dxa"/>
            <w:noWrap/>
            <w:vAlign w:val="center"/>
          </w:tcPr>
          <w:p w:rsidR="008A3E3E" w:rsidRDefault="008A3E3E">
            <w:pPr>
              <w:jc w:val="center"/>
              <w:rPr>
                <w:rFonts w:eastAsia="仿宋"/>
                <w:sz w:val="20"/>
              </w:rPr>
            </w:pPr>
            <w:r>
              <w:rPr>
                <w:rFonts w:eastAsia="仿宋"/>
                <w:sz w:val="20"/>
              </w:rPr>
              <w:lastRenderedPageBreak/>
              <w:t>2022-</w:t>
            </w:r>
            <w:r>
              <w:rPr>
                <w:rFonts w:eastAsia="仿宋"/>
                <w:sz w:val="20"/>
              </w:rPr>
              <w:lastRenderedPageBreak/>
              <w:t>10-25</w:t>
            </w:r>
          </w:p>
        </w:tc>
        <w:tc>
          <w:tcPr>
            <w:tcW w:w="1842" w:type="dxa"/>
            <w:noWrap/>
            <w:vAlign w:val="center"/>
          </w:tcPr>
          <w:p w:rsidR="008A3E3E" w:rsidRDefault="008A3E3E">
            <w:pPr>
              <w:jc w:val="center"/>
              <w:rPr>
                <w:rFonts w:eastAsia="仿宋"/>
                <w:sz w:val="20"/>
              </w:rPr>
            </w:pPr>
            <w:r>
              <w:rPr>
                <w:rFonts w:eastAsia="仿宋"/>
                <w:sz w:val="20"/>
              </w:rPr>
              <w:lastRenderedPageBreak/>
              <w:t>高档收益率：</w:t>
            </w:r>
            <w:r>
              <w:rPr>
                <w:rFonts w:eastAsia="仿宋"/>
                <w:sz w:val="20"/>
              </w:rPr>
              <w:t>2.80%</w:t>
            </w:r>
          </w:p>
          <w:p w:rsidR="008A3E3E" w:rsidRDefault="008A3E3E">
            <w:pPr>
              <w:jc w:val="center"/>
              <w:rPr>
                <w:rFonts w:eastAsia="仿宋"/>
                <w:sz w:val="20"/>
              </w:rPr>
            </w:pPr>
            <w:r>
              <w:rPr>
                <w:rFonts w:eastAsia="仿宋"/>
                <w:sz w:val="20"/>
              </w:rPr>
              <w:lastRenderedPageBreak/>
              <w:t>中档收益率：</w:t>
            </w:r>
            <w:r>
              <w:rPr>
                <w:rFonts w:eastAsia="仿宋"/>
                <w:sz w:val="20"/>
              </w:rPr>
              <w:t>2.60%</w:t>
            </w:r>
          </w:p>
          <w:p w:rsidR="008A3E3E" w:rsidRDefault="008A3E3E">
            <w:pPr>
              <w:jc w:val="center"/>
              <w:rPr>
                <w:rFonts w:eastAsia="仿宋"/>
                <w:sz w:val="20"/>
              </w:rPr>
            </w:pPr>
            <w:r>
              <w:rPr>
                <w:rFonts w:eastAsia="仿宋"/>
                <w:sz w:val="20"/>
              </w:rPr>
              <w:t>低档收益率：</w:t>
            </w:r>
            <w:r>
              <w:rPr>
                <w:rFonts w:eastAsia="仿宋"/>
                <w:sz w:val="20"/>
              </w:rPr>
              <w:t>1.35%</w:t>
            </w:r>
          </w:p>
        </w:tc>
        <w:tc>
          <w:tcPr>
            <w:tcW w:w="1370" w:type="dxa"/>
            <w:vAlign w:val="center"/>
          </w:tcPr>
          <w:p w:rsidR="008A3E3E" w:rsidRDefault="008A3E3E">
            <w:pPr>
              <w:ind w:leftChars="-50" w:left="-105" w:rightChars="-50" w:right="-105"/>
              <w:jc w:val="center"/>
              <w:rPr>
                <w:rFonts w:eastAsia="仿宋"/>
                <w:sz w:val="20"/>
              </w:rPr>
            </w:pPr>
            <w:r>
              <w:rPr>
                <w:rFonts w:eastAsia="仿宋"/>
                <w:sz w:val="20"/>
              </w:rPr>
              <w:lastRenderedPageBreak/>
              <w:t>282,082.19</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w:t>
            </w:r>
            <w:r>
              <w:rPr>
                <w:rFonts w:eastAsia="仿宋"/>
                <w:sz w:val="20"/>
              </w:rPr>
              <w:lastRenderedPageBreak/>
              <w:t>回</w:t>
            </w:r>
          </w:p>
        </w:tc>
      </w:tr>
      <w:tr w:rsidR="008A3E3E">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lastRenderedPageBreak/>
              <w:t>4</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370" w:type="dxa"/>
            <w:vAlign w:val="center"/>
          </w:tcPr>
          <w:p w:rsidR="008A3E3E" w:rsidRDefault="008A3E3E">
            <w:pPr>
              <w:jc w:val="center"/>
              <w:rPr>
                <w:sz w:val="20"/>
              </w:rPr>
            </w:pPr>
            <w:r>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327ED1" w:rsidTr="0032218C">
        <w:trPr>
          <w:trHeight w:val="1258"/>
        </w:trPr>
        <w:tc>
          <w:tcPr>
            <w:tcW w:w="389" w:type="dxa"/>
            <w:noWrap/>
            <w:vAlign w:val="center"/>
          </w:tcPr>
          <w:p w:rsidR="00327ED1" w:rsidRDefault="00327ED1" w:rsidP="004B4934">
            <w:pPr>
              <w:jc w:val="center"/>
              <w:rPr>
                <w:rFonts w:eastAsia="仿宋"/>
                <w:sz w:val="20"/>
              </w:rPr>
            </w:pPr>
            <w:r>
              <w:rPr>
                <w:rFonts w:eastAsia="仿宋" w:hint="eastAsia"/>
                <w:sz w:val="20"/>
              </w:rPr>
              <w:t>5</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A2373C">
            <w:pPr>
              <w:jc w:val="right"/>
              <w:rPr>
                <w:sz w:val="20"/>
              </w:rPr>
            </w:pPr>
            <w:r>
              <w:rPr>
                <w:sz w:val="20"/>
              </w:rPr>
              <w:t>106.00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4F7D7F">
            <w:pPr>
              <w:jc w:val="center"/>
              <w:rPr>
                <w:rFonts w:eastAsia="仿宋"/>
                <w:sz w:val="20"/>
              </w:rPr>
            </w:pPr>
            <w:r>
              <w:rPr>
                <w:rFonts w:eastAsia="仿宋"/>
                <w:sz w:val="20"/>
              </w:rPr>
              <w:t>2022-12-10</w:t>
            </w:r>
          </w:p>
        </w:tc>
        <w:tc>
          <w:tcPr>
            <w:tcW w:w="1842" w:type="dxa"/>
            <w:noWrap/>
            <w:vAlign w:val="center"/>
          </w:tcPr>
          <w:p w:rsidR="00327ED1" w:rsidRDefault="00327ED1" w:rsidP="00CA3805">
            <w:pPr>
              <w:jc w:val="center"/>
              <w:rPr>
                <w:sz w:val="20"/>
              </w:rPr>
            </w:pPr>
            <w:r>
              <w:rPr>
                <w:rFonts w:eastAsia="仿宋"/>
                <w:sz w:val="20"/>
              </w:rPr>
              <w:t>2.10%</w:t>
            </w:r>
          </w:p>
        </w:tc>
        <w:tc>
          <w:tcPr>
            <w:tcW w:w="1370" w:type="dxa"/>
            <w:vAlign w:val="center"/>
          </w:tcPr>
          <w:p w:rsidR="00327ED1" w:rsidRDefault="00327ED1" w:rsidP="00E128BA">
            <w:pPr>
              <w:jc w:val="center"/>
              <w:rPr>
                <w:sz w:val="20"/>
              </w:rPr>
            </w:pPr>
            <w:r>
              <w:rPr>
                <w:sz w:val="20"/>
              </w:rPr>
              <w:t>12,565.29</w:t>
            </w:r>
          </w:p>
        </w:tc>
        <w:tc>
          <w:tcPr>
            <w:tcW w:w="567" w:type="dxa"/>
            <w:vAlign w:val="center"/>
          </w:tcPr>
          <w:p w:rsidR="00327ED1" w:rsidRDefault="00327ED1" w:rsidP="0032218C">
            <w:pPr>
              <w:jc w:val="center"/>
              <w:rPr>
                <w:rFonts w:eastAsia="仿宋"/>
                <w:sz w:val="20"/>
              </w:rPr>
            </w:pPr>
            <w:r>
              <w:rPr>
                <w:rFonts w:eastAsia="仿宋"/>
                <w:sz w:val="20"/>
              </w:rPr>
              <w:t>已赎回</w:t>
            </w:r>
          </w:p>
        </w:tc>
      </w:tr>
      <w:tr w:rsidR="00327ED1" w:rsidTr="001C4F45">
        <w:trPr>
          <w:trHeight w:val="1258"/>
        </w:trPr>
        <w:tc>
          <w:tcPr>
            <w:tcW w:w="389" w:type="dxa"/>
            <w:noWrap/>
            <w:vAlign w:val="center"/>
          </w:tcPr>
          <w:p w:rsidR="00327ED1" w:rsidRDefault="00327ED1" w:rsidP="007242BF">
            <w:pPr>
              <w:jc w:val="center"/>
              <w:rPr>
                <w:rFonts w:eastAsia="仿宋"/>
                <w:sz w:val="20"/>
              </w:rPr>
            </w:pPr>
            <w:r>
              <w:rPr>
                <w:rFonts w:eastAsia="仿宋" w:hint="eastAsia"/>
                <w:sz w:val="20"/>
              </w:rPr>
              <w:t>6</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623157">
            <w:pPr>
              <w:jc w:val="right"/>
              <w:rPr>
                <w:sz w:val="20"/>
              </w:rPr>
            </w:pPr>
            <w:r>
              <w:rPr>
                <w:sz w:val="20"/>
              </w:rPr>
              <w:t>221.00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A27E32">
            <w:pPr>
              <w:jc w:val="center"/>
              <w:rPr>
                <w:rFonts w:eastAsia="仿宋"/>
                <w:sz w:val="20"/>
              </w:rPr>
            </w:pPr>
            <w:r>
              <w:rPr>
                <w:rFonts w:eastAsia="仿宋"/>
                <w:sz w:val="20"/>
              </w:rPr>
              <w:t>2022-12-10</w:t>
            </w:r>
          </w:p>
        </w:tc>
        <w:tc>
          <w:tcPr>
            <w:tcW w:w="1842" w:type="dxa"/>
            <w:noWrap/>
            <w:vAlign w:val="center"/>
          </w:tcPr>
          <w:p w:rsidR="00327ED1" w:rsidRDefault="00327ED1" w:rsidP="003B1B7D">
            <w:pPr>
              <w:jc w:val="center"/>
              <w:rPr>
                <w:sz w:val="20"/>
              </w:rPr>
            </w:pPr>
            <w:r>
              <w:rPr>
                <w:rFonts w:eastAsia="仿宋"/>
                <w:sz w:val="20"/>
              </w:rPr>
              <w:t>2.10%</w:t>
            </w:r>
          </w:p>
        </w:tc>
        <w:tc>
          <w:tcPr>
            <w:tcW w:w="1370" w:type="dxa"/>
            <w:vAlign w:val="center"/>
          </w:tcPr>
          <w:p w:rsidR="00327ED1" w:rsidRDefault="00327ED1" w:rsidP="00D05563">
            <w:pPr>
              <w:jc w:val="center"/>
              <w:rPr>
                <w:sz w:val="20"/>
              </w:rPr>
            </w:pPr>
            <w:r>
              <w:rPr>
                <w:sz w:val="20"/>
              </w:rPr>
              <w:t>23,774.76</w:t>
            </w:r>
          </w:p>
        </w:tc>
        <w:tc>
          <w:tcPr>
            <w:tcW w:w="567" w:type="dxa"/>
            <w:vAlign w:val="center"/>
          </w:tcPr>
          <w:p w:rsidR="00327ED1" w:rsidRDefault="00327ED1" w:rsidP="001C4F45">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B4934" w:rsidP="007242BF">
            <w:pPr>
              <w:jc w:val="center"/>
              <w:rPr>
                <w:rFonts w:eastAsia="仿宋"/>
                <w:sz w:val="20"/>
              </w:rPr>
            </w:pPr>
            <w:r>
              <w:rPr>
                <w:rFonts w:eastAsia="仿宋" w:hint="eastAsia"/>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B4934" w:rsidP="007242BF">
            <w:pPr>
              <w:jc w:val="center"/>
              <w:rPr>
                <w:rFonts w:eastAsia="仿宋"/>
                <w:sz w:val="20"/>
              </w:rPr>
            </w:pPr>
            <w:r>
              <w:rPr>
                <w:rFonts w:eastAsia="仿宋" w:hint="eastAsia"/>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widowControl/>
              <w:jc w:val="right"/>
              <w:rPr>
                <w:kern w:val="0"/>
                <w:sz w:val="20"/>
              </w:rPr>
            </w:pPr>
            <w:r>
              <w:rPr>
                <w:kern w:val="0"/>
                <w:sz w:val="20"/>
              </w:rPr>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701,917.80</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rFonts w:hint="eastAsia"/>
                <w:kern w:val="0"/>
                <w:sz w:val="20"/>
              </w:rPr>
              <w:t>9</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中国民生银行股份有限公司汕头分行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聚赢利率</w:t>
            </w:r>
            <w:r>
              <w:rPr>
                <w:rFonts w:eastAsia="仿宋"/>
                <w:kern w:val="0"/>
                <w:sz w:val="20"/>
              </w:rPr>
              <w:t>-</w:t>
            </w:r>
            <w:r>
              <w:rPr>
                <w:rFonts w:eastAsia="仿宋"/>
                <w:kern w:val="0"/>
                <w:sz w:val="20"/>
              </w:rPr>
              <w:t>挂钩中债</w:t>
            </w:r>
            <w:r>
              <w:rPr>
                <w:rFonts w:eastAsia="仿宋"/>
                <w:kern w:val="0"/>
                <w:sz w:val="20"/>
              </w:rPr>
              <w:t>10</w:t>
            </w:r>
            <w:r>
              <w:rPr>
                <w:rFonts w:eastAsia="仿宋"/>
                <w:kern w:val="0"/>
                <w:sz w:val="20"/>
              </w:rPr>
              <w:t>年期国债到期收益率结构性存款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2022-8-5</w:t>
            </w:r>
          </w:p>
        </w:tc>
        <w:tc>
          <w:tcPr>
            <w:tcW w:w="709" w:type="dxa"/>
            <w:vAlign w:val="center"/>
          </w:tcPr>
          <w:p w:rsidR="008A3E3E" w:rsidRDefault="008A3E3E">
            <w:pPr>
              <w:widowControl/>
              <w:jc w:val="center"/>
              <w:rPr>
                <w:rFonts w:eastAsia="仿宋"/>
                <w:kern w:val="0"/>
                <w:sz w:val="20"/>
              </w:rPr>
            </w:pPr>
            <w:r>
              <w:rPr>
                <w:rFonts w:eastAsia="仿宋"/>
                <w:kern w:val="0"/>
                <w:sz w:val="20"/>
              </w:rPr>
              <w:t>2022-11-7</w:t>
            </w:r>
          </w:p>
        </w:tc>
        <w:tc>
          <w:tcPr>
            <w:tcW w:w="1842" w:type="dxa"/>
            <w:vAlign w:val="center"/>
          </w:tcPr>
          <w:p w:rsidR="008A3E3E" w:rsidRDefault="008A3E3E">
            <w:pPr>
              <w:widowControl/>
              <w:jc w:val="center"/>
              <w:rPr>
                <w:kern w:val="0"/>
                <w:sz w:val="20"/>
              </w:rPr>
            </w:pPr>
            <w:r>
              <w:rPr>
                <w:kern w:val="0"/>
                <w:sz w:val="20"/>
              </w:rPr>
              <w:t>1.55%-3.05%</w:t>
            </w:r>
          </w:p>
        </w:tc>
        <w:tc>
          <w:tcPr>
            <w:tcW w:w="1370" w:type="dxa"/>
            <w:vAlign w:val="center"/>
          </w:tcPr>
          <w:p w:rsidR="008A3E3E" w:rsidRDefault="008A3E3E">
            <w:pPr>
              <w:widowControl/>
              <w:jc w:val="center"/>
              <w:rPr>
                <w:kern w:val="0"/>
                <w:sz w:val="20"/>
              </w:rPr>
            </w:pPr>
            <w:r>
              <w:rPr>
                <w:kern w:val="0"/>
                <w:sz w:val="20"/>
              </w:rPr>
              <w:t>153,165.92</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0</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370" w:type="dxa"/>
            <w:vAlign w:val="center"/>
          </w:tcPr>
          <w:p w:rsidR="008A3E3E" w:rsidRDefault="008A3E3E">
            <w:pPr>
              <w:widowControl/>
              <w:jc w:val="center"/>
              <w:rPr>
                <w:kern w:val="0"/>
                <w:sz w:val="20"/>
              </w:rPr>
            </w:pPr>
            <w:r>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1</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2</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327ED1" w:rsidTr="00CF527F">
        <w:trPr>
          <w:trHeight w:val="1258"/>
        </w:trPr>
        <w:tc>
          <w:tcPr>
            <w:tcW w:w="389" w:type="dxa"/>
            <w:vAlign w:val="center"/>
          </w:tcPr>
          <w:p w:rsidR="00327ED1" w:rsidRDefault="00327ED1" w:rsidP="00327ED1">
            <w:pPr>
              <w:widowControl/>
              <w:jc w:val="center"/>
              <w:rPr>
                <w:kern w:val="0"/>
                <w:sz w:val="20"/>
              </w:rPr>
            </w:pPr>
            <w:r>
              <w:rPr>
                <w:kern w:val="0"/>
                <w:sz w:val="20"/>
              </w:rPr>
              <w:lastRenderedPageBreak/>
              <w:t>1</w:t>
            </w:r>
            <w:r>
              <w:rPr>
                <w:rFonts w:hint="eastAsia"/>
                <w:kern w:val="0"/>
                <w:sz w:val="20"/>
              </w:rPr>
              <w:t>3</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327ED1" w:rsidRDefault="00327ED1">
            <w:pPr>
              <w:widowControl/>
              <w:jc w:val="center"/>
              <w:rPr>
                <w:rFonts w:eastAsia="仿宋"/>
                <w:kern w:val="0"/>
                <w:sz w:val="20"/>
              </w:rPr>
            </w:pPr>
            <w:r>
              <w:rPr>
                <w:rFonts w:eastAsia="仿宋"/>
                <w:kern w:val="0"/>
                <w:sz w:val="20"/>
              </w:rPr>
              <w:t>保本浮动收益型</w:t>
            </w:r>
          </w:p>
        </w:tc>
        <w:tc>
          <w:tcPr>
            <w:tcW w:w="1276" w:type="dxa"/>
            <w:vAlign w:val="center"/>
          </w:tcPr>
          <w:p w:rsidR="00327ED1" w:rsidRDefault="00327ED1">
            <w:pPr>
              <w:jc w:val="center"/>
              <w:rPr>
                <w:rFonts w:eastAsia="仿宋"/>
                <w:sz w:val="20"/>
              </w:rPr>
            </w:pPr>
            <w:r>
              <w:rPr>
                <w:rFonts w:eastAsia="仿宋"/>
                <w:sz w:val="20"/>
              </w:rPr>
              <w:t>智能通知存款</w:t>
            </w:r>
          </w:p>
        </w:tc>
        <w:tc>
          <w:tcPr>
            <w:tcW w:w="992" w:type="dxa"/>
            <w:vAlign w:val="center"/>
          </w:tcPr>
          <w:p w:rsidR="00327ED1" w:rsidRDefault="00327ED1" w:rsidP="00013E1E">
            <w:pPr>
              <w:ind w:right="100"/>
              <w:jc w:val="right"/>
              <w:rPr>
                <w:sz w:val="20"/>
              </w:rPr>
            </w:pPr>
            <w:r>
              <w:rPr>
                <w:rFonts w:eastAsia="仿宋"/>
                <w:sz w:val="20"/>
              </w:rPr>
              <w:t>10.00</w:t>
            </w:r>
          </w:p>
        </w:tc>
        <w:tc>
          <w:tcPr>
            <w:tcW w:w="709" w:type="dxa"/>
            <w:vAlign w:val="center"/>
          </w:tcPr>
          <w:p w:rsidR="00327ED1" w:rsidRDefault="00327ED1" w:rsidP="00DC26AB">
            <w:pPr>
              <w:jc w:val="center"/>
              <w:rPr>
                <w:rFonts w:eastAsia="仿宋"/>
                <w:sz w:val="20"/>
              </w:rPr>
            </w:pPr>
            <w:r>
              <w:rPr>
                <w:rFonts w:eastAsia="仿宋"/>
                <w:sz w:val="20"/>
              </w:rPr>
              <w:t>2022-8-17</w:t>
            </w:r>
          </w:p>
        </w:tc>
        <w:tc>
          <w:tcPr>
            <w:tcW w:w="709" w:type="dxa"/>
            <w:vAlign w:val="center"/>
          </w:tcPr>
          <w:p w:rsidR="00327ED1" w:rsidRDefault="00327ED1" w:rsidP="00AE79E6">
            <w:pPr>
              <w:jc w:val="center"/>
              <w:rPr>
                <w:rFonts w:eastAsia="仿宋"/>
                <w:sz w:val="20"/>
              </w:rPr>
            </w:pPr>
            <w:r>
              <w:rPr>
                <w:rFonts w:eastAsia="仿宋"/>
                <w:sz w:val="20"/>
              </w:rPr>
              <w:t>2022-12-10</w:t>
            </w:r>
          </w:p>
        </w:tc>
        <w:tc>
          <w:tcPr>
            <w:tcW w:w="1842" w:type="dxa"/>
            <w:vAlign w:val="center"/>
          </w:tcPr>
          <w:p w:rsidR="00327ED1" w:rsidRDefault="00327ED1" w:rsidP="006E33EC">
            <w:pPr>
              <w:jc w:val="center"/>
              <w:rPr>
                <w:sz w:val="20"/>
              </w:rPr>
            </w:pPr>
            <w:r>
              <w:rPr>
                <w:rFonts w:eastAsia="仿宋"/>
                <w:sz w:val="20"/>
              </w:rPr>
              <w:t>2.10%</w:t>
            </w:r>
          </w:p>
        </w:tc>
        <w:tc>
          <w:tcPr>
            <w:tcW w:w="1370" w:type="dxa"/>
            <w:vAlign w:val="center"/>
          </w:tcPr>
          <w:p w:rsidR="00327ED1" w:rsidRDefault="00327ED1" w:rsidP="006E7841">
            <w:pPr>
              <w:jc w:val="center"/>
              <w:rPr>
                <w:kern w:val="0"/>
                <w:sz w:val="20"/>
              </w:rPr>
            </w:pPr>
            <w:r>
              <w:rPr>
                <w:kern w:val="0"/>
                <w:sz w:val="20"/>
              </w:rPr>
              <w:t>-</w:t>
            </w:r>
          </w:p>
        </w:tc>
        <w:tc>
          <w:tcPr>
            <w:tcW w:w="567" w:type="dxa"/>
            <w:vAlign w:val="center"/>
          </w:tcPr>
          <w:p w:rsidR="00327ED1" w:rsidRDefault="00327ED1" w:rsidP="00CF527F">
            <w:pPr>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8A3E3E" w:rsidP="00327ED1">
            <w:pPr>
              <w:widowControl/>
              <w:jc w:val="center"/>
              <w:rPr>
                <w:kern w:val="0"/>
                <w:sz w:val="20"/>
              </w:rPr>
            </w:pPr>
            <w:r>
              <w:rPr>
                <w:kern w:val="0"/>
                <w:sz w:val="20"/>
              </w:rPr>
              <w:t>1</w:t>
            </w:r>
            <w:r w:rsidR="00327ED1">
              <w:rPr>
                <w:rFonts w:hint="eastAsia"/>
                <w:kern w:val="0"/>
                <w:sz w:val="20"/>
              </w:rPr>
              <w:t>4</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平安银行广州珠江新城支行</w:t>
            </w:r>
          </w:p>
        </w:tc>
        <w:tc>
          <w:tcPr>
            <w:tcW w:w="1134" w:type="dxa"/>
            <w:vAlign w:val="center"/>
          </w:tcPr>
          <w:p w:rsidR="008A3E3E" w:rsidRDefault="008A3E3E">
            <w:pPr>
              <w:jc w:val="center"/>
              <w:rPr>
                <w:rFonts w:eastAsia="仿宋"/>
                <w:sz w:val="20"/>
              </w:rPr>
            </w:pPr>
            <w:r>
              <w:rPr>
                <w:rFonts w:eastAsia="仿宋"/>
                <w:sz w:val="20"/>
              </w:rPr>
              <w:t>结构性存款</w:t>
            </w:r>
          </w:p>
        </w:tc>
        <w:tc>
          <w:tcPr>
            <w:tcW w:w="1276" w:type="dxa"/>
            <w:vAlign w:val="center"/>
          </w:tcPr>
          <w:p w:rsidR="008A3E3E" w:rsidRDefault="008A3E3E">
            <w:pPr>
              <w:jc w:val="center"/>
              <w:rPr>
                <w:rFonts w:eastAsia="仿宋"/>
                <w:sz w:val="20"/>
              </w:rPr>
            </w:pPr>
            <w:r>
              <w:rPr>
                <w:rFonts w:eastAsia="仿宋"/>
                <w:sz w:val="20"/>
              </w:rPr>
              <w:t>平安银行对公结构性存款（</w:t>
            </w:r>
            <w:r>
              <w:rPr>
                <w:rFonts w:eastAsia="仿宋"/>
                <w:sz w:val="20"/>
              </w:rPr>
              <w:t>100%</w:t>
            </w:r>
            <w:r>
              <w:rPr>
                <w:rFonts w:eastAsia="仿宋"/>
                <w:sz w:val="20"/>
              </w:rPr>
              <w:t>保本挂钩指数）</w:t>
            </w:r>
            <w:r>
              <w:rPr>
                <w:rFonts w:eastAsia="仿宋"/>
                <w:sz w:val="20"/>
              </w:rPr>
              <w:t>2022</w:t>
            </w:r>
            <w:r>
              <w:rPr>
                <w:rFonts w:eastAsia="仿宋"/>
                <w:sz w:val="20"/>
              </w:rPr>
              <w:t>年</w:t>
            </w:r>
            <w:r>
              <w:rPr>
                <w:rFonts w:eastAsia="仿宋"/>
                <w:sz w:val="20"/>
              </w:rPr>
              <w:t>TGG22290034</w:t>
            </w:r>
            <w:r>
              <w:rPr>
                <w:rFonts w:eastAsia="仿宋"/>
                <w:sz w:val="20"/>
              </w:rPr>
              <w:t>期人民币产品</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2022-09-02</w:t>
            </w:r>
          </w:p>
        </w:tc>
        <w:tc>
          <w:tcPr>
            <w:tcW w:w="709" w:type="dxa"/>
            <w:vAlign w:val="center"/>
          </w:tcPr>
          <w:p w:rsidR="008A3E3E" w:rsidRDefault="008A3E3E">
            <w:pPr>
              <w:jc w:val="center"/>
              <w:rPr>
                <w:rFonts w:eastAsia="仿宋"/>
                <w:sz w:val="20"/>
              </w:rPr>
            </w:pPr>
            <w:r>
              <w:rPr>
                <w:rFonts w:eastAsia="仿宋"/>
                <w:sz w:val="20"/>
              </w:rPr>
              <w:t>2022-12-02</w:t>
            </w:r>
          </w:p>
        </w:tc>
        <w:tc>
          <w:tcPr>
            <w:tcW w:w="1842" w:type="dxa"/>
            <w:vAlign w:val="center"/>
          </w:tcPr>
          <w:p w:rsidR="008A3E3E" w:rsidRDefault="008A3E3E">
            <w:pPr>
              <w:jc w:val="center"/>
              <w:rPr>
                <w:rFonts w:eastAsia="仿宋"/>
                <w:sz w:val="20"/>
              </w:rPr>
            </w:pPr>
            <w:r>
              <w:rPr>
                <w:rFonts w:eastAsia="仿宋"/>
                <w:sz w:val="20"/>
              </w:rPr>
              <w:t>0.30%/3.05%</w:t>
            </w:r>
          </w:p>
        </w:tc>
        <w:tc>
          <w:tcPr>
            <w:tcW w:w="1370" w:type="dxa"/>
            <w:vAlign w:val="center"/>
          </w:tcPr>
          <w:p w:rsidR="008A3E3E" w:rsidRDefault="008A3E3E">
            <w:pPr>
              <w:widowControl/>
              <w:jc w:val="center"/>
              <w:rPr>
                <w:kern w:val="0"/>
                <w:sz w:val="20"/>
              </w:rPr>
            </w:pPr>
            <w:r>
              <w:rPr>
                <w:kern w:val="0"/>
                <w:sz w:val="20"/>
              </w:rPr>
              <w:t>190,011.07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B4934" w:rsidP="00327ED1">
            <w:pPr>
              <w:widowControl/>
              <w:jc w:val="center"/>
              <w:rPr>
                <w:kern w:val="0"/>
                <w:sz w:val="20"/>
              </w:rPr>
            </w:pPr>
            <w:r>
              <w:rPr>
                <w:rFonts w:hint="eastAsia"/>
                <w:kern w:val="0"/>
                <w:sz w:val="20"/>
              </w:rPr>
              <w:t>1</w:t>
            </w:r>
            <w:r w:rsidR="00327ED1">
              <w:rPr>
                <w:rFonts w:hint="eastAsia"/>
                <w:kern w:val="0"/>
                <w:sz w:val="20"/>
              </w:rPr>
              <w:t>5</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widowControl/>
              <w:jc w:val="center"/>
              <w:rPr>
                <w:rFonts w:eastAsia="仿宋"/>
                <w:kern w:val="0"/>
                <w:sz w:val="20"/>
              </w:rPr>
            </w:pPr>
            <w:r>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4B4934">
        <w:trPr>
          <w:trHeight w:val="60"/>
        </w:trPr>
        <w:tc>
          <w:tcPr>
            <w:tcW w:w="389" w:type="dxa"/>
            <w:vMerge w:val="restart"/>
            <w:vAlign w:val="center"/>
          </w:tcPr>
          <w:p w:rsidR="008A3E3E" w:rsidRDefault="004B4934" w:rsidP="00327ED1">
            <w:pPr>
              <w:widowControl/>
              <w:jc w:val="center"/>
              <w:rPr>
                <w:kern w:val="0"/>
                <w:sz w:val="20"/>
              </w:rPr>
            </w:pPr>
            <w:r>
              <w:rPr>
                <w:rFonts w:hint="eastAsia"/>
                <w:kern w:val="0"/>
                <w:sz w:val="20"/>
              </w:rPr>
              <w:t>1</w:t>
            </w:r>
            <w:r w:rsidR="00327ED1">
              <w:rPr>
                <w:rFonts w:hint="eastAsia"/>
                <w:kern w:val="0"/>
                <w:sz w:val="20"/>
              </w:rPr>
              <w:t>6</w:t>
            </w: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jc w:val="center"/>
              <w:rPr>
                <w:rFonts w:eastAsia="仿宋"/>
                <w:sz w:val="20"/>
              </w:rPr>
            </w:pPr>
            <w:r>
              <w:rPr>
                <w:rFonts w:eastAsia="仿宋"/>
                <w:sz w:val="20"/>
              </w:rPr>
              <w:t>兴业银行汕头分行营业部</w:t>
            </w:r>
          </w:p>
        </w:tc>
        <w:tc>
          <w:tcPr>
            <w:tcW w:w="1134" w:type="dxa"/>
            <w:vMerge w:val="restart"/>
            <w:vAlign w:val="center"/>
          </w:tcPr>
          <w:p w:rsidR="008A3E3E" w:rsidRDefault="008A3E3E">
            <w:pPr>
              <w:jc w:val="center"/>
              <w:rPr>
                <w:rFonts w:eastAsia="仿宋"/>
                <w:sz w:val="20"/>
              </w:rPr>
            </w:pPr>
            <w:r>
              <w:rPr>
                <w:rFonts w:eastAsia="仿宋"/>
                <w:sz w:val="20"/>
              </w:rPr>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t>2023-2-17</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91,875.00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kern w:val="0"/>
                <w:sz w:val="20"/>
              </w:rPr>
            </w:pPr>
            <w:r>
              <w:t>89</w:t>
            </w:r>
            <w:r>
              <w:rPr>
                <w:rFonts w:hint="eastAsia"/>
              </w:rPr>
              <w:t>,</w:t>
            </w:r>
            <w:r>
              <w:t>250</w:t>
            </w:r>
            <w:r>
              <w:rPr>
                <w:rFonts w:hint="eastAsia"/>
              </w:rPr>
              <w:t>.00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327ED1">
            <w:pPr>
              <w:widowControl/>
              <w:jc w:val="center"/>
              <w:rPr>
                <w:kern w:val="0"/>
                <w:sz w:val="20"/>
              </w:rPr>
            </w:pPr>
            <w:r>
              <w:rPr>
                <w:rFonts w:hint="eastAsia"/>
                <w:kern w:val="0"/>
                <w:sz w:val="20"/>
              </w:rPr>
              <w:t>1</w:t>
            </w:r>
            <w:r w:rsidR="00327ED1">
              <w:rPr>
                <w:rFonts w:hint="eastAsia"/>
                <w:kern w:val="0"/>
                <w:sz w:val="20"/>
              </w:rPr>
              <w:t>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兴业银行汕头分行营业部</w:t>
            </w:r>
          </w:p>
        </w:tc>
        <w:tc>
          <w:tcPr>
            <w:tcW w:w="1134" w:type="dxa"/>
            <w:vAlign w:val="center"/>
          </w:tcPr>
          <w:p w:rsidR="008A3E3E" w:rsidRDefault="008A3E3E">
            <w:pPr>
              <w:jc w:val="center"/>
              <w:rPr>
                <w:rFonts w:eastAsia="仿宋"/>
                <w:sz w:val="20"/>
              </w:rPr>
            </w:pPr>
            <w:r>
              <w:rPr>
                <w:rFonts w:eastAsia="仿宋"/>
                <w:sz w:val="20"/>
              </w:rPr>
              <w:t>定期存款</w:t>
            </w:r>
          </w:p>
        </w:tc>
        <w:tc>
          <w:tcPr>
            <w:tcW w:w="1276" w:type="dxa"/>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13,000.00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3</w:t>
            </w:r>
            <w:r>
              <w:rPr>
                <w:rFonts w:eastAsia="仿宋"/>
                <w:sz w:val="20"/>
              </w:rPr>
              <w:t>年期（可转让）</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327ED1" w:rsidP="007242BF">
            <w:pPr>
              <w:widowControl/>
              <w:jc w:val="center"/>
              <w:rPr>
                <w:kern w:val="0"/>
                <w:sz w:val="20"/>
              </w:rPr>
            </w:pPr>
            <w:r>
              <w:rPr>
                <w:rFonts w:hint="eastAsia"/>
                <w:kern w:val="0"/>
                <w:sz w:val="20"/>
              </w:rPr>
              <w:t>18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jc w:val="right"/>
              <w:rPr>
                <w:rFonts w:eastAsia="仿宋"/>
                <w:color w:val="000000"/>
                <w:sz w:val="20"/>
              </w:rPr>
            </w:pPr>
            <w:r>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327ED1" w:rsidP="004B4934">
            <w:pPr>
              <w:widowControl/>
              <w:jc w:val="center"/>
              <w:rPr>
                <w:kern w:val="0"/>
                <w:sz w:val="20"/>
              </w:rPr>
            </w:pPr>
            <w:r>
              <w:rPr>
                <w:rFonts w:hint="eastAsia"/>
                <w:kern w:val="0"/>
                <w:sz w:val="20"/>
              </w:rPr>
              <w:t>19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二元型）</w:t>
            </w:r>
          </w:p>
        </w:tc>
        <w:tc>
          <w:tcPr>
            <w:tcW w:w="992" w:type="dxa"/>
            <w:vAlign w:val="center"/>
          </w:tcPr>
          <w:p w:rsidR="008A3E3E" w:rsidRDefault="008A3E3E">
            <w:pPr>
              <w:jc w:val="right"/>
              <w:rPr>
                <w:rFonts w:eastAsia="仿宋"/>
                <w:sz w:val="20"/>
              </w:rPr>
            </w:pPr>
            <w:r>
              <w:rPr>
                <w:rFonts w:eastAsia="仿宋"/>
                <w:sz w:val="20"/>
              </w:rPr>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370" w:type="dxa"/>
            <w:vAlign w:val="center"/>
          </w:tcPr>
          <w:p w:rsidR="008A3E3E" w:rsidRDefault="008A3E3E">
            <w:pPr>
              <w:jc w:val="right"/>
              <w:rPr>
                <w:rFonts w:eastAsia="仿宋"/>
                <w:color w:val="000000"/>
                <w:sz w:val="20"/>
              </w:rPr>
            </w:pPr>
            <w:r>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327ED1">
        <w:trPr>
          <w:trHeight w:val="20"/>
        </w:trPr>
        <w:tc>
          <w:tcPr>
            <w:tcW w:w="389" w:type="dxa"/>
            <w:vAlign w:val="center"/>
          </w:tcPr>
          <w:p w:rsidR="00327ED1" w:rsidRDefault="00327ED1" w:rsidP="004B4934">
            <w:pPr>
              <w:widowControl/>
              <w:jc w:val="center"/>
              <w:rPr>
                <w:kern w:val="0"/>
                <w:sz w:val="20"/>
              </w:rPr>
            </w:pPr>
            <w:r>
              <w:rPr>
                <w:rFonts w:hint="eastAsia"/>
                <w:kern w:val="0"/>
                <w:sz w:val="20"/>
              </w:rPr>
              <w:t>20</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jc w:val="center"/>
              <w:rPr>
                <w:rFonts w:eastAsia="仿宋"/>
                <w:sz w:val="20"/>
              </w:rPr>
            </w:pPr>
            <w:r>
              <w:rPr>
                <w:rFonts w:eastAsia="仿宋"/>
                <w:sz w:val="20"/>
              </w:rPr>
              <w:t>南洋商业银行（中国）有限公司汕头分行</w:t>
            </w:r>
          </w:p>
        </w:tc>
        <w:tc>
          <w:tcPr>
            <w:tcW w:w="1134"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本金保证浮动收益型</w:t>
            </w:r>
          </w:p>
        </w:tc>
        <w:tc>
          <w:tcPr>
            <w:tcW w:w="1276"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“汇益达”汇率挂钩人民币结构性存款</w:t>
            </w:r>
          </w:p>
        </w:tc>
        <w:tc>
          <w:tcPr>
            <w:tcW w:w="992" w:type="dxa"/>
            <w:vAlign w:val="center"/>
          </w:tcPr>
          <w:p w:rsidR="00327ED1" w:rsidRPr="005E5084" w:rsidRDefault="00327ED1">
            <w:pPr>
              <w:jc w:val="right"/>
              <w:rPr>
                <w:rFonts w:eastAsia="仿宋"/>
                <w:sz w:val="20"/>
              </w:rPr>
            </w:pPr>
            <w:r w:rsidRPr="005E5084">
              <w:rPr>
                <w:rFonts w:eastAsia="仿宋"/>
                <w:sz w:val="20"/>
              </w:rPr>
              <w:t>3,000.00</w:t>
            </w:r>
          </w:p>
        </w:tc>
        <w:tc>
          <w:tcPr>
            <w:tcW w:w="709" w:type="dxa"/>
            <w:vAlign w:val="center"/>
          </w:tcPr>
          <w:p w:rsidR="00327ED1" w:rsidRPr="005E5084" w:rsidRDefault="00327ED1">
            <w:pPr>
              <w:jc w:val="center"/>
              <w:rPr>
                <w:rFonts w:eastAsia="仿宋"/>
                <w:sz w:val="20"/>
              </w:rPr>
            </w:pPr>
            <w:r w:rsidRPr="005E5084">
              <w:rPr>
                <w:rFonts w:eastAsia="仿宋"/>
                <w:sz w:val="20"/>
              </w:rPr>
              <w:t>2023-1-17</w:t>
            </w:r>
          </w:p>
        </w:tc>
        <w:tc>
          <w:tcPr>
            <w:tcW w:w="709" w:type="dxa"/>
            <w:vAlign w:val="center"/>
          </w:tcPr>
          <w:p w:rsidR="00327ED1" w:rsidRPr="005E5084" w:rsidRDefault="00327ED1">
            <w:pPr>
              <w:jc w:val="center"/>
              <w:rPr>
                <w:rFonts w:eastAsia="仿宋"/>
                <w:sz w:val="20"/>
              </w:rPr>
            </w:pPr>
            <w:r w:rsidRPr="005E5084">
              <w:rPr>
                <w:rFonts w:eastAsia="仿宋"/>
                <w:sz w:val="20"/>
              </w:rPr>
              <w:t>2023-7-17</w:t>
            </w:r>
          </w:p>
        </w:tc>
        <w:tc>
          <w:tcPr>
            <w:tcW w:w="1842" w:type="dxa"/>
            <w:vAlign w:val="center"/>
          </w:tcPr>
          <w:p w:rsidR="00327ED1" w:rsidRPr="005E5084" w:rsidRDefault="00327ED1">
            <w:pPr>
              <w:jc w:val="center"/>
              <w:rPr>
                <w:rFonts w:eastAsia="仿宋"/>
                <w:sz w:val="20"/>
              </w:rPr>
            </w:pPr>
            <w:r w:rsidRPr="00327ED1">
              <w:rPr>
                <w:rFonts w:eastAsia="仿宋"/>
                <w:sz w:val="20"/>
              </w:rPr>
              <w:t>2.8%</w:t>
            </w:r>
          </w:p>
        </w:tc>
        <w:tc>
          <w:tcPr>
            <w:tcW w:w="1370" w:type="dxa"/>
            <w:vAlign w:val="center"/>
          </w:tcPr>
          <w:p w:rsidR="00327ED1" w:rsidRDefault="00327ED1" w:rsidP="00327ED1">
            <w:pPr>
              <w:jc w:val="right"/>
              <w:rPr>
                <w:sz w:val="22"/>
                <w:szCs w:val="22"/>
              </w:rPr>
            </w:pPr>
            <w:r w:rsidRPr="00327ED1">
              <w:rPr>
                <w:kern w:val="0"/>
                <w:sz w:val="20"/>
              </w:rPr>
              <w:t>416,547.95</w:t>
            </w:r>
          </w:p>
        </w:tc>
        <w:tc>
          <w:tcPr>
            <w:tcW w:w="567" w:type="dxa"/>
            <w:vAlign w:val="center"/>
          </w:tcPr>
          <w:p w:rsidR="00327ED1" w:rsidRDefault="00327ED1" w:rsidP="00AD1BAC">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327ED1">
              <w:rPr>
                <w:rFonts w:hint="eastAsia"/>
                <w:kern w:val="0"/>
                <w:sz w:val="20"/>
              </w:rPr>
              <w:t>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w:t>
            </w:r>
            <w:r>
              <w:rPr>
                <w:rFonts w:eastAsia="仿宋"/>
                <w:sz w:val="20"/>
              </w:rPr>
              <w:lastRenderedPageBreak/>
              <w:t>分行</w:t>
            </w:r>
          </w:p>
        </w:tc>
        <w:tc>
          <w:tcPr>
            <w:tcW w:w="1134" w:type="dxa"/>
            <w:vAlign w:val="center"/>
          </w:tcPr>
          <w:p w:rsidR="008A3E3E" w:rsidRDefault="008A3E3E">
            <w:pPr>
              <w:jc w:val="center"/>
              <w:rPr>
                <w:rFonts w:eastAsia="仿宋"/>
                <w:sz w:val="20"/>
              </w:rPr>
            </w:pPr>
            <w:r>
              <w:rPr>
                <w:rFonts w:eastAsia="仿宋"/>
                <w:sz w:val="20"/>
              </w:rPr>
              <w:lastRenderedPageBreak/>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交通银行蕴通财富定期型结构性存</w:t>
            </w:r>
            <w:r>
              <w:rPr>
                <w:rFonts w:eastAsia="仿宋"/>
                <w:sz w:val="20"/>
              </w:rPr>
              <w:lastRenderedPageBreak/>
              <w:t>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lastRenderedPageBreak/>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370" w:type="dxa"/>
            <w:vAlign w:val="center"/>
          </w:tcPr>
          <w:p w:rsidR="008A3E3E" w:rsidRDefault="008A3E3E">
            <w:pPr>
              <w:jc w:val="center"/>
              <w:rPr>
                <w:rFonts w:eastAsia="仿宋"/>
                <w:sz w:val="20"/>
              </w:rPr>
            </w:pPr>
            <w:r>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lastRenderedPageBreak/>
              <w:t>2</w:t>
            </w:r>
            <w:r w:rsidR="00302B8A">
              <w:rPr>
                <w:rFonts w:hint="eastAsia"/>
                <w:kern w:val="0"/>
                <w:sz w:val="20"/>
              </w:rPr>
              <w:t>2</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370" w:type="dxa"/>
            <w:vAlign w:val="center"/>
          </w:tcPr>
          <w:p w:rsidR="008A3E3E" w:rsidRDefault="008A3E3E">
            <w:pPr>
              <w:jc w:val="center"/>
              <w:rPr>
                <w:sz w:val="22"/>
                <w:szCs w:val="22"/>
              </w:rPr>
            </w:pPr>
            <w:r>
              <w:rPr>
                <w:sz w:val="22"/>
                <w:szCs w:val="22"/>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302B8A">
              <w:rPr>
                <w:rFonts w:hint="eastAsia"/>
                <w:kern w:val="0"/>
                <w:sz w:val="20"/>
              </w:rPr>
              <w:t>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中国银行股份有限公司汕头金园支行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1,880.00</w:t>
            </w:r>
          </w:p>
        </w:tc>
        <w:tc>
          <w:tcPr>
            <w:tcW w:w="709" w:type="dxa"/>
            <w:vAlign w:val="center"/>
          </w:tcPr>
          <w:p w:rsidR="008A3E3E" w:rsidRDefault="008A3E3E">
            <w:pPr>
              <w:widowControl/>
              <w:jc w:val="center"/>
              <w:rPr>
                <w:rFonts w:eastAsia="仿宋"/>
                <w:kern w:val="0"/>
                <w:sz w:val="20"/>
              </w:rPr>
            </w:pPr>
            <w:r>
              <w:rPr>
                <w:rFonts w:eastAsia="仿宋"/>
                <w:kern w:val="0"/>
                <w:sz w:val="20"/>
              </w:rPr>
              <w:t>2023-2-3</w:t>
            </w:r>
          </w:p>
        </w:tc>
        <w:tc>
          <w:tcPr>
            <w:tcW w:w="709" w:type="dxa"/>
            <w:vAlign w:val="center"/>
          </w:tcPr>
          <w:p w:rsidR="008A3E3E" w:rsidRDefault="008A3E3E">
            <w:pPr>
              <w:widowControl/>
              <w:jc w:val="center"/>
              <w:rPr>
                <w:rFonts w:eastAsia="仿宋"/>
                <w:kern w:val="0"/>
                <w:sz w:val="20"/>
              </w:rPr>
            </w:pPr>
            <w:r>
              <w:rPr>
                <w:rFonts w:eastAsia="仿宋"/>
                <w:kern w:val="0"/>
                <w:sz w:val="20"/>
              </w:rPr>
              <w:t>2023-7-3</w:t>
            </w:r>
          </w:p>
        </w:tc>
        <w:tc>
          <w:tcPr>
            <w:tcW w:w="1842" w:type="dxa"/>
            <w:vAlign w:val="center"/>
          </w:tcPr>
          <w:p w:rsidR="008A3E3E" w:rsidRDefault="00302B8A">
            <w:pPr>
              <w:widowControl/>
              <w:jc w:val="center"/>
              <w:rPr>
                <w:rFonts w:eastAsia="仿宋"/>
                <w:color w:val="000000"/>
                <w:kern w:val="0"/>
                <w:sz w:val="20"/>
              </w:rPr>
            </w:pPr>
            <w:r w:rsidRPr="00302B8A">
              <w:rPr>
                <w:rFonts w:eastAsia="仿宋"/>
                <w:color w:val="000000"/>
                <w:sz w:val="20"/>
              </w:rPr>
              <w:t>1.39%</w:t>
            </w:r>
          </w:p>
        </w:tc>
        <w:tc>
          <w:tcPr>
            <w:tcW w:w="1370" w:type="dxa"/>
            <w:vAlign w:val="center"/>
          </w:tcPr>
          <w:p w:rsidR="008A3E3E" w:rsidRDefault="00302B8A">
            <w:pPr>
              <w:jc w:val="center"/>
              <w:rPr>
                <w:kern w:val="0"/>
                <w:sz w:val="20"/>
              </w:rPr>
            </w:pPr>
            <w:r w:rsidRPr="00302B8A">
              <w:rPr>
                <w:kern w:val="0"/>
                <w:sz w:val="20"/>
              </w:rPr>
              <w:t>107,391.78</w:t>
            </w:r>
          </w:p>
        </w:tc>
        <w:tc>
          <w:tcPr>
            <w:tcW w:w="567" w:type="dxa"/>
            <w:vAlign w:val="center"/>
          </w:tcPr>
          <w:p w:rsidR="008A3E3E" w:rsidRDefault="00302B8A">
            <w:pPr>
              <w:jc w:val="center"/>
              <w:rPr>
                <w:rFonts w:eastAsia="仿宋"/>
                <w:sz w:val="20"/>
              </w:rPr>
            </w:pPr>
            <w:r>
              <w:rPr>
                <w:rFonts w:eastAsia="仿宋" w:hint="eastAsia"/>
                <w:sz w:val="20"/>
              </w:rPr>
              <w:t>已赎回</w:t>
            </w:r>
          </w:p>
        </w:tc>
      </w:tr>
      <w:tr w:rsidR="00302B8A" w:rsidTr="00E52D07">
        <w:trPr>
          <w:trHeight w:val="1872"/>
        </w:trPr>
        <w:tc>
          <w:tcPr>
            <w:tcW w:w="389" w:type="dxa"/>
            <w:vAlign w:val="center"/>
          </w:tcPr>
          <w:p w:rsidR="00302B8A" w:rsidRDefault="00302B8A" w:rsidP="00302B8A">
            <w:pPr>
              <w:widowControl/>
              <w:jc w:val="center"/>
              <w:rPr>
                <w:kern w:val="0"/>
                <w:sz w:val="20"/>
              </w:rPr>
            </w:pPr>
            <w:r>
              <w:rPr>
                <w:kern w:val="0"/>
                <w:sz w:val="20"/>
              </w:rPr>
              <w:t>2</w:t>
            </w:r>
            <w:r>
              <w:rPr>
                <w:rFonts w:hint="eastAsia"/>
                <w:kern w:val="0"/>
                <w:sz w:val="20"/>
              </w:rPr>
              <w:t>4</w:t>
            </w:r>
          </w:p>
        </w:tc>
        <w:tc>
          <w:tcPr>
            <w:tcW w:w="746" w:type="dxa"/>
            <w:vAlign w:val="center"/>
          </w:tcPr>
          <w:p w:rsidR="00302B8A" w:rsidRDefault="00302B8A">
            <w:pPr>
              <w:jc w:val="center"/>
              <w:rPr>
                <w:rFonts w:eastAsia="仿宋"/>
                <w:sz w:val="20"/>
              </w:rPr>
            </w:pPr>
            <w:r>
              <w:rPr>
                <w:rFonts w:eastAsia="仿宋"/>
                <w:sz w:val="20"/>
              </w:rPr>
              <w:t>天亿马</w:t>
            </w:r>
          </w:p>
        </w:tc>
        <w:tc>
          <w:tcPr>
            <w:tcW w:w="1134" w:type="dxa"/>
            <w:vAlign w:val="center"/>
          </w:tcPr>
          <w:p w:rsidR="00302B8A" w:rsidRDefault="00302B8A">
            <w:pPr>
              <w:jc w:val="center"/>
              <w:rPr>
                <w:rFonts w:eastAsia="仿宋"/>
                <w:sz w:val="20"/>
              </w:rPr>
            </w:pPr>
            <w:r>
              <w:rPr>
                <w:rFonts w:eastAsia="仿宋"/>
                <w:sz w:val="20"/>
              </w:rPr>
              <w:t>中国银行股份有限公司汕头金园支行</w:t>
            </w:r>
          </w:p>
        </w:tc>
        <w:tc>
          <w:tcPr>
            <w:tcW w:w="1134" w:type="dxa"/>
            <w:vAlign w:val="center"/>
          </w:tcPr>
          <w:p w:rsidR="00302B8A" w:rsidRDefault="00302B8A">
            <w:pPr>
              <w:jc w:val="center"/>
              <w:rPr>
                <w:rFonts w:eastAsia="仿宋"/>
                <w:sz w:val="20"/>
              </w:rPr>
            </w:pPr>
            <w:r>
              <w:rPr>
                <w:rFonts w:eastAsia="仿宋"/>
                <w:sz w:val="20"/>
              </w:rPr>
              <w:t>保本浮动收益型</w:t>
            </w:r>
          </w:p>
        </w:tc>
        <w:tc>
          <w:tcPr>
            <w:tcW w:w="1276" w:type="dxa"/>
            <w:vAlign w:val="center"/>
          </w:tcPr>
          <w:p w:rsidR="00302B8A" w:rsidRDefault="00302B8A">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02B8A" w:rsidRDefault="00302B8A">
            <w:pPr>
              <w:widowControl/>
              <w:jc w:val="right"/>
              <w:rPr>
                <w:rFonts w:eastAsia="仿宋"/>
                <w:color w:val="000000"/>
                <w:kern w:val="0"/>
                <w:sz w:val="20"/>
              </w:rPr>
            </w:pPr>
            <w:r>
              <w:rPr>
                <w:rFonts w:eastAsia="仿宋"/>
                <w:color w:val="000000"/>
                <w:kern w:val="0"/>
                <w:sz w:val="20"/>
              </w:rPr>
              <w:t>1,920.00</w:t>
            </w:r>
          </w:p>
        </w:tc>
        <w:tc>
          <w:tcPr>
            <w:tcW w:w="709" w:type="dxa"/>
            <w:vAlign w:val="center"/>
          </w:tcPr>
          <w:p w:rsidR="00302B8A" w:rsidRDefault="00302B8A">
            <w:pPr>
              <w:widowControl/>
              <w:jc w:val="center"/>
              <w:rPr>
                <w:rFonts w:eastAsia="仿宋"/>
                <w:kern w:val="0"/>
                <w:sz w:val="20"/>
              </w:rPr>
            </w:pPr>
            <w:r>
              <w:rPr>
                <w:rFonts w:eastAsia="仿宋"/>
                <w:kern w:val="0"/>
                <w:sz w:val="20"/>
              </w:rPr>
              <w:t>2023-2-3</w:t>
            </w:r>
          </w:p>
        </w:tc>
        <w:tc>
          <w:tcPr>
            <w:tcW w:w="709" w:type="dxa"/>
            <w:vAlign w:val="center"/>
          </w:tcPr>
          <w:p w:rsidR="00302B8A" w:rsidRDefault="00302B8A">
            <w:pPr>
              <w:widowControl/>
              <w:jc w:val="center"/>
              <w:rPr>
                <w:rFonts w:eastAsia="仿宋"/>
                <w:kern w:val="0"/>
                <w:sz w:val="20"/>
              </w:rPr>
            </w:pPr>
            <w:r>
              <w:rPr>
                <w:rFonts w:eastAsia="仿宋"/>
                <w:kern w:val="0"/>
                <w:sz w:val="20"/>
              </w:rPr>
              <w:t>2023-7-4</w:t>
            </w:r>
          </w:p>
        </w:tc>
        <w:tc>
          <w:tcPr>
            <w:tcW w:w="1842" w:type="dxa"/>
            <w:vAlign w:val="center"/>
          </w:tcPr>
          <w:p w:rsidR="00302B8A" w:rsidRDefault="00302B8A">
            <w:pPr>
              <w:widowControl/>
              <w:jc w:val="center"/>
              <w:rPr>
                <w:rFonts w:eastAsia="仿宋"/>
                <w:color w:val="000000"/>
                <w:kern w:val="0"/>
                <w:sz w:val="20"/>
              </w:rPr>
            </w:pPr>
            <w:r w:rsidRPr="00302B8A">
              <w:rPr>
                <w:rFonts w:eastAsia="仿宋"/>
                <w:color w:val="000000"/>
                <w:sz w:val="20"/>
              </w:rPr>
              <w:t>4.43%</w:t>
            </w:r>
          </w:p>
        </w:tc>
        <w:tc>
          <w:tcPr>
            <w:tcW w:w="1370" w:type="dxa"/>
            <w:vAlign w:val="center"/>
          </w:tcPr>
          <w:p w:rsidR="00302B8A" w:rsidRDefault="00302B8A">
            <w:pPr>
              <w:jc w:val="center"/>
              <w:rPr>
                <w:kern w:val="0"/>
                <w:sz w:val="20"/>
              </w:rPr>
            </w:pPr>
            <w:r w:rsidRPr="00302B8A">
              <w:rPr>
                <w:kern w:val="0"/>
                <w:sz w:val="20"/>
              </w:rPr>
              <w:t>351,875.51</w:t>
            </w:r>
          </w:p>
        </w:tc>
        <w:tc>
          <w:tcPr>
            <w:tcW w:w="567" w:type="dxa"/>
            <w:vAlign w:val="center"/>
          </w:tcPr>
          <w:p w:rsidR="00302B8A" w:rsidRDefault="00302B8A" w:rsidP="00AD1BAC">
            <w:pPr>
              <w:jc w:val="center"/>
              <w:rPr>
                <w:rFonts w:eastAsia="仿宋"/>
                <w:sz w:val="20"/>
              </w:rPr>
            </w:pPr>
            <w:r>
              <w:rPr>
                <w:rFonts w:eastAsia="仿宋" w:hint="eastAsia"/>
                <w:sz w:val="20"/>
              </w:rPr>
              <w:t>已赎回</w:t>
            </w:r>
          </w:p>
        </w:tc>
      </w:tr>
      <w:tr w:rsidR="00287CE7" w:rsidTr="00670A5E">
        <w:trPr>
          <w:trHeight w:val="411"/>
        </w:trPr>
        <w:tc>
          <w:tcPr>
            <w:tcW w:w="389" w:type="dxa"/>
            <w:vMerge w:val="restart"/>
            <w:vAlign w:val="center"/>
          </w:tcPr>
          <w:p w:rsidR="00287CE7" w:rsidRDefault="00287CE7" w:rsidP="004B4934">
            <w:pPr>
              <w:widowControl/>
              <w:jc w:val="center"/>
              <w:rPr>
                <w:rFonts w:eastAsia="仿宋"/>
                <w:color w:val="000000"/>
                <w:kern w:val="0"/>
                <w:sz w:val="20"/>
              </w:rPr>
            </w:pPr>
            <w:r>
              <w:rPr>
                <w:rFonts w:eastAsia="仿宋"/>
                <w:color w:val="000000"/>
                <w:kern w:val="0"/>
                <w:sz w:val="20"/>
              </w:rPr>
              <w:t>2</w:t>
            </w:r>
            <w:r w:rsidR="00302B8A">
              <w:rPr>
                <w:rFonts w:eastAsia="仿宋" w:hint="eastAsia"/>
                <w:color w:val="000000"/>
                <w:kern w:val="0"/>
                <w:sz w:val="20"/>
              </w:rPr>
              <w:t>5</w:t>
            </w:r>
          </w:p>
        </w:tc>
        <w:tc>
          <w:tcPr>
            <w:tcW w:w="746" w:type="dxa"/>
            <w:vMerge w:val="restart"/>
            <w:vAlign w:val="center"/>
          </w:tcPr>
          <w:p w:rsidR="00287CE7" w:rsidRDefault="00287CE7">
            <w:pPr>
              <w:jc w:val="center"/>
              <w:rPr>
                <w:rFonts w:eastAsia="仿宋"/>
                <w:sz w:val="20"/>
              </w:rPr>
            </w:pPr>
            <w:r>
              <w:rPr>
                <w:rFonts w:eastAsia="仿宋"/>
                <w:sz w:val="20"/>
              </w:rPr>
              <w:t>天亿马</w:t>
            </w:r>
          </w:p>
        </w:tc>
        <w:tc>
          <w:tcPr>
            <w:tcW w:w="1134" w:type="dxa"/>
            <w:vMerge w:val="restart"/>
            <w:vAlign w:val="center"/>
          </w:tcPr>
          <w:p w:rsidR="00287CE7" w:rsidRDefault="00287CE7">
            <w:pPr>
              <w:jc w:val="center"/>
              <w:rPr>
                <w:rFonts w:eastAsia="仿宋"/>
                <w:sz w:val="20"/>
              </w:rPr>
            </w:pPr>
            <w:r>
              <w:rPr>
                <w:rFonts w:eastAsia="仿宋"/>
                <w:sz w:val="20"/>
              </w:rPr>
              <w:t>东莞银行深圳分行</w:t>
            </w:r>
          </w:p>
        </w:tc>
        <w:tc>
          <w:tcPr>
            <w:tcW w:w="1134" w:type="dxa"/>
            <w:vMerge w:val="restart"/>
            <w:vAlign w:val="center"/>
          </w:tcPr>
          <w:p w:rsidR="00287CE7" w:rsidRDefault="00287CE7">
            <w:pPr>
              <w:jc w:val="center"/>
              <w:rPr>
                <w:rFonts w:eastAsia="仿宋"/>
                <w:sz w:val="20"/>
              </w:rPr>
            </w:pPr>
            <w:r>
              <w:rPr>
                <w:rFonts w:eastAsia="仿宋" w:hint="eastAsia"/>
                <w:sz w:val="20"/>
              </w:rPr>
              <w:t>保本型</w:t>
            </w:r>
          </w:p>
        </w:tc>
        <w:tc>
          <w:tcPr>
            <w:tcW w:w="1276" w:type="dxa"/>
            <w:vMerge w:val="restart"/>
            <w:vAlign w:val="center"/>
          </w:tcPr>
          <w:p w:rsidR="00287CE7" w:rsidRDefault="00287CE7">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287CE7" w:rsidRDefault="00287CE7" w:rsidP="00287CE7">
            <w:pPr>
              <w:widowControl/>
              <w:jc w:val="center"/>
              <w:rPr>
                <w:rFonts w:eastAsia="仿宋"/>
                <w:kern w:val="0"/>
                <w:sz w:val="20"/>
              </w:rPr>
            </w:pPr>
            <w:r>
              <w:rPr>
                <w:rFonts w:eastAsia="仿宋"/>
                <w:kern w:val="0"/>
                <w:sz w:val="20"/>
              </w:rPr>
              <w:t>2023-2-17</w:t>
            </w:r>
          </w:p>
        </w:tc>
        <w:tc>
          <w:tcPr>
            <w:tcW w:w="709" w:type="dxa"/>
            <w:vAlign w:val="center"/>
          </w:tcPr>
          <w:p w:rsidR="00287CE7" w:rsidRDefault="00287CE7">
            <w:pPr>
              <w:widowControl/>
              <w:jc w:val="center"/>
              <w:rPr>
                <w:rFonts w:eastAsia="仿宋"/>
                <w:kern w:val="0"/>
                <w:sz w:val="20"/>
              </w:rPr>
            </w:pPr>
            <w:r>
              <w:rPr>
                <w:rFonts w:eastAsia="仿宋" w:hint="eastAsia"/>
                <w:kern w:val="0"/>
                <w:sz w:val="20"/>
              </w:rPr>
              <w:t>2023-2-22</w:t>
            </w:r>
          </w:p>
        </w:tc>
        <w:tc>
          <w:tcPr>
            <w:tcW w:w="1842" w:type="dxa"/>
            <w:vAlign w:val="center"/>
          </w:tcPr>
          <w:p w:rsidR="00287CE7" w:rsidRDefault="00287CE7">
            <w:pPr>
              <w:widowControl/>
              <w:jc w:val="center"/>
              <w:rPr>
                <w:rFonts w:eastAsia="仿宋"/>
                <w:color w:val="000000"/>
                <w:kern w:val="0"/>
                <w:sz w:val="20"/>
              </w:rPr>
            </w:pPr>
            <w:r>
              <w:rPr>
                <w:rFonts w:eastAsia="仿宋" w:hint="eastAsia"/>
                <w:color w:val="000000"/>
                <w:sz w:val="20"/>
              </w:rPr>
              <w:t>3.10%</w:t>
            </w:r>
          </w:p>
        </w:tc>
        <w:tc>
          <w:tcPr>
            <w:tcW w:w="1370" w:type="dxa"/>
            <w:vAlign w:val="center"/>
          </w:tcPr>
          <w:p w:rsidR="00287CE7" w:rsidRDefault="00287CE7">
            <w:pPr>
              <w:jc w:val="center"/>
              <w:rPr>
                <w:kern w:val="0"/>
                <w:sz w:val="20"/>
              </w:rPr>
            </w:pPr>
            <w:r>
              <w:rPr>
                <w:kern w:val="0"/>
                <w:sz w:val="20"/>
              </w:rPr>
              <w:t>138.89</w:t>
            </w:r>
          </w:p>
        </w:tc>
        <w:tc>
          <w:tcPr>
            <w:tcW w:w="567" w:type="dxa"/>
            <w:vAlign w:val="center"/>
          </w:tcPr>
          <w:p w:rsidR="00287CE7" w:rsidRDefault="00287CE7">
            <w:pPr>
              <w:jc w:val="center"/>
              <w:rPr>
                <w:rFonts w:eastAsia="仿宋"/>
                <w:sz w:val="20"/>
              </w:rPr>
            </w:pPr>
            <w:r>
              <w:rPr>
                <w:rFonts w:eastAsia="仿宋" w:hint="eastAsia"/>
                <w:sz w:val="20"/>
              </w:rPr>
              <w:t>已赎回</w:t>
            </w:r>
          </w:p>
        </w:tc>
      </w:tr>
      <w:tr w:rsidR="00287CE7" w:rsidTr="00E52D07">
        <w:trPr>
          <w:trHeight w:val="60"/>
        </w:trPr>
        <w:tc>
          <w:tcPr>
            <w:tcW w:w="389" w:type="dxa"/>
            <w:vMerge/>
            <w:vAlign w:val="center"/>
          </w:tcPr>
          <w:p w:rsidR="00287CE7" w:rsidRDefault="00287CE7">
            <w:pPr>
              <w:widowControl/>
              <w:jc w:val="center"/>
              <w:rPr>
                <w:rFonts w:eastAsia="仿宋"/>
                <w:color w:val="000000"/>
                <w:kern w:val="0"/>
                <w:sz w:val="20"/>
              </w:rPr>
            </w:pPr>
          </w:p>
        </w:tc>
        <w:tc>
          <w:tcPr>
            <w:tcW w:w="746"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276" w:type="dxa"/>
            <w:vMerge/>
            <w:vAlign w:val="center"/>
          </w:tcPr>
          <w:p w:rsidR="00287CE7" w:rsidRDefault="00287CE7">
            <w:pPr>
              <w:widowControl/>
              <w:jc w:val="center"/>
              <w:rPr>
                <w:rFonts w:eastAsia="仿宋"/>
                <w:color w:val="000000"/>
                <w:kern w:val="0"/>
                <w:sz w:val="20"/>
              </w:rPr>
            </w:pP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1</w:t>
            </w:r>
            <w:r w:rsidR="00F77F97">
              <w:rPr>
                <w:rFonts w:eastAsia="仿宋" w:hint="eastAsia"/>
                <w:color w:val="000000"/>
                <w:kern w:val="0"/>
                <w:sz w:val="20"/>
              </w:rPr>
              <w:t>,</w:t>
            </w:r>
            <w:r>
              <w:rPr>
                <w:rFonts w:eastAsia="仿宋" w:hint="eastAsia"/>
                <w:color w:val="000000"/>
                <w:kern w:val="0"/>
                <w:sz w:val="20"/>
              </w:rPr>
              <w:t>200</w:t>
            </w:r>
          </w:p>
        </w:tc>
        <w:tc>
          <w:tcPr>
            <w:tcW w:w="709" w:type="dxa"/>
            <w:vMerge/>
            <w:vAlign w:val="center"/>
          </w:tcPr>
          <w:p w:rsidR="00287CE7" w:rsidRDefault="00287CE7">
            <w:pPr>
              <w:widowControl/>
              <w:jc w:val="center"/>
              <w:rPr>
                <w:rFonts w:eastAsia="仿宋"/>
                <w:kern w:val="0"/>
                <w:sz w:val="20"/>
              </w:rPr>
            </w:pPr>
          </w:p>
        </w:tc>
        <w:tc>
          <w:tcPr>
            <w:tcW w:w="709" w:type="dxa"/>
            <w:vAlign w:val="center"/>
          </w:tcPr>
          <w:p w:rsidR="00287CE7" w:rsidRDefault="00CE3D8A">
            <w:pPr>
              <w:widowControl/>
              <w:jc w:val="center"/>
              <w:rPr>
                <w:rFonts w:eastAsia="仿宋"/>
                <w:kern w:val="0"/>
                <w:sz w:val="20"/>
              </w:rPr>
            </w:pPr>
            <w:r>
              <w:rPr>
                <w:rFonts w:eastAsia="仿宋" w:hint="eastAsia"/>
                <w:kern w:val="0"/>
                <w:sz w:val="20"/>
              </w:rPr>
              <w:t>2023-8-14</w:t>
            </w:r>
          </w:p>
        </w:tc>
        <w:tc>
          <w:tcPr>
            <w:tcW w:w="1842" w:type="dxa"/>
            <w:vAlign w:val="center"/>
          </w:tcPr>
          <w:p w:rsidR="00287CE7" w:rsidRDefault="00287CE7">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370" w:type="dxa"/>
            <w:vAlign w:val="center"/>
          </w:tcPr>
          <w:p w:rsidR="00287CE7" w:rsidRDefault="00CE3D8A">
            <w:pPr>
              <w:jc w:val="center"/>
              <w:rPr>
                <w:kern w:val="0"/>
                <w:sz w:val="20"/>
              </w:rPr>
            </w:pPr>
            <w:r w:rsidRPr="00CE3D8A">
              <w:rPr>
                <w:kern w:val="0"/>
                <w:sz w:val="20"/>
              </w:rPr>
              <w:t>154,266.67</w:t>
            </w:r>
          </w:p>
        </w:tc>
        <w:tc>
          <w:tcPr>
            <w:tcW w:w="567" w:type="dxa"/>
            <w:vAlign w:val="center"/>
          </w:tcPr>
          <w:p w:rsidR="00287CE7" w:rsidRDefault="00CE3D8A">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276C5D" w:rsidP="00CE3D8A">
            <w:pPr>
              <w:widowControl/>
              <w:jc w:val="center"/>
              <w:rPr>
                <w:rFonts w:eastAsia="仿宋"/>
                <w:color w:val="000000"/>
                <w:kern w:val="0"/>
                <w:sz w:val="20"/>
              </w:rPr>
            </w:pPr>
            <w:r>
              <w:rPr>
                <w:rFonts w:eastAsia="仿宋" w:hint="eastAsia"/>
                <w:color w:val="000000"/>
                <w:kern w:val="0"/>
                <w:sz w:val="20"/>
              </w:rPr>
              <w:t>2</w:t>
            </w:r>
            <w:r w:rsidR="00CE3D8A">
              <w:rPr>
                <w:rFonts w:eastAsia="仿宋" w:hint="eastAsia"/>
                <w:color w:val="000000"/>
                <w:kern w:val="0"/>
                <w:sz w:val="20"/>
              </w:rPr>
              <w:t>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2023-2-24</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2026-02-24</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276C5D" w:rsidP="00A0340F">
            <w:pPr>
              <w:widowControl/>
              <w:jc w:val="center"/>
              <w:rPr>
                <w:rFonts w:eastAsia="仿宋"/>
                <w:color w:val="000000"/>
                <w:kern w:val="0"/>
                <w:sz w:val="20"/>
              </w:rPr>
            </w:pPr>
            <w:r>
              <w:rPr>
                <w:rFonts w:eastAsia="仿宋" w:hint="eastAsia"/>
                <w:color w:val="000000"/>
                <w:kern w:val="0"/>
                <w:sz w:val="20"/>
              </w:rPr>
              <w:t>2</w:t>
            </w:r>
            <w:r w:rsidR="00A0340F">
              <w:rPr>
                <w:rFonts w:eastAsia="仿宋" w:hint="eastAsia"/>
                <w:color w:val="000000"/>
                <w:kern w:val="0"/>
                <w:sz w:val="20"/>
              </w:rPr>
              <w:t>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2,000.00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2023-3-7</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2026-3-7</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2104E4" w:rsidP="007242BF">
            <w:pPr>
              <w:widowControl/>
              <w:jc w:val="center"/>
              <w:rPr>
                <w:rFonts w:eastAsia="仿宋"/>
                <w:color w:val="000000"/>
                <w:kern w:val="0"/>
                <w:sz w:val="20"/>
              </w:rPr>
            </w:pPr>
            <w:r>
              <w:rPr>
                <w:rFonts w:eastAsia="仿宋" w:hint="eastAsia"/>
                <w:color w:val="000000"/>
                <w:kern w:val="0"/>
                <w:sz w:val="20"/>
              </w:rPr>
              <w:t>28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2026-3-20</w:t>
            </w:r>
            <w:r>
              <w:rPr>
                <w:rFonts w:eastAsia="仿宋" w:hint="eastAsia"/>
                <w:kern w:val="0"/>
                <w:sz w:val="20"/>
              </w:rPr>
              <w:t>（可提前转让）</w:t>
            </w:r>
          </w:p>
        </w:tc>
        <w:tc>
          <w:tcPr>
            <w:tcW w:w="1842"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3.0</w:t>
            </w:r>
            <w:r w:rsidR="002104E4">
              <w:rPr>
                <w:rFonts w:eastAsia="仿宋" w:hint="eastAsia"/>
                <w:color w:val="000000"/>
                <w:kern w:val="0"/>
                <w:sz w:val="20"/>
              </w:rPr>
              <w:t>0</w:t>
            </w:r>
            <w:r>
              <w:rPr>
                <w:rFonts w:eastAsia="仿宋" w:hint="eastAsia"/>
                <w:color w:val="000000"/>
                <w:kern w:val="0"/>
                <w:sz w:val="20"/>
              </w:rPr>
              <w:t>%</w:t>
            </w:r>
          </w:p>
        </w:tc>
        <w:tc>
          <w:tcPr>
            <w:tcW w:w="1370" w:type="dxa"/>
            <w:vAlign w:val="center"/>
          </w:tcPr>
          <w:p w:rsidR="008A3E3E" w:rsidRDefault="008A3E3E">
            <w:pPr>
              <w:jc w:val="center"/>
              <w:rPr>
                <w:kern w:val="0"/>
                <w:sz w:val="20"/>
              </w:rPr>
            </w:pPr>
            <w:r>
              <w:rPr>
                <w:rFonts w:hint="eastAsia"/>
                <w:kern w:val="0"/>
                <w:sz w:val="20"/>
              </w:rPr>
              <w:t>-</w:t>
            </w:r>
          </w:p>
        </w:tc>
        <w:tc>
          <w:tcPr>
            <w:tcW w:w="567" w:type="dxa"/>
            <w:vAlign w:val="center"/>
          </w:tcPr>
          <w:p w:rsidR="008A3E3E" w:rsidRDefault="008A3E3E">
            <w:pPr>
              <w:jc w:val="center"/>
              <w:rPr>
                <w:rFonts w:eastAsia="仿宋"/>
                <w:sz w:val="20"/>
              </w:rPr>
            </w:pPr>
            <w:r>
              <w:rPr>
                <w:rFonts w:eastAsia="仿宋" w:hint="eastAsia"/>
                <w:sz w:val="20"/>
              </w:rPr>
              <w:t>未到期</w:t>
            </w:r>
          </w:p>
        </w:tc>
      </w:tr>
      <w:tr w:rsidR="008A3E3E">
        <w:trPr>
          <w:trHeight w:val="20"/>
        </w:trPr>
        <w:tc>
          <w:tcPr>
            <w:tcW w:w="389" w:type="dxa"/>
            <w:vAlign w:val="center"/>
          </w:tcPr>
          <w:p w:rsidR="008A3E3E" w:rsidRDefault="004E0438" w:rsidP="007242BF">
            <w:pPr>
              <w:widowControl/>
              <w:jc w:val="center"/>
              <w:rPr>
                <w:rFonts w:eastAsia="仿宋"/>
                <w:color w:val="000000"/>
                <w:kern w:val="0"/>
                <w:sz w:val="20"/>
              </w:rPr>
            </w:pPr>
            <w:r>
              <w:rPr>
                <w:rFonts w:eastAsia="仿宋" w:hint="eastAsia"/>
                <w:color w:val="000000"/>
                <w:kern w:val="0"/>
                <w:sz w:val="20"/>
              </w:rPr>
              <w:t>2</w:t>
            </w:r>
            <w:r>
              <w:rPr>
                <w:rFonts w:eastAsia="仿宋" w:hint="eastAsia"/>
                <w:color w:val="000000"/>
                <w:kern w:val="0"/>
                <w:sz w:val="20"/>
              </w:rPr>
              <w:lastRenderedPageBreak/>
              <w:t>9</w:t>
            </w:r>
          </w:p>
        </w:tc>
        <w:tc>
          <w:tcPr>
            <w:tcW w:w="746" w:type="dxa"/>
            <w:vAlign w:val="center"/>
          </w:tcPr>
          <w:p w:rsidR="008A3E3E" w:rsidRDefault="008A3E3E">
            <w:pPr>
              <w:jc w:val="center"/>
              <w:rPr>
                <w:rFonts w:eastAsia="仿宋"/>
                <w:sz w:val="20"/>
              </w:rPr>
            </w:pPr>
            <w:r>
              <w:rPr>
                <w:rFonts w:eastAsia="仿宋"/>
                <w:sz w:val="20"/>
              </w:rPr>
              <w:lastRenderedPageBreak/>
              <w:t>天亿</w:t>
            </w:r>
            <w:r>
              <w:rPr>
                <w:rFonts w:eastAsia="仿宋"/>
                <w:sz w:val="20"/>
              </w:rPr>
              <w:lastRenderedPageBreak/>
              <w:t>马</w:t>
            </w:r>
          </w:p>
        </w:tc>
        <w:tc>
          <w:tcPr>
            <w:tcW w:w="1134" w:type="dxa"/>
            <w:vAlign w:val="center"/>
          </w:tcPr>
          <w:p w:rsidR="008A3E3E" w:rsidRDefault="008A3E3E">
            <w:pPr>
              <w:widowControl/>
              <w:jc w:val="center"/>
              <w:rPr>
                <w:rFonts w:eastAsia="仿宋"/>
                <w:color w:val="000000"/>
                <w:kern w:val="0"/>
                <w:sz w:val="20"/>
              </w:rPr>
            </w:pPr>
            <w:r>
              <w:rPr>
                <w:rFonts w:eastAsia="仿宋"/>
                <w:sz w:val="20"/>
              </w:rPr>
              <w:lastRenderedPageBreak/>
              <w:t>交通银行</w:t>
            </w:r>
            <w:r>
              <w:rPr>
                <w:rFonts w:eastAsia="仿宋"/>
                <w:sz w:val="20"/>
              </w:rPr>
              <w:lastRenderedPageBreak/>
              <w:t>股份有限公司汕头分行</w:t>
            </w:r>
          </w:p>
        </w:tc>
        <w:tc>
          <w:tcPr>
            <w:tcW w:w="1134"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lastRenderedPageBreak/>
              <w:t>保本浮动</w:t>
            </w:r>
            <w:r>
              <w:rPr>
                <w:rFonts w:eastAsia="仿宋" w:hint="eastAsia"/>
                <w:color w:val="000000"/>
                <w:kern w:val="0"/>
                <w:sz w:val="20"/>
              </w:rPr>
              <w:lastRenderedPageBreak/>
              <w:t>收益型</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lastRenderedPageBreak/>
              <w:t>交通银行蕴</w:t>
            </w:r>
            <w:r>
              <w:rPr>
                <w:rFonts w:eastAsia="仿宋" w:hint="eastAsia"/>
                <w:color w:val="000000"/>
                <w:kern w:val="0"/>
                <w:sz w:val="20"/>
              </w:rPr>
              <w:lastRenderedPageBreak/>
              <w:t>通财富定期型结构性存款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lastRenderedPageBreak/>
              <w:t>4,000.00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w:t>
            </w:r>
            <w:r>
              <w:rPr>
                <w:rFonts w:eastAsia="仿宋" w:hint="eastAsia"/>
                <w:kern w:val="0"/>
                <w:sz w:val="20"/>
              </w:rPr>
              <w:lastRenderedPageBreak/>
              <w:t>3-24</w:t>
            </w:r>
          </w:p>
        </w:tc>
        <w:tc>
          <w:tcPr>
            <w:tcW w:w="709" w:type="dxa"/>
            <w:vAlign w:val="center"/>
          </w:tcPr>
          <w:p w:rsidR="008A3E3E" w:rsidRDefault="008A3E3E">
            <w:pPr>
              <w:widowControl/>
              <w:jc w:val="center"/>
              <w:rPr>
                <w:rFonts w:eastAsia="仿宋"/>
                <w:kern w:val="0"/>
                <w:sz w:val="20"/>
              </w:rPr>
            </w:pPr>
            <w:r>
              <w:rPr>
                <w:rFonts w:eastAsia="仿宋" w:hint="eastAsia"/>
                <w:kern w:val="0"/>
                <w:sz w:val="20"/>
              </w:rPr>
              <w:lastRenderedPageBreak/>
              <w:t>2023-</w:t>
            </w:r>
            <w:r>
              <w:rPr>
                <w:rFonts w:eastAsia="仿宋" w:hint="eastAsia"/>
                <w:kern w:val="0"/>
                <w:sz w:val="20"/>
              </w:rPr>
              <w:lastRenderedPageBreak/>
              <w:t>5-24</w:t>
            </w:r>
          </w:p>
        </w:tc>
        <w:tc>
          <w:tcPr>
            <w:tcW w:w="1842"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lastRenderedPageBreak/>
              <w:t>1.75%/2.95%</w:t>
            </w:r>
          </w:p>
        </w:tc>
        <w:tc>
          <w:tcPr>
            <w:tcW w:w="1370" w:type="dxa"/>
            <w:vAlign w:val="center"/>
          </w:tcPr>
          <w:p w:rsidR="008A3E3E" w:rsidRDefault="008A3E3E">
            <w:pPr>
              <w:jc w:val="center"/>
              <w:rPr>
                <w:kern w:val="0"/>
                <w:sz w:val="20"/>
              </w:rPr>
            </w:pPr>
            <w:r w:rsidRPr="00343C25">
              <w:rPr>
                <w:kern w:val="0"/>
                <w:sz w:val="20"/>
              </w:rPr>
              <w:t>197</w:t>
            </w:r>
            <w:r>
              <w:rPr>
                <w:rFonts w:hint="eastAsia"/>
                <w:kern w:val="0"/>
                <w:sz w:val="20"/>
              </w:rPr>
              <w:t>,</w:t>
            </w:r>
            <w:r w:rsidRPr="00343C25">
              <w:rPr>
                <w:kern w:val="0"/>
                <w:sz w:val="20"/>
              </w:rPr>
              <w:t>205.48</w:t>
            </w:r>
          </w:p>
        </w:tc>
        <w:tc>
          <w:tcPr>
            <w:tcW w:w="567" w:type="dxa"/>
            <w:vAlign w:val="center"/>
          </w:tcPr>
          <w:p w:rsidR="008A3E3E" w:rsidRDefault="008A3E3E">
            <w:pPr>
              <w:jc w:val="center"/>
              <w:rPr>
                <w:rFonts w:eastAsia="仿宋"/>
                <w:sz w:val="20"/>
              </w:rPr>
            </w:pPr>
            <w:r>
              <w:rPr>
                <w:rFonts w:eastAsia="仿宋" w:hint="eastAsia"/>
                <w:sz w:val="20"/>
              </w:rPr>
              <w:t>已</w:t>
            </w:r>
            <w:r>
              <w:rPr>
                <w:rFonts w:eastAsia="仿宋" w:hint="eastAsia"/>
                <w:sz w:val="20"/>
              </w:rPr>
              <w:lastRenderedPageBreak/>
              <w:t>赎回</w:t>
            </w:r>
          </w:p>
        </w:tc>
      </w:tr>
      <w:tr w:rsidR="008A3E3E">
        <w:trPr>
          <w:trHeight w:val="20"/>
        </w:trPr>
        <w:tc>
          <w:tcPr>
            <w:tcW w:w="389" w:type="dxa"/>
            <w:vAlign w:val="center"/>
          </w:tcPr>
          <w:p w:rsidR="008A3E3E" w:rsidRDefault="004E0438" w:rsidP="004B4934">
            <w:pPr>
              <w:widowControl/>
              <w:jc w:val="center"/>
              <w:rPr>
                <w:rFonts w:eastAsia="仿宋"/>
                <w:color w:val="000000"/>
                <w:kern w:val="0"/>
                <w:sz w:val="20"/>
              </w:rPr>
            </w:pPr>
            <w:r>
              <w:rPr>
                <w:rFonts w:eastAsia="仿宋" w:hint="eastAsia"/>
                <w:color w:val="000000"/>
                <w:kern w:val="0"/>
                <w:sz w:val="20"/>
              </w:rPr>
              <w:lastRenderedPageBreak/>
              <w:t>30</w:t>
            </w:r>
          </w:p>
        </w:tc>
        <w:tc>
          <w:tcPr>
            <w:tcW w:w="746" w:type="dxa"/>
            <w:vAlign w:val="center"/>
          </w:tcPr>
          <w:p w:rsidR="008A3E3E" w:rsidRDefault="008A3E3E" w:rsidP="001A328A">
            <w:pPr>
              <w:jc w:val="center"/>
              <w:rPr>
                <w:rFonts w:eastAsia="仿宋"/>
                <w:sz w:val="20"/>
              </w:rPr>
            </w:pPr>
            <w:r>
              <w:rPr>
                <w:rFonts w:eastAsia="仿宋"/>
                <w:sz w:val="20"/>
              </w:rPr>
              <w:t>天亿马</w:t>
            </w:r>
          </w:p>
        </w:tc>
        <w:tc>
          <w:tcPr>
            <w:tcW w:w="1134" w:type="dxa"/>
            <w:vAlign w:val="center"/>
          </w:tcPr>
          <w:p w:rsidR="008A3E3E" w:rsidRDefault="008A3E3E"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8A3E3E" w:rsidRDefault="008A3E3E"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8A3E3E" w:rsidRDefault="00257565"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8A3E3E" w:rsidRDefault="008A3E3E"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8A3E3E" w:rsidRDefault="008A3E3E" w:rsidP="001A328A">
            <w:pPr>
              <w:widowControl/>
              <w:jc w:val="center"/>
              <w:rPr>
                <w:rFonts w:eastAsia="仿宋"/>
                <w:kern w:val="0"/>
                <w:sz w:val="20"/>
              </w:rPr>
            </w:pPr>
            <w:r>
              <w:rPr>
                <w:rFonts w:eastAsia="仿宋" w:hint="eastAsia"/>
                <w:kern w:val="0"/>
                <w:sz w:val="20"/>
              </w:rPr>
              <w:t>2023-6-12</w:t>
            </w:r>
          </w:p>
        </w:tc>
        <w:tc>
          <w:tcPr>
            <w:tcW w:w="709" w:type="dxa"/>
            <w:vAlign w:val="center"/>
          </w:tcPr>
          <w:p w:rsidR="008A3E3E" w:rsidRDefault="008A3E3E" w:rsidP="001A328A">
            <w:pPr>
              <w:widowControl/>
              <w:jc w:val="center"/>
              <w:rPr>
                <w:rFonts w:eastAsia="仿宋"/>
                <w:kern w:val="0"/>
                <w:sz w:val="20"/>
              </w:rPr>
            </w:pPr>
            <w:r>
              <w:rPr>
                <w:rFonts w:eastAsia="仿宋" w:hint="eastAsia"/>
                <w:kern w:val="0"/>
                <w:sz w:val="20"/>
              </w:rPr>
              <w:t>2023-7-17</w:t>
            </w:r>
          </w:p>
        </w:tc>
        <w:tc>
          <w:tcPr>
            <w:tcW w:w="1842" w:type="dxa"/>
            <w:vAlign w:val="center"/>
          </w:tcPr>
          <w:p w:rsidR="008A3E3E" w:rsidRDefault="008A3E3E" w:rsidP="001A328A">
            <w:pPr>
              <w:widowControl/>
              <w:jc w:val="center"/>
              <w:rPr>
                <w:rFonts w:eastAsia="仿宋"/>
                <w:color w:val="000000"/>
                <w:kern w:val="0"/>
                <w:sz w:val="20"/>
              </w:rPr>
            </w:pPr>
            <w:r w:rsidRPr="00343C25">
              <w:rPr>
                <w:rFonts w:eastAsia="仿宋"/>
                <w:color w:val="000000"/>
                <w:kern w:val="0"/>
                <w:sz w:val="20"/>
              </w:rPr>
              <w:t>2.45%/2.25%/1.25%</w:t>
            </w:r>
          </w:p>
        </w:tc>
        <w:tc>
          <w:tcPr>
            <w:tcW w:w="1370" w:type="dxa"/>
            <w:vAlign w:val="center"/>
          </w:tcPr>
          <w:p w:rsidR="008A3E3E" w:rsidRDefault="004E0438">
            <w:pPr>
              <w:jc w:val="center"/>
              <w:rPr>
                <w:kern w:val="0"/>
                <w:sz w:val="20"/>
              </w:rPr>
            </w:pPr>
            <w:r w:rsidRPr="004E0438">
              <w:rPr>
                <w:kern w:val="0"/>
                <w:sz w:val="20"/>
              </w:rPr>
              <w:t>86,301.37</w:t>
            </w:r>
          </w:p>
        </w:tc>
        <w:tc>
          <w:tcPr>
            <w:tcW w:w="567" w:type="dxa"/>
            <w:vAlign w:val="center"/>
          </w:tcPr>
          <w:p w:rsidR="008A3E3E" w:rsidRDefault="004E0438">
            <w:pPr>
              <w:jc w:val="center"/>
              <w:rPr>
                <w:rFonts w:eastAsia="仿宋"/>
                <w:sz w:val="20"/>
              </w:rPr>
            </w:pPr>
            <w:r>
              <w:rPr>
                <w:rFonts w:eastAsia="仿宋" w:hint="eastAsia"/>
                <w:sz w:val="20"/>
              </w:rPr>
              <w:t>已赎回</w:t>
            </w:r>
          </w:p>
        </w:tc>
      </w:tr>
      <w:tr w:rsidR="00837A8D">
        <w:trPr>
          <w:trHeight w:val="20"/>
        </w:trPr>
        <w:tc>
          <w:tcPr>
            <w:tcW w:w="389" w:type="dxa"/>
            <w:vAlign w:val="center"/>
          </w:tcPr>
          <w:p w:rsidR="00837A8D" w:rsidRDefault="00837A8D" w:rsidP="004B4934">
            <w:pPr>
              <w:widowControl/>
              <w:jc w:val="center"/>
              <w:rPr>
                <w:rFonts w:eastAsia="仿宋"/>
                <w:color w:val="000000"/>
                <w:kern w:val="0"/>
                <w:sz w:val="20"/>
              </w:rPr>
            </w:pPr>
            <w:r>
              <w:rPr>
                <w:rFonts w:eastAsia="仿宋" w:hint="eastAsia"/>
                <w:color w:val="000000"/>
                <w:kern w:val="0"/>
                <w:sz w:val="20"/>
              </w:rPr>
              <w:t>31</w:t>
            </w:r>
          </w:p>
        </w:tc>
        <w:tc>
          <w:tcPr>
            <w:tcW w:w="746" w:type="dxa"/>
            <w:vAlign w:val="center"/>
          </w:tcPr>
          <w:p w:rsidR="00837A8D" w:rsidRDefault="00837A8D" w:rsidP="001A328A">
            <w:pPr>
              <w:jc w:val="center"/>
              <w:rPr>
                <w:rFonts w:eastAsia="仿宋"/>
                <w:sz w:val="20"/>
              </w:rPr>
            </w:pPr>
            <w:r>
              <w:rPr>
                <w:rFonts w:eastAsia="仿宋"/>
                <w:sz w:val="20"/>
              </w:rPr>
              <w:t>天亿马</w:t>
            </w:r>
          </w:p>
        </w:tc>
        <w:tc>
          <w:tcPr>
            <w:tcW w:w="1134" w:type="dxa"/>
            <w:vAlign w:val="center"/>
          </w:tcPr>
          <w:p w:rsidR="00837A8D" w:rsidRDefault="00837A8D" w:rsidP="001A328A">
            <w:pPr>
              <w:widowControl/>
              <w:jc w:val="center"/>
              <w:rPr>
                <w:rFonts w:eastAsia="仿宋"/>
                <w:sz w:val="20"/>
              </w:rPr>
            </w:pPr>
            <w:r w:rsidRPr="00837A8D">
              <w:rPr>
                <w:rFonts w:eastAsia="仿宋" w:hint="eastAsia"/>
                <w:sz w:val="20"/>
              </w:rPr>
              <w:t>南洋商业银行（中国）有限公司汕头分行</w:t>
            </w:r>
          </w:p>
        </w:tc>
        <w:tc>
          <w:tcPr>
            <w:tcW w:w="1134" w:type="dxa"/>
            <w:vAlign w:val="center"/>
          </w:tcPr>
          <w:p w:rsidR="00837A8D" w:rsidRDefault="00837A8D" w:rsidP="001A328A">
            <w:pPr>
              <w:widowControl/>
              <w:jc w:val="center"/>
              <w:rPr>
                <w:rFonts w:eastAsia="仿宋"/>
                <w:color w:val="000000"/>
                <w:kern w:val="0"/>
                <w:sz w:val="20"/>
              </w:rPr>
            </w:pPr>
            <w:r w:rsidRPr="00837A8D">
              <w:rPr>
                <w:rFonts w:eastAsia="仿宋" w:hint="eastAsia"/>
                <w:color w:val="000000"/>
                <w:kern w:val="0"/>
                <w:sz w:val="20"/>
              </w:rPr>
              <w:t>本金保证浮动收益型</w:t>
            </w:r>
          </w:p>
        </w:tc>
        <w:tc>
          <w:tcPr>
            <w:tcW w:w="1276" w:type="dxa"/>
            <w:vAlign w:val="center"/>
          </w:tcPr>
          <w:p w:rsidR="00837A8D" w:rsidRDefault="00837A8D" w:rsidP="00837A8D">
            <w:pPr>
              <w:widowControl/>
              <w:rPr>
                <w:rFonts w:eastAsia="仿宋"/>
                <w:color w:val="000000"/>
                <w:kern w:val="0"/>
                <w:sz w:val="20"/>
              </w:rPr>
            </w:pPr>
            <w:r>
              <w:rPr>
                <w:rFonts w:eastAsia="仿宋" w:hint="eastAsia"/>
                <w:color w:val="000000"/>
                <w:kern w:val="0"/>
                <w:sz w:val="20"/>
              </w:rPr>
              <w:t>“</w:t>
            </w:r>
            <w:r w:rsidRPr="00837A8D">
              <w:rPr>
                <w:rFonts w:eastAsia="仿宋" w:hint="eastAsia"/>
                <w:color w:val="000000"/>
                <w:kern w:val="0"/>
                <w:sz w:val="20"/>
              </w:rPr>
              <w:t>益汇</w:t>
            </w:r>
            <w:r>
              <w:rPr>
                <w:rFonts w:eastAsia="仿宋" w:hint="eastAsia"/>
                <w:color w:val="000000"/>
                <w:kern w:val="0"/>
                <w:sz w:val="20"/>
              </w:rPr>
              <w:t>”</w:t>
            </w:r>
            <w:r w:rsidRPr="00837A8D">
              <w:rPr>
                <w:rFonts w:eastAsia="仿宋" w:hint="eastAsia"/>
                <w:color w:val="000000"/>
                <w:kern w:val="0"/>
                <w:sz w:val="20"/>
              </w:rPr>
              <w:t>汇率挂钩人民币结构性存款</w:t>
            </w:r>
          </w:p>
        </w:tc>
        <w:tc>
          <w:tcPr>
            <w:tcW w:w="992" w:type="dxa"/>
            <w:vAlign w:val="center"/>
          </w:tcPr>
          <w:p w:rsidR="00837A8D" w:rsidRPr="00837A8D" w:rsidRDefault="00837A8D" w:rsidP="001A328A">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837A8D" w:rsidRDefault="00837A8D" w:rsidP="001A328A">
            <w:pPr>
              <w:widowControl/>
              <w:jc w:val="center"/>
              <w:rPr>
                <w:rFonts w:eastAsia="仿宋"/>
                <w:kern w:val="0"/>
                <w:sz w:val="20"/>
              </w:rPr>
            </w:pPr>
            <w:r>
              <w:rPr>
                <w:rFonts w:eastAsia="仿宋" w:hint="eastAsia"/>
                <w:kern w:val="0"/>
                <w:sz w:val="20"/>
              </w:rPr>
              <w:t>2023-9-1</w:t>
            </w:r>
          </w:p>
        </w:tc>
        <w:tc>
          <w:tcPr>
            <w:tcW w:w="709" w:type="dxa"/>
            <w:vAlign w:val="center"/>
          </w:tcPr>
          <w:p w:rsidR="00837A8D" w:rsidRDefault="00837A8D" w:rsidP="001A328A">
            <w:pPr>
              <w:widowControl/>
              <w:jc w:val="center"/>
              <w:rPr>
                <w:rFonts w:eastAsia="仿宋"/>
                <w:kern w:val="0"/>
                <w:sz w:val="20"/>
              </w:rPr>
            </w:pPr>
            <w:r>
              <w:rPr>
                <w:rFonts w:eastAsia="仿宋" w:hint="eastAsia"/>
                <w:kern w:val="0"/>
                <w:sz w:val="20"/>
              </w:rPr>
              <w:t>2023-12-1</w:t>
            </w:r>
          </w:p>
        </w:tc>
        <w:tc>
          <w:tcPr>
            <w:tcW w:w="1842" w:type="dxa"/>
            <w:vAlign w:val="center"/>
          </w:tcPr>
          <w:p w:rsidR="00837A8D" w:rsidRPr="00343C25" w:rsidRDefault="00837A8D" w:rsidP="001A328A">
            <w:pPr>
              <w:widowControl/>
              <w:jc w:val="center"/>
              <w:rPr>
                <w:rFonts w:eastAsia="仿宋"/>
                <w:color w:val="000000"/>
                <w:kern w:val="0"/>
                <w:sz w:val="20"/>
              </w:rPr>
            </w:pPr>
            <w:r>
              <w:rPr>
                <w:rFonts w:eastAsia="仿宋" w:hint="eastAsia"/>
                <w:color w:val="000000"/>
                <w:kern w:val="0"/>
                <w:sz w:val="20"/>
              </w:rPr>
              <w:t>2.50%/1.65%</w:t>
            </w:r>
          </w:p>
        </w:tc>
        <w:tc>
          <w:tcPr>
            <w:tcW w:w="1370" w:type="dxa"/>
            <w:vAlign w:val="center"/>
          </w:tcPr>
          <w:p w:rsidR="00837A8D" w:rsidRPr="004E0438" w:rsidRDefault="00837A8D">
            <w:pPr>
              <w:jc w:val="center"/>
              <w:rPr>
                <w:kern w:val="0"/>
                <w:sz w:val="20"/>
              </w:rPr>
            </w:pPr>
            <w:r>
              <w:rPr>
                <w:rFonts w:hint="eastAsia"/>
                <w:kern w:val="0"/>
                <w:sz w:val="20"/>
              </w:rPr>
              <w:t>-</w:t>
            </w:r>
          </w:p>
        </w:tc>
        <w:tc>
          <w:tcPr>
            <w:tcW w:w="567" w:type="dxa"/>
            <w:vAlign w:val="center"/>
          </w:tcPr>
          <w:p w:rsidR="00837A8D" w:rsidRDefault="00837A8D" w:rsidP="00151833">
            <w:pPr>
              <w:jc w:val="center"/>
              <w:rPr>
                <w:rFonts w:eastAsia="仿宋"/>
                <w:sz w:val="20"/>
              </w:rPr>
            </w:pPr>
            <w:r>
              <w:rPr>
                <w:rFonts w:eastAsia="仿宋" w:hint="eastAsia"/>
                <w:sz w:val="20"/>
              </w:rPr>
              <w:t>未到期</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截至公告日，以定期存款、结构性存款等方式进行现金管理的募集资金（含超募资金）未到期余额为</w:t>
      </w:r>
      <w:r w:rsidR="00684471">
        <w:rPr>
          <w:rFonts w:eastAsia="仿宋" w:hint="eastAsia"/>
          <w:sz w:val="28"/>
        </w:rPr>
        <w:t>26</w:t>
      </w:r>
      <w:r>
        <w:rPr>
          <w:rFonts w:eastAsia="仿宋"/>
          <w:sz w:val="28"/>
        </w:rPr>
        <w:t>,</w:t>
      </w:r>
      <w:r>
        <w:rPr>
          <w:rFonts w:eastAsia="仿宋" w:hint="eastAsia"/>
          <w:sz w:val="28"/>
        </w:rPr>
        <w:t>0</w:t>
      </w:r>
      <w:r>
        <w:rPr>
          <w:rFonts w:eastAsia="仿宋"/>
          <w:sz w:val="28"/>
        </w:rPr>
        <w:t>00.00</w:t>
      </w:r>
      <w:r>
        <w:rPr>
          <w:rFonts w:eastAsia="仿宋"/>
          <w:sz w:val="28"/>
        </w:rPr>
        <w:t>万元。</w:t>
      </w:r>
    </w:p>
    <w:p w:rsidR="00C37BB8" w:rsidRDefault="003D4E6E">
      <w:pPr>
        <w:ind w:firstLineChars="200" w:firstLine="560"/>
        <w:rPr>
          <w:rFonts w:eastAsia="仿宋"/>
          <w:sz w:val="28"/>
        </w:rPr>
      </w:pPr>
      <w:r>
        <w:rPr>
          <w:rFonts w:eastAsia="仿宋"/>
          <w:sz w:val="28"/>
        </w:rPr>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C37BB8" w:rsidRDefault="00176E46">
      <w:pPr>
        <w:outlineLvl w:val="0"/>
        <w:rPr>
          <w:rFonts w:eastAsia="仿宋"/>
          <w:b/>
          <w:sz w:val="28"/>
        </w:rPr>
      </w:pPr>
      <w:r>
        <w:rPr>
          <w:rFonts w:eastAsia="仿宋" w:hint="eastAsia"/>
          <w:b/>
          <w:sz w:val="28"/>
        </w:rPr>
        <w:t>五</w:t>
      </w:r>
      <w:r w:rsidR="003D4E6E">
        <w:rPr>
          <w:rFonts w:eastAsia="仿宋"/>
          <w:b/>
          <w:sz w:val="28"/>
        </w:rPr>
        <w:t>、备查文件</w:t>
      </w:r>
    </w:p>
    <w:p w:rsidR="00C37BB8" w:rsidRDefault="003D4E6E">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银行现金管理产品的相关认购资料。</w:t>
      </w:r>
    </w:p>
    <w:p w:rsidR="00C37BB8" w:rsidRDefault="003D4E6E">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lastRenderedPageBreak/>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sidR="00176E46">
        <w:rPr>
          <w:rFonts w:eastAsia="仿宋" w:hint="eastAsia"/>
          <w:sz w:val="28"/>
          <w:szCs w:val="28"/>
        </w:rPr>
        <w:t>9</w:t>
      </w:r>
      <w:r>
        <w:rPr>
          <w:rFonts w:eastAsia="仿宋"/>
          <w:sz w:val="28"/>
          <w:szCs w:val="28"/>
        </w:rPr>
        <w:t>月</w:t>
      </w:r>
      <w:r>
        <w:rPr>
          <w:rFonts w:eastAsia="仿宋" w:hint="eastAsia"/>
          <w:sz w:val="28"/>
          <w:szCs w:val="28"/>
        </w:rPr>
        <w:t>4</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148"/>
    <w:rsid w:val="00140479"/>
    <w:rsid w:val="00141832"/>
    <w:rsid w:val="001442E3"/>
    <w:rsid w:val="00146B31"/>
    <w:rsid w:val="00151833"/>
    <w:rsid w:val="0015337F"/>
    <w:rsid w:val="00155C7D"/>
    <w:rsid w:val="0015730A"/>
    <w:rsid w:val="00160A49"/>
    <w:rsid w:val="001661CB"/>
    <w:rsid w:val="00166755"/>
    <w:rsid w:val="00167034"/>
    <w:rsid w:val="001677BF"/>
    <w:rsid w:val="00167B86"/>
    <w:rsid w:val="00171126"/>
    <w:rsid w:val="00171FCF"/>
    <w:rsid w:val="001728DC"/>
    <w:rsid w:val="00175928"/>
    <w:rsid w:val="00175C0B"/>
    <w:rsid w:val="00176E46"/>
    <w:rsid w:val="001950AE"/>
    <w:rsid w:val="001A5522"/>
    <w:rsid w:val="001A6BC5"/>
    <w:rsid w:val="001A7F65"/>
    <w:rsid w:val="001B1FB3"/>
    <w:rsid w:val="001B3A70"/>
    <w:rsid w:val="001B5598"/>
    <w:rsid w:val="001B56AA"/>
    <w:rsid w:val="001D3B9A"/>
    <w:rsid w:val="001D4D8C"/>
    <w:rsid w:val="001D51B7"/>
    <w:rsid w:val="001D6C35"/>
    <w:rsid w:val="001E1D71"/>
    <w:rsid w:val="001E2CFF"/>
    <w:rsid w:val="001E2DB7"/>
    <w:rsid w:val="001E41D9"/>
    <w:rsid w:val="001F0563"/>
    <w:rsid w:val="001F52E1"/>
    <w:rsid w:val="001F71FE"/>
    <w:rsid w:val="002057DD"/>
    <w:rsid w:val="00206EA1"/>
    <w:rsid w:val="002078F2"/>
    <w:rsid w:val="002104E4"/>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6F83"/>
    <w:rsid w:val="002671D9"/>
    <w:rsid w:val="00271B79"/>
    <w:rsid w:val="0027227C"/>
    <w:rsid w:val="00272D74"/>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0048"/>
    <w:rsid w:val="002E231A"/>
    <w:rsid w:val="002E33DC"/>
    <w:rsid w:val="002F138E"/>
    <w:rsid w:val="002F4B5D"/>
    <w:rsid w:val="002F577E"/>
    <w:rsid w:val="00301962"/>
    <w:rsid w:val="00302B8A"/>
    <w:rsid w:val="00304763"/>
    <w:rsid w:val="003073E3"/>
    <w:rsid w:val="0032433B"/>
    <w:rsid w:val="00327ED1"/>
    <w:rsid w:val="00332221"/>
    <w:rsid w:val="00342903"/>
    <w:rsid w:val="00343C25"/>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3B26"/>
    <w:rsid w:val="004A44BE"/>
    <w:rsid w:val="004A493B"/>
    <w:rsid w:val="004A7549"/>
    <w:rsid w:val="004B181E"/>
    <w:rsid w:val="004B1C82"/>
    <w:rsid w:val="004B407C"/>
    <w:rsid w:val="004B4934"/>
    <w:rsid w:val="004B5728"/>
    <w:rsid w:val="004B7309"/>
    <w:rsid w:val="004C1C25"/>
    <w:rsid w:val="004D2342"/>
    <w:rsid w:val="004D6BCB"/>
    <w:rsid w:val="004E0438"/>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084"/>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4471"/>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37A8D"/>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18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340F"/>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B579C"/>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34A0"/>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28DD"/>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D8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E746F"/>
    <w:rsid w:val="00DF0D74"/>
    <w:rsid w:val="00DF1826"/>
    <w:rsid w:val="00DF5663"/>
    <w:rsid w:val="00E0289C"/>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6CD8"/>
    <w:rsid w:val="00F37759"/>
    <w:rsid w:val="00F44492"/>
    <w:rsid w:val="00F514F7"/>
    <w:rsid w:val="00F51EB7"/>
    <w:rsid w:val="00F539CC"/>
    <w:rsid w:val="00F5638B"/>
    <w:rsid w:val="00F66099"/>
    <w:rsid w:val="00F66450"/>
    <w:rsid w:val="00F70006"/>
    <w:rsid w:val="00F71F9B"/>
    <w:rsid w:val="00F73590"/>
    <w:rsid w:val="00F77F97"/>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4F2A"/>
    <w:rsid w:val="00FE533A"/>
    <w:rsid w:val="00FE6648"/>
    <w:rsid w:val="00FE6A0C"/>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24">
      <w:bodyDiv w:val="1"/>
      <w:marLeft w:val="0"/>
      <w:marRight w:val="0"/>
      <w:marTop w:val="0"/>
      <w:marBottom w:val="0"/>
      <w:divBdr>
        <w:top w:val="none" w:sz="0" w:space="0" w:color="auto"/>
        <w:left w:val="none" w:sz="0" w:space="0" w:color="auto"/>
        <w:bottom w:val="none" w:sz="0" w:space="0" w:color="auto"/>
        <w:right w:val="none" w:sz="0" w:space="0" w:color="auto"/>
      </w:divBdr>
    </w:div>
    <w:div w:id="1107775222">
      <w:bodyDiv w:val="1"/>
      <w:marLeft w:val="0"/>
      <w:marRight w:val="0"/>
      <w:marTop w:val="0"/>
      <w:marBottom w:val="0"/>
      <w:divBdr>
        <w:top w:val="none" w:sz="0" w:space="0" w:color="auto"/>
        <w:left w:val="none" w:sz="0" w:space="0" w:color="auto"/>
        <w:bottom w:val="none" w:sz="0" w:space="0" w:color="auto"/>
        <w:right w:val="none" w:sz="0" w:space="0" w:color="auto"/>
      </w:divBdr>
    </w:div>
    <w:div w:id="142734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776E6E-F22F-4AF6-8FC9-DF427D1B3E51}">
  <ds:schemaRefs>
    <ds:schemaRef ds:uri="http://www.yonyou.com/datasource"/>
  </ds:schemaRefs>
</ds:datastoreItem>
</file>

<file path=customXml/itemProps2.xml><?xml version="1.0" encoding="utf-8"?>
<ds:datastoreItem xmlns:ds="http://schemas.openxmlformats.org/officeDocument/2006/customXml" ds:itemID="{443EFE3E-9813-406A-B010-696E8D89A11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782</Words>
  <Characters>4458</Characters>
  <Application>Microsoft Office Word</Application>
  <DocSecurity>0</DocSecurity>
  <Lines>37</Lines>
  <Paragraphs>10</Paragraphs>
  <ScaleCrop>false</ScaleCrop>
  <Company>Microsoft</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644</cp:revision>
  <cp:lastPrinted>2023-02-24T06:41:00Z</cp:lastPrinted>
  <dcterms:created xsi:type="dcterms:W3CDTF">2022-08-29T09:59:00Z</dcterms:created>
  <dcterms:modified xsi:type="dcterms:W3CDTF">2023-09-04T06:45:00Z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