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E2" w:rsidRPr="00812C32" w:rsidRDefault="00860FE8">
      <w:pPr>
        <w:spacing w:before="200" w:after="1000" w:line="560" w:lineRule="exact"/>
        <w:jc w:val="center"/>
        <w:rPr>
          <w:rFonts w:ascii="仿宋" w:eastAsia="仿宋" w:hAnsi="仿宋" w:cs="宋体"/>
          <w:sz w:val="24"/>
          <w:szCs w:val="24"/>
        </w:rPr>
      </w:pPr>
      <w:r w:rsidRPr="00812C32">
        <w:rPr>
          <w:rFonts w:ascii="仿宋" w:eastAsia="仿宋" w:hAnsi="仿宋" w:cs="宋体"/>
          <w:sz w:val="24"/>
          <w:szCs w:val="24"/>
        </w:rPr>
        <w:t xml:space="preserve">证券代码：301178  </w:t>
      </w:r>
      <w:r w:rsidR="00AC59E6" w:rsidRPr="00812C32">
        <w:rPr>
          <w:rFonts w:ascii="仿宋" w:eastAsia="仿宋" w:hAnsi="仿宋" w:cs="宋体" w:hint="eastAsia"/>
          <w:sz w:val="24"/>
          <w:szCs w:val="24"/>
        </w:rPr>
        <w:t xml:space="preserve">    </w:t>
      </w:r>
      <w:r w:rsidRPr="00812C32">
        <w:rPr>
          <w:rFonts w:ascii="仿宋" w:eastAsia="仿宋" w:hAnsi="仿宋" w:cs="宋体"/>
          <w:sz w:val="24"/>
          <w:szCs w:val="24"/>
        </w:rPr>
        <w:t xml:space="preserve"> </w:t>
      </w:r>
      <w:r w:rsidR="00AC59E6" w:rsidRPr="00812C32">
        <w:rPr>
          <w:rFonts w:ascii="仿宋" w:eastAsia="仿宋" w:hAnsi="仿宋" w:cs="宋体" w:hint="eastAsia"/>
          <w:sz w:val="24"/>
          <w:szCs w:val="24"/>
        </w:rPr>
        <w:t xml:space="preserve">   </w:t>
      </w:r>
      <w:r w:rsidRPr="00812C32">
        <w:rPr>
          <w:rFonts w:ascii="仿宋" w:eastAsia="仿宋" w:hAnsi="仿宋" w:cs="宋体"/>
          <w:sz w:val="24"/>
          <w:szCs w:val="24"/>
        </w:rPr>
        <w:t xml:space="preserve">  证券简称：天亿马          </w:t>
      </w:r>
      <w:r w:rsidR="00AC59E6" w:rsidRPr="00812C32">
        <w:rPr>
          <w:rFonts w:ascii="仿宋" w:eastAsia="仿宋" w:hAnsi="仿宋" w:cs="宋体" w:hint="eastAsia"/>
          <w:sz w:val="24"/>
          <w:szCs w:val="24"/>
        </w:rPr>
        <w:t xml:space="preserve">   </w:t>
      </w:r>
      <w:r w:rsidRPr="00812C32">
        <w:rPr>
          <w:rFonts w:ascii="仿宋" w:eastAsia="仿宋" w:hAnsi="仿宋" w:cs="宋体"/>
          <w:sz w:val="24"/>
          <w:szCs w:val="24"/>
        </w:rPr>
        <w:t>公告编号：2023-046</w:t>
      </w:r>
    </w:p>
    <w:p w:rsidR="00AC59E6" w:rsidRPr="006D3E02" w:rsidRDefault="00860FE8">
      <w:pPr>
        <w:spacing w:after="1000" w:line="400" w:lineRule="exact"/>
        <w:jc w:val="center"/>
        <w:rPr>
          <w:rFonts w:ascii="黑体" w:eastAsia="黑体" w:hAnsi="黑体" w:cs="宋体"/>
          <w:bCs/>
          <w:sz w:val="36"/>
          <w:szCs w:val="36"/>
        </w:rPr>
      </w:pPr>
      <w:r w:rsidRPr="006D3E02">
        <w:rPr>
          <w:rFonts w:ascii="黑体" w:eastAsia="黑体" w:hAnsi="黑体" w:cs="宋体"/>
          <w:bCs/>
          <w:sz w:val="36"/>
          <w:szCs w:val="36"/>
        </w:rPr>
        <w:t>广东天亿马信息产业股份有限公司</w:t>
      </w:r>
    </w:p>
    <w:p w:rsidR="008A2EE2" w:rsidRPr="006D3E02" w:rsidRDefault="00860FE8">
      <w:pPr>
        <w:spacing w:after="1000" w:line="400" w:lineRule="exact"/>
        <w:jc w:val="center"/>
        <w:rPr>
          <w:rFonts w:ascii="黑体" w:eastAsia="黑体" w:hAnsi="黑体" w:cs="宋体"/>
          <w:bCs/>
          <w:sz w:val="36"/>
          <w:szCs w:val="36"/>
        </w:rPr>
      </w:pPr>
      <w:r w:rsidRPr="006D3E02">
        <w:rPr>
          <w:rFonts w:ascii="黑体" w:eastAsia="黑体" w:hAnsi="黑体" w:cs="宋体"/>
          <w:bCs/>
          <w:sz w:val="36"/>
          <w:szCs w:val="36"/>
        </w:rPr>
        <w:t>2022年年度报告摘要</w:t>
      </w:r>
      <w:bookmarkStart w:id="0" w:name="_GoBack"/>
      <w:bookmarkEnd w:id="0"/>
    </w:p>
    <w:p w:rsidR="008A2EE2" w:rsidRPr="00812C32" w:rsidRDefault="008A2EE2">
      <w:pPr>
        <w:rPr>
          <w:rFonts w:ascii="仿宋" w:eastAsia="仿宋" w:hAnsi="仿宋"/>
        </w:rPr>
      </w:pPr>
    </w:p>
    <w:p w:rsidR="008A2EE2" w:rsidRPr="00812C32" w:rsidRDefault="00860FE8" w:rsidP="00812C32">
      <w:pPr>
        <w:pStyle w:val="2"/>
        <w:spacing w:before="300" w:after="300" w:line="288" w:lineRule="auto"/>
        <w:rPr>
          <w:rFonts w:ascii="仿宋" w:eastAsia="仿宋" w:hAnsi="仿宋" w:cs="宋体"/>
          <w:b/>
          <w:bCs/>
          <w:sz w:val="24"/>
          <w:szCs w:val="24"/>
        </w:rPr>
      </w:pPr>
      <w:bookmarkStart w:id="1" w:name="_Toc988889"/>
      <w:r w:rsidRPr="00812C32">
        <w:rPr>
          <w:rFonts w:ascii="仿宋" w:eastAsia="仿宋" w:hAnsi="仿宋" w:cs="宋体"/>
          <w:b/>
          <w:bCs/>
          <w:sz w:val="24"/>
          <w:szCs w:val="24"/>
        </w:rPr>
        <w:t>一、重要提示</w:t>
      </w:r>
      <w:bookmarkEnd w:id="1"/>
    </w:p>
    <w:p w:rsidR="008A2EE2" w:rsidRPr="00812C32" w:rsidRDefault="00860FE8" w:rsidP="00851DDE">
      <w:pPr>
        <w:spacing w:line="288" w:lineRule="auto"/>
        <w:ind w:firstLineChars="200" w:firstLine="480"/>
        <w:rPr>
          <w:rFonts w:ascii="仿宋" w:eastAsia="仿宋" w:hAnsi="仿宋" w:cs="宋体"/>
          <w:sz w:val="24"/>
          <w:szCs w:val="24"/>
        </w:rPr>
      </w:pPr>
      <w:r w:rsidRPr="00812C32">
        <w:rPr>
          <w:rFonts w:ascii="仿宋" w:eastAsia="仿宋" w:hAnsi="仿宋" w:cs="宋体"/>
          <w:sz w:val="24"/>
          <w:szCs w:val="24"/>
        </w:rPr>
        <w:t>本年度报告摘要来自年度报告全文，为全面了解本公司的经营成果、财务状况及未来发展规划，投资者应当到证监会指定媒体仔细阅读年度报告全文。</w:t>
      </w:r>
    </w:p>
    <w:p w:rsidR="008A2EE2" w:rsidRPr="00812C32" w:rsidRDefault="00860FE8" w:rsidP="00851DDE">
      <w:pPr>
        <w:spacing w:line="288" w:lineRule="auto"/>
        <w:ind w:firstLineChars="200" w:firstLine="480"/>
        <w:rPr>
          <w:rFonts w:ascii="仿宋" w:eastAsia="仿宋" w:hAnsi="仿宋" w:cs="宋体"/>
          <w:sz w:val="24"/>
          <w:szCs w:val="24"/>
        </w:rPr>
      </w:pPr>
      <w:r w:rsidRPr="00812C32">
        <w:rPr>
          <w:rFonts w:ascii="仿宋" w:eastAsia="仿宋" w:hAnsi="仿宋" w:cs="宋体"/>
          <w:sz w:val="24"/>
          <w:szCs w:val="24"/>
        </w:rPr>
        <w:t>所有董事均已出席了审议本报告的董事会会议。</w:t>
      </w:r>
    </w:p>
    <w:p w:rsidR="008A2EE2" w:rsidRPr="00812C32" w:rsidRDefault="00860FE8" w:rsidP="00851DDE">
      <w:pPr>
        <w:spacing w:line="288" w:lineRule="auto"/>
        <w:ind w:firstLineChars="200" w:firstLine="480"/>
        <w:rPr>
          <w:rFonts w:ascii="仿宋" w:eastAsia="仿宋" w:hAnsi="仿宋" w:cs="宋体"/>
          <w:sz w:val="24"/>
          <w:szCs w:val="24"/>
        </w:rPr>
      </w:pPr>
      <w:r w:rsidRPr="00812C32">
        <w:rPr>
          <w:rFonts w:ascii="仿宋" w:eastAsia="仿宋" w:hAnsi="仿宋" w:cs="宋体"/>
          <w:sz w:val="24"/>
          <w:szCs w:val="24"/>
        </w:rPr>
        <w:t>中审众环会计师事务所（特殊普通合伙）对本年度公司财务报告的审计意见为：标准的无保留意见。</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本报告期会计师事务所变更情况：公司本年度会计师事务所由变更为中审众环会计师事务所（特殊普通合伙）。</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非标准审计意见提示</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 xml:space="preserve">□适用 </w:t>
      </w:r>
      <w:r w:rsidRPr="00812C32">
        <w:rPr>
          <w:rFonts w:ascii="仿宋" w:eastAsia="仿宋" w:hAnsi="仿宋" w:cs="宋体"/>
          <w:sz w:val="24"/>
          <w:szCs w:val="24"/>
        </w:rPr>
        <w:sym w:font="Wingdings 2" w:char="F052"/>
      </w:r>
      <w:r w:rsidRPr="00812C32">
        <w:rPr>
          <w:rFonts w:ascii="仿宋" w:eastAsia="仿宋" w:hAnsi="仿宋" w:cs="宋体"/>
          <w:sz w:val="24"/>
          <w:szCs w:val="24"/>
        </w:rPr>
        <w:t>不适用</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公司上市时未盈利且目前未实现盈利</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 xml:space="preserve">□适用 </w:t>
      </w:r>
      <w:r w:rsidRPr="00812C32">
        <w:rPr>
          <w:rFonts w:ascii="仿宋" w:eastAsia="仿宋" w:hAnsi="仿宋" w:cs="宋体"/>
          <w:sz w:val="24"/>
          <w:szCs w:val="24"/>
        </w:rPr>
        <w:sym w:font="Wingdings 2" w:char="F052"/>
      </w:r>
      <w:r w:rsidRPr="00812C32">
        <w:rPr>
          <w:rFonts w:ascii="仿宋" w:eastAsia="仿宋" w:hAnsi="仿宋" w:cs="宋体"/>
          <w:sz w:val="24"/>
          <w:szCs w:val="24"/>
        </w:rPr>
        <w:t>不适用</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董事会审议的报告期利润分配预案或公积金转增股本预案</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sym w:font="Wingdings 2" w:char="F052"/>
      </w:r>
      <w:r w:rsidRPr="00812C32">
        <w:rPr>
          <w:rFonts w:ascii="仿宋" w:eastAsia="仿宋" w:hAnsi="仿宋" w:cs="宋体"/>
          <w:sz w:val="24"/>
          <w:szCs w:val="24"/>
        </w:rPr>
        <w:t>适用 □不适用</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公司经本次董事会审议通过的利润分配预案为：以总股本65956800为基数，向全体股东每10股派发现金红利0.80元（含税），送红股0股（含税），以资本公积金向全体股东每10股转增0股。</w:t>
      </w:r>
    </w:p>
    <w:p w:rsidR="008A2EE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董事会决议通过的本报告期优先股利润分配预案</w:t>
      </w:r>
    </w:p>
    <w:p w:rsidR="00812C32" w:rsidRPr="00812C32" w:rsidRDefault="00860FE8" w:rsidP="00851DDE">
      <w:pPr>
        <w:spacing w:line="288" w:lineRule="auto"/>
        <w:ind w:firstLine="200"/>
        <w:rPr>
          <w:rFonts w:ascii="仿宋" w:eastAsia="仿宋" w:hAnsi="仿宋" w:cs="宋体"/>
          <w:sz w:val="24"/>
          <w:szCs w:val="24"/>
        </w:rPr>
      </w:pPr>
      <w:r w:rsidRPr="00812C32">
        <w:rPr>
          <w:rFonts w:ascii="仿宋" w:eastAsia="仿宋" w:hAnsi="仿宋" w:cs="宋体"/>
          <w:sz w:val="24"/>
          <w:szCs w:val="24"/>
        </w:rPr>
        <w:t>□适用 □不适用</w:t>
      </w:r>
    </w:p>
    <w:p w:rsidR="00812C32" w:rsidRPr="00812C32" w:rsidRDefault="00812C32">
      <w:pPr>
        <w:widowControl/>
        <w:rPr>
          <w:rFonts w:ascii="仿宋" w:eastAsia="仿宋" w:hAnsi="仿宋" w:cs="宋体"/>
          <w:sz w:val="24"/>
          <w:szCs w:val="24"/>
        </w:rPr>
      </w:pPr>
      <w:r w:rsidRPr="00812C32">
        <w:rPr>
          <w:rFonts w:ascii="仿宋" w:eastAsia="仿宋" w:hAnsi="仿宋" w:cs="宋体"/>
          <w:sz w:val="24"/>
          <w:szCs w:val="24"/>
        </w:rPr>
        <w:br w:type="page"/>
      </w:r>
    </w:p>
    <w:p w:rsidR="008A2EE2" w:rsidRPr="00812C32" w:rsidRDefault="00860FE8">
      <w:pPr>
        <w:pStyle w:val="2"/>
        <w:spacing w:before="300" w:after="300" w:line="320" w:lineRule="exact"/>
        <w:rPr>
          <w:rFonts w:ascii="仿宋" w:eastAsia="仿宋" w:hAnsi="仿宋" w:cs="宋体"/>
          <w:b/>
          <w:bCs/>
          <w:sz w:val="24"/>
          <w:szCs w:val="24"/>
        </w:rPr>
      </w:pPr>
      <w:bookmarkStart w:id="2" w:name="_Toc988890"/>
      <w:r w:rsidRPr="00812C32">
        <w:rPr>
          <w:rFonts w:ascii="仿宋" w:eastAsia="仿宋" w:hAnsi="仿宋" w:cs="宋体"/>
          <w:b/>
          <w:bCs/>
          <w:sz w:val="24"/>
          <w:szCs w:val="24"/>
        </w:rPr>
        <w:lastRenderedPageBreak/>
        <w:t>二、公司基本情况</w:t>
      </w:r>
      <w:bookmarkEnd w:id="2"/>
    </w:p>
    <w:p w:rsidR="008A2EE2" w:rsidRPr="00812C32" w:rsidRDefault="00860FE8">
      <w:pPr>
        <w:pStyle w:val="3"/>
        <w:spacing w:line="280" w:lineRule="exact"/>
        <w:jc w:val="left"/>
        <w:rPr>
          <w:rFonts w:ascii="仿宋" w:eastAsia="仿宋" w:hAnsi="仿宋" w:cs="宋体"/>
          <w:b/>
          <w:bCs/>
        </w:rPr>
      </w:pPr>
      <w:bookmarkStart w:id="3" w:name="_Toc988891"/>
      <w:r w:rsidRPr="00812C32">
        <w:rPr>
          <w:rFonts w:ascii="仿宋" w:eastAsia="仿宋" w:hAnsi="仿宋" w:cs="宋体"/>
          <w:b/>
          <w:bCs/>
        </w:rPr>
        <w:t>1、公司简介</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199"/>
        <w:gridCol w:w="1480"/>
        <w:gridCol w:w="740"/>
        <w:gridCol w:w="740"/>
        <w:gridCol w:w="1480"/>
      </w:tblGrid>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股票简称</w:t>
            </w:r>
          </w:p>
        </w:tc>
        <w:tc>
          <w:tcPr>
            <w:tcW w:w="1480"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天亿马</w:t>
            </w:r>
          </w:p>
        </w:tc>
        <w:tc>
          <w:tcPr>
            <w:tcW w:w="148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股票代码</w:t>
            </w:r>
          </w:p>
        </w:tc>
        <w:tc>
          <w:tcPr>
            <w:tcW w:w="1480"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301178</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股票上市交易所</w:t>
            </w:r>
          </w:p>
        </w:tc>
        <w:tc>
          <w:tcPr>
            <w:tcW w:w="4439" w:type="dxa"/>
            <w:gridSpan w:val="4"/>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深圳证券交易所</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联系人和联系方式</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董事会秘书</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证券事务代表</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姓名</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李华青</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黄舒倩</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办公地址</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广东省汕头市海滨路 55 号海逸投资大厦 4-5 楼</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广东省汕头市海滨路 55 号海逸投资大厦 4-5 楼</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传真</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0754-88983999</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0754-88983999</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电话</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0754-88880666</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0754-88880666</w:t>
            </w:r>
          </w:p>
        </w:tc>
      </w:tr>
      <w:tr w:rsidR="008A2EE2" w:rsidRPr="00812C32">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电子信箱</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Securities@tym.com.cn</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Securities@tym.com.cn</w:t>
            </w:r>
          </w:p>
        </w:tc>
      </w:tr>
    </w:tbl>
    <w:p w:rsidR="008A2EE2" w:rsidRPr="00812C32" w:rsidRDefault="00860FE8">
      <w:pPr>
        <w:pStyle w:val="3"/>
        <w:spacing w:line="280" w:lineRule="exact"/>
        <w:jc w:val="left"/>
        <w:rPr>
          <w:rFonts w:ascii="仿宋" w:eastAsia="仿宋" w:hAnsi="仿宋" w:cs="宋体"/>
          <w:b/>
          <w:bCs/>
        </w:rPr>
      </w:pPr>
      <w:bookmarkStart w:id="4" w:name="_Toc988892"/>
      <w:r w:rsidRPr="00812C32">
        <w:rPr>
          <w:rFonts w:ascii="仿宋" w:eastAsia="仿宋" w:hAnsi="仿宋" w:cs="宋体"/>
          <w:b/>
          <w:bCs/>
        </w:rPr>
        <w:t>2、报告期主要业务或产品简介</w:t>
      </w:r>
      <w:bookmarkEnd w:id="4"/>
    </w:p>
    <w:p w:rsidR="009472F1" w:rsidRPr="00812C32" w:rsidRDefault="00860FE8">
      <w:pPr>
        <w:pStyle w:val="a3"/>
        <w:spacing w:before="120" w:beforeAutospacing="0" w:after="0" w:afterAutospacing="0"/>
        <w:ind w:firstLine="420"/>
        <w:divId w:val="1446197468"/>
        <w:rPr>
          <w:rFonts w:ascii="仿宋" w:eastAsia="仿宋" w:hAnsi="仿宋" w:cs="Times New Roman"/>
          <w:sz w:val="18"/>
          <w:szCs w:val="18"/>
        </w:rPr>
      </w:pPr>
      <w:r w:rsidRPr="00812C32">
        <w:rPr>
          <w:rFonts w:ascii="仿宋" w:eastAsia="仿宋" w:hAnsi="仿宋" w:cs="Times New Roman" w:hint="eastAsia"/>
          <w:sz w:val="21"/>
          <w:szCs w:val="21"/>
        </w:rPr>
        <w:t>（一）主营业务基本情况</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公司系一家智慧城市解决方案提供商，致力于融合应用物联网、大数据、云计算、</w:t>
      </w:r>
      <w:r w:rsidRPr="00812C32">
        <w:rPr>
          <w:rFonts w:ascii="仿宋" w:eastAsia="仿宋" w:hAnsi="仿宋" w:cs="Times New Roman"/>
          <w:sz w:val="21"/>
          <w:szCs w:val="21"/>
        </w:rPr>
        <w:t>GIS</w:t>
      </w:r>
      <w:r w:rsidRPr="00812C32">
        <w:rPr>
          <w:rFonts w:ascii="仿宋" w:eastAsia="仿宋" w:hAnsi="仿宋" w:cs="Times New Roman" w:hint="eastAsia"/>
          <w:sz w:val="21"/>
          <w:szCs w:val="21"/>
        </w:rPr>
        <w:t>、人工智能等新一代信息技术，为客户提供项目总体规划、方案设计、软件研发、项目实施及运维服务一体化的信息技术解决方案。公司已形成市域社会治理解决方案、数字乡村解决方案、社会治安综合治理解决方案、智慧社区解决方案、智慧党建解决方案、行政便民服务解决方案等一系列典型解决方案，广泛服务于公检法、交通、教育、医疗卫生等政府部门、事业单位及企业客户。</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凭借多年在信息技术领域积累的丰富经验，公司以核心技术和关键应用为基础，聚焦智慧政务、智慧教育及智慧医疗等领域，持续提升智慧城市解决方案服务能力。公司已掌握了地理空间大数据技术、</w:t>
      </w:r>
      <w:r w:rsidRPr="00812C32">
        <w:rPr>
          <w:rFonts w:ascii="仿宋" w:eastAsia="仿宋" w:hAnsi="仿宋" w:cs="Times New Roman"/>
          <w:sz w:val="21"/>
          <w:szCs w:val="21"/>
        </w:rPr>
        <w:t>政务大数据分析与挖掘、跨平台高性能音视频通讯、智能人机交互、智能报表、可视化工作流</w:t>
      </w:r>
      <w:r w:rsidRPr="00812C32">
        <w:rPr>
          <w:rFonts w:ascii="仿宋" w:eastAsia="仿宋" w:hAnsi="仿宋" w:cs="Times New Roman" w:hint="eastAsia"/>
          <w:sz w:val="21"/>
          <w:szCs w:val="21"/>
        </w:rPr>
        <w:t>等核心技术，为客户提供成熟的自主软件产品、定制化开发和完整的项目实施服务。</w:t>
      </w:r>
    </w:p>
    <w:p w:rsidR="009472F1" w:rsidRPr="00812C32" w:rsidRDefault="00860FE8">
      <w:pPr>
        <w:pStyle w:val="a3"/>
        <w:spacing w:before="120" w:beforeAutospacing="0" w:after="0" w:afterAutospacing="0"/>
        <w:ind w:firstLine="420"/>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报告期内，公司主要业务、产品及经营模式未发生重大变化。</w:t>
      </w:r>
    </w:p>
    <w:p w:rsidR="009472F1" w:rsidRPr="00812C32" w:rsidRDefault="00860FE8">
      <w:pPr>
        <w:pStyle w:val="a3"/>
        <w:spacing w:before="120" w:beforeAutospacing="0" w:after="0" w:afterAutospacing="0"/>
        <w:ind w:firstLine="420"/>
        <w:divId w:val="1446197468"/>
        <w:rPr>
          <w:rFonts w:ascii="仿宋" w:eastAsia="仿宋" w:hAnsi="仿宋" w:cs="Times New Roman"/>
          <w:sz w:val="18"/>
          <w:szCs w:val="18"/>
        </w:rPr>
      </w:pPr>
      <w:r w:rsidRPr="00812C32">
        <w:rPr>
          <w:rFonts w:ascii="仿宋" w:eastAsia="仿宋" w:hAnsi="仿宋" w:cs="Times New Roman" w:hint="eastAsia"/>
          <w:sz w:val="21"/>
          <w:szCs w:val="21"/>
        </w:rPr>
        <w:t>（二）主要产品或服务基本情况</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公司致力于为智慧政务、智慧教育、智慧医疗等领域客户提供信息技术解决方案，从业务类型上可划分为信息系统集成服务、软件开发及技术服务、信息设备销售、信息系统运维服务。</w:t>
      </w:r>
    </w:p>
    <w:p w:rsidR="009472F1" w:rsidRPr="00812C32" w:rsidRDefault="00860FE8">
      <w:pPr>
        <w:pStyle w:val="a3"/>
        <w:spacing w:before="120" w:beforeAutospacing="0" w:after="0" w:afterAutospacing="0"/>
        <w:ind w:firstLine="420"/>
        <w:jc w:val="both"/>
        <w:divId w:val="1446197468"/>
        <w:rPr>
          <w:rFonts w:ascii="仿宋" w:eastAsia="仿宋" w:hAnsi="仿宋" w:cs="Times New Roman"/>
          <w:sz w:val="18"/>
          <w:szCs w:val="18"/>
        </w:rPr>
      </w:pPr>
      <w:r w:rsidRPr="00812C32">
        <w:rPr>
          <w:rFonts w:ascii="仿宋" w:eastAsia="仿宋" w:hAnsi="仿宋" w:cs="Times New Roman"/>
          <w:sz w:val="21"/>
          <w:szCs w:val="21"/>
        </w:rPr>
        <w:t>1.</w:t>
      </w:r>
      <w:r w:rsidRPr="00812C32">
        <w:rPr>
          <w:rFonts w:ascii="仿宋" w:eastAsia="仿宋" w:hAnsi="仿宋" w:cs="Times New Roman" w:hint="eastAsia"/>
          <w:sz w:val="21"/>
          <w:szCs w:val="21"/>
        </w:rPr>
        <w:t>信息系统集成服务</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信息系统集成服务系公司的主要业务。公司提供的信息系统集成服务，以客户的应用需求为出发点，在合理规划的基础上，综合应用各种信息技术，通过软件系统定制、硬件平台搭建等，将各个分离的软硬件设备连接成为一个完整、可靠、经济有效的整体，使之能彼此协调工作，完成信息系统平台构建，满足客户使用需求。</w:t>
      </w:r>
    </w:p>
    <w:p w:rsidR="009472F1" w:rsidRPr="00812C32" w:rsidRDefault="00860FE8">
      <w:pPr>
        <w:pStyle w:val="a3"/>
        <w:spacing w:before="120" w:beforeAutospacing="0" w:after="0" w:afterAutospacing="0"/>
        <w:ind w:firstLine="420"/>
        <w:jc w:val="both"/>
        <w:divId w:val="1446197468"/>
        <w:rPr>
          <w:rFonts w:ascii="仿宋" w:eastAsia="仿宋" w:hAnsi="仿宋" w:cs="Times New Roman"/>
          <w:sz w:val="18"/>
          <w:szCs w:val="18"/>
        </w:rPr>
      </w:pPr>
      <w:r w:rsidRPr="00812C32">
        <w:rPr>
          <w:rFonts w:ascii="仿宋" w:eastAsia="仿宋" w:hAnsi="仿宋" w:cs="Times New Roman"/>
          <w:sz w:val="21"/>
          <w:szCs w:val="21"/>
        </w:rPr>
        <w:t>2.</w:t>
      </w:r>
      <w:r w:rsidRPr="00812C32">
        <w:rPr>
          <w:rFonts w:ascii="仿宋" w:eastAsia="仿宋" w:hAnsi="仿宋" w:cs="Times New Roman" w:hint="eastAsia"/>
          <w:sz w:val="21"/>
          <w:szCs w:val="21"/>
        </w:rPr>
        <w:t>软件开发及技术服务</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软件开发及技术服务系公司的核心业务。公司依托深圳、汕头两地研发中心及子公司互联精英，聚焦于智慧城市领域，持续投入和创新，在政务、教育、医疗等领域开发了一系列产品和解决方案，同时可为客户特定需求提供定制化产品开发服务。</w:t>
      </w:r>
    </w:p>
    <w:p w:rsidR="009472F1" w:rsidRPr="00812C32" w:rsidRDefault="00860FE8">
      <w:pPr>
        <w:pStyle w:val="a3"/>
        <w:spacing w:before="120" w:beforeAutospacing="0" w:after="0" w:afterAutospacing="0"/>
        <w:ind w:firstLine="420"/>
        <w:jc w:val="both"/>
        <w:divId w:val="1446197468"/>
        <w:rPr>
          <w:rFonts w:ascii="仿宋" w:eastAsia="仿宋" w:hAnsi="仿宋" w:cs="Times New Roman"/>
          <w:sz w:val="18"/>
          <w:szCs w:val="18"/>
        </w:rPr>
      </w:pPr>
      <w:r w:rsidRPr="00812C32">
        <w:rPr>
          <w:rFonts w:ascii="仿宋" w:eastAsia="仿宋" w:hAnsi="仿宋" w:cs="Times New Roman"/>
          <w:sz w:val="21"/>
          <w:szCs w:val="21"/>
        </w:rPr>
        <w:t>3.</w:t>
      </w:r>
      <w:r w:rsidRPr="00812C32">
        <w:rPr>
          <w:rFonts w:ascii="仿宋" w:eastAsia="仿宋" w:hAnsi="仿宋" w:cs="Times New Roman" w:hint="eastAsia"/>
          <w:sz w:val="21"/>
          <w:szCs w:val="21"/>
        </w:rPr>
        <w:t>信息系统运维服务</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信息系统运维服务系公司的传统业务，公司建立了专业服务团队和统一服务平台，打造形成专业信息系统运维服务模式，可为客户提供包括信息系统集成项目维保服务、驻点运维服务、企业客户</w:t>
      </w:r>
      <w:r w:rsidRPr="00812C32">
        <w:rPr>
          <w:rFonts w:ascii="仿宋" w:eastAsia="仿宋" w:hAnsi="仿宋" w:cs="Times New Roman"/>
          <w:sz w:val="21"/>
          <w:szCs w:val="21"/>
        </w:rPr>
        <w:t>IT</w:t>
      </w:r>
      <w:r w:rsidRPr="00812C32">
        <w:rPr>
          <w:rFonts w:ascii="仿宋" w:eastAsia="仿宋" w:hAnsi="仿宋" w:cs="Times New Roman" w:hint="eastAsia"/>
          <w:sz w:val="21"/>
          <w:szCs w:val="21"/>
        </w:rPr>
        <w:t>运营运维服务等。</w:t>
      </w:r>
    </w:p>
    <w:p w:rsidR="009472F1" w:rsidRPr="00812C32" w:rsidRDefault="00860FE8">
      <w:pPr>
        <w:pStyle w:val="a3"/>
        <w:spacing w:before="120" w:beforeAutospacing="0" w:after="0" w:afterAutospacing="0"/>
        <w:ind w:firstLine="420"/>
        <w:jc w:val="both"/>
        <w:divId w:val="1446197468"/>
        <w:rPr>
          <w:rFonts w:ascii="仿宋" w:eastAsia="仿宋" w:hAnsi="仿宋" w:cs="Times New Roman"/>
          <w:sz w:val="18"/>
          <w:szCs w:val="18"/>
        </w:rPr>
      </w:pPr>
      <w:r w:rsidRPr="00812C32">
        <w:rPr>
          <w:rFonts w:ascii="仿宋" w:eastAsia="仿宋" w:hAnsi="仿宋" w:cs="Times New Roman"/>
          <w:sz w:val="21"/>
          <w:szCs w:val="21"/>
        </w:rPr>
        <w:t>4.</w:t>
      </w:r>
      <w:r w:rsidRPr="00812C32">
        <w:rPr>
          <w:rFonts w:ascii="仿宋" w:eastAsia="仿宋" w:hAnsi="仿宋" w:cs="Times New Roman" w:hint="eastAsia"/>
          <w:sz w:val="21"/>
          <w:szCs w:val="21"/>
        </w:rPr>
        <w:t>信息设备销售</w:t>
      </w:r>
    </w:p>
    <w:p w:rsidR="009472F1" w:rsidRPr="00812C32" w:rsidRDefault="00860FE8">
      <w:pPr>
        <w:pStyle w:val="a3"/>
        <w:spacing w:before="120" w:beforeAutospacing="0" w:after="0" w:afterAutospacing="0"/>
        <w:ind w:firstLine="436"/>
        <w:jc w:val="both"/>
        <w:divId w:val="1446197468"/>
        <w:rPr>
          <w:rFonts w:ascii="仿宋" w:eastAsia="仿宋" w:hAnsi="仿宋" w:cs="Times New Roman"/>
          <w:sz w:val="18"/>
          <w:szCs w:val="18"/>
        </w:rPr>
      </w:pPr>
      <w:r w:rsidRPr="00812C32">
        <w:rPr>
          <w:rFonts w:ascii="仿宋" w:eastAsia="仿宋" w:hAnsi="仿宋" w:cs="Times New Roman" w:hint="eastAsia"/>
          <w:sz w:val="21"/>
          <w:szCs w:val="21"/>
        </w:rPr>
        <w:t>信息设备销售业务主要系公司在提供信息技术服务的过程中，充分利用所积累的供应商资源为客户提供信息设备供货服务。</w:t>
      </w:r>
    </w:p>
    <w:p w:rsidR="008A2EE2" w:rsidRPr="00812C32" w:rsidRDefault="00860FE8">
      <w:pPr>
        <w:pStyle w:val="3"/>
        <w:spacing w:line="280" w:lineRule="exact"/>
        <w:jc w:val="left"/>
        <w:rPr>
          <w:rFonts w:ascii="仿宋" w:eastAsia="仿宋" w:hAnsi="仿宋" w:cs="宋体"/>
          <w:b/>
          <w:bCs/>
        </w:rPr>
      </w:pPr>
      <w:bookmarkStart w:id="5" w:name="_Toc988893"/>
      <w:r w:rsidRPr="00812C32">
        <w:rPr>
          <w:rFonts w:ascii="仿宋" w:eastAsia="仿宋" w:hAnsi="仿宋" w:cs="宋体"/>
          <w:b/>
          <w:bCs/>
        </w:rPr>
        <w:t>3、主要会计数据和财务指标</w:t>
      </w:r>
      <w:bookmarkEnd w:id="5"/>
    </w:p>
    <w:p w:rsidR="008A2EE2" w:rsidRPr="00812C32" w:rsidRDefault="00860FE8">
      <w:pPr>
        <w:keepNext/>
        <w:keepLines/>
        <w:spacing w:before="300" w:after="300" w:line="280" w:lineRule="exact"/>
        <w:outlineLvl w:val="3"/>
        <w:rPr>
          <w:rFonts w:ascii="仿宋" w:eastAsia="仿宋" w:hAnsi="仿宋" w:cs="宋体"/>
          <w:b/>
          <w:bCs/>
          <w:sz w:val="18"/>
          <w:szCs w:val="18"/>
        </w:rPr>
      </w:pPr>
      <w:bookmarkStart w:id="6" w:name="_Toc988894"/>
      <w:r w:rsidRPr="00812C32">
        <w:rPr>
          <w:rFonts w:ascii="仿宋" w:eastAsia="仿宋" w:hAnsi="仿宋" w:cs="宋体"/>
          <w:b/>
          <w:bCs/>
          <w:sz w:val="18"/>
          <w:szCs w:val="18"/>
        </w:rPr>
        <w:t>（1） 近三年主要会计数据和财务指标</w:t>
      </w:r>
      <w:bookmarkEnd w:id="6"/>
    </w:p>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公司是否需追溯调整或重述以前年度会计数据</w:t>
      </w:r>
    </w:p>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 xml:space="preserve">□是 </w:t>
      </w:r>
      <w:r w:rsidRPr="00812C32">
        <w:rPr>
          <w:rFonts w:ascii="仿宋" w:eastAsia="仿宋" w:hAnsi="仿宋" w:cs="宋体"/>
          <w:sz w:val="18"/>
          <w:szCs w:val="18"/>
        </w:rPr>
        <w:sym w:font="Wingdings 2" w:char="F052"/>
      </w:r>
      <w:r w:rsidRPr="00812C32">
        <w:rPr>
          <w:rFonts w:ascii="仿宋" w:eastAsia="仿宋" w:hAnsi="仿宋" w:cs="宋体"/>
          <w:sz w:val="18"/>
          <w:szCs w:val="18"/>
        </w:rPr>
        <w:t>否</w:t>
      </w:r>
    </w:p>
    <w:p w:rsidR="008A2EE2" w:rsidRPr="00812C32" w:rsidRDefault="00860FE8">
      <w:pPr>
        <w:spacing w:before="120" w:after="120" w:line="240" w:lineRule="exact"/>
        <w:jc w:val="right"/>
        <w:rPr>
          <w:rFonts w:ascii="仿宋" w:eastAsia="仿宋" w:hAnsi="仿宋" w:cs="宋体"/>
          <w:sz w:val="18"/>
          <w:szCs w:val="18"/>
        </w:rPr>
      </w:pPr>
      <w:r w:rsidRPr="00812C32">
        <w:rPr>
          <w:rFonts w:ascii="仿宋" w:eastAsia="仿宋" w:hAnsi="仿宋" w:cs="宋体"/>
          <w:sz w:val="18"/>
          <w:szCs w:val="18"/>
        </w:rPr>
        <w:t>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2022年末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2021年末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本年末比上年末增减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2020年末</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总资产</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1,015,025,262.14</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1,008,213,719.67</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0.68%</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446,182,779.10</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归属于上市公司股东的净资产</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839,546,349.74</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818,790,589.03</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2.53%</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252,972,412.09</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2021年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本年比上年增减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2020年</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439,217,532.36</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467,129,176.10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-5.98%</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366,896,926.99</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39,562,653.20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55,657,076.39</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-28.92%</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54,462,271.53</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29,039,448.10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51,948,488.27</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-44.10%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50,994,419.91</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-64,143,131.73</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-33,654,600.68</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-90.59%</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93,325,631.64</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0.6</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1.09</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-44.95%</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1.1</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0.6</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1.09</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-44.95%</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1.1</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4.72%</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17.22%</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-12.50%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23.41%</w:t>
            </w:r>
          </w:p>
        </w:tc>
      </w:tr>
    </w:tbl>
    <w:p w:rsidR="008A2EE2" w:rsidRPr="00812C32" w:rsidRDefault="00860FE8">
      <w:pPr>
        <w:keepNext/>
        <w:keepLines/>
        <w:spacing w:before="300" w:after="300" w:line="280" w:lineRule="exact"/>
        <w:outlineLvl w:val="3"/>
        <w:rPr>
          <w:rFonts w:ascii="仿宋" w:eastAsia="仿宋" w:hAnsi="仿宋" w:cs="宋体"/>
          <w:b/>
          <w:bCs/>
          <w:sz w:val="18"/>
          <w:szCs w:val="18"/>
        </w:rPr>
      </w:pPr>
      <w:bookmarkStart w:id="7" w:name="_Toc988895"/>
      <w:r w:rsidRPr="00812C32">
        <w:rPr>
          <w:rFonts w:ascii="仿宋" w:eastAsia="仿宋" w:hAnsi="仿宋" w:cs="宋体"/>
          <w:b/>
          <w:bCs/>
          <w:sz w:val="18"/>
          <w:szCs w:val="18"/>
        </w:rPr>
        <w:t>（2） 分季度主要会计数据</w:t>
      </w:r>
      <w:bookmarkEnd w:id="7"/>
    </w:p>
    <w:p w:rsidR="008A2EE2" w:rsidRPr="00812C32" w:rsidRDefault="00860FE8">
      <w:pPr>
        <w:spacing w:before="120" w:after="120" w:line="240" w:lineRule="exact"/>
        <w:jc w:val="right"/>
        <w:rPr>
          <w:rFonts w:ascii="仿宋" w:eastAsia="仿宋" w:hAnsi="仿宋" w:cs="宋体"/>
          <w:sz w:val="18"/>
          <w:szCs w:val="18"/>
        </w:rPr>
      </w:pPr>
      <w:r w:rsidRPr="00812C32">
        <w:rPr>
          <w:rFonts w:ascii="仿宋" w:eastAsia="仿宋" w:hAnsi="仿宋"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第四季度</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45,149,134.47</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90,089,465.20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97,071,659.51</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206,907,273.18</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983,546.35</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1,279,561.30</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3,732,452.35</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33,567,093.20</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-718,072.84</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-3,722,617.08</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1,804,920.51</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31,675,217.51</w:t>
            </w:r>
          </w:p>
        </w:tc>
      </w:tr>
      <w:tr w:rsidR="008A2EE2" w:rsidRPr="00812C3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-46,429,984.66</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-5,094,747.93</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-35,658,991.17</w:t>
            </w:r>
          </w:p>
        </w:tc>
        <w:tc>
          <w:tcPr>
            <w:tcW w:w="1928" w:type="dxa"/>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23,040,592.03</w:t>
            </w:r>
          </w:p>
        </w:tc>
      </w:tr>
    </w:tbl>
    <w:p w:rsidR="008A2EE2" w:rsidRPr="00812C32" w:rsidRDefault="00860FE8">
      <w:pPr>
        <w:spacing w:before="100" w:after="100" w:line="240" w:lineRule="exact"/>
        <w:rPr>
          <w:rFonts w:ascii="仿宋" w:eastAsia="仿宋" w:hAnsi="仿宋" w:cs="宋体"/>
          <w:sz w:val="18"/>
          <w:szCs w:val="18"/>
        </w:rPr>
      </w:pPr>
      <w:r w:rsidRPr="00812C32">
        <w:rPr>
          <w:rFonts w:ascii="仿宋" w:eastAsia="仿宋" w:hAnsi="仿宋" w:cs="宋体"/>
          <w:sz w:val="18"/>
          <w:szCs w:val="18"/>
        </w:rPr>
        <w:t>上述财务指标或其加总数是否与公司已披露季度报告、半年度报告相关财务指标存在重大差异</w:t>
      </w:r>
    </w:p>
    <w:p w:rsidR="008A2EE2" w:rsidRPr="00812C32" w:rsidRDefault="00860FE8">
      <w:pPr>
        <w:spacing w:before="100" w:after="100" w:line="240" w:lineRule="exact"/>
        <w:rPr>
          <w:rFonts w:ascii="仿宋" w:eastAsia="仿宋" w:hAnsi="仿宋" w:cs="宋体"/>
          <w:sz w:val="18"/>
          <w:szCs w:val="18"/>
        </w:rPr>
      </w:pPr>
      <w:r w:rsidRPr="00812C32">
        <w:rPr>
          <w:rFonts w:ascii="仿宋" w:eastAsia="仿宋" w:hAnsi="仿宋" w:cs="宋体"/>
          <w:sz w:val="18"/>
          <w:szCs w:val="18"/>
        </w:rPr>
        <w:t xml:space="preserve">□是 </w:t>
      </w:r>
      <w:r w:rsidRPr="00812C32">
        <w:rPr>
          <w:rFonts w:ascii="仿宋" w:eastAsia="仿宋" w:hAnsi="仿宋" w:cs="宋体"/>
          <w:sz w:val="18"/>
          <w:szCs w:val="18"/>
        </w:rPr>
        <w:sym w:font="Wingdings 2" w:char="F052"/>
      </w:r>
      <w:r w:rsidRPr="00812C32">
        <w:rPr>
          <w:rFonts w:ascii="仿宋" w:eastAsia="仿宋" w:hAnsi="仿宋" w:cs="宋体"/>
          <w:sz w:val="18"/>
          <w:szCs w:val="18"/>
        </w:rPr>
        <w:t>否</w:t>
      </w:r>
    </w:p>
    <w:p w:rsidR="008A2EE2" w:rsidRPr="00812C32" w:rsidRDefault="00860FE8">
      <w:pPr>
        <w:pStyle w:val="3"/>
        <w:spacing w:line="280" w:lineRule="exact"/>
        <w:jc w:val="left"/>
        <w:rPr>
          <w:rFonts w:ascii="仿宋" w:eastAsia="仿宋" w:hAnsi="仿宋" w:cs="宋体"/>
          <w:b/>
          <w:bCs/>
        </w:rPr>
      </w:pPr>
      <w:bookmarkStart w:id="8" w:name="_Toc988896"/>
      <w:r w:rsidRPr="00812C32">
        <w:rPr>
          <w:rFonts w:ascii="仿宋" w:eastAsia="仿宋" w:hAnsi="仿宋" w:cs="宋体"/>
          <w:b/>
          <w:bCs/>
        </w:rPr>
        <w:t>4、股本及股东情况</w:t>
      </w:r>
      <w:bookmarkEnd w:id="8"/>
    </w:p>
    <w:p w:rsidR="008A2EE2" w:rsidRPr="00812C32" w:rsidRDefault="00860FE8">
      <w:pPr>
        <w:keepNext/>
        <w:keepLines/>
        <w:spacing w:before="300" w:after="300" w:line="280" w:lineRule="exact"/>
        <w:outlineLvl w:val="3"/>
        <w:rPr>
          <w:rFonts w:ascii="仿宋" w:eastAsia="仿宋" w:hAnsi="仿宋" w:cs="宋体"/>
          <w:b/>
          <w:bCs/>
          <w:sz w:val="18"/>
          <w:szCs w:val="18"/>
        </w:rPr>
      </w:pPr>
      <w:bookmarkStart w:id="9" w:name="_Toc988897"/>
      <w:r w:rsidRPr="00812C32">
        <w:rPr>
          <w:rFonts w:ascii="仿宋" w:eastAsia="仿宋" w:hAnsi="仿宋" w:cs="宋体"/>
          <w:b/>
          <w:bCs/>
          <w:sz w:val="18"/>
          <w:szCs w:val="18"/>
        </w:rPr>
        <w:t>（1） 普通股股东和表决权恢复的优先股股东数量及前10名股东持股情况表</w:t>
      </w:r>
      <w:bookmarkEnd w:id="9"/>
    </w:p>
    <w:p w:rsidR="008A2EE2" w:rsidRPr="00812C32" w:rsidRDefault="00860FE8">
      <w:pPr>
        <w:spacing w:before="40" w:after="40" w:line="240" w:lineRule="exact"/>
        <w:jc w:val="right"/>
        <w:rPr>
          <w:rFonts w:ascii="仿宋" w:eastAsia="仿宋" w:hAnsi="仿宋" w:cs="宋体"/>
          <w:sz w:val="18"/>
          <w:szCs w:val="18"/>
        </w:rPr>
      </w:pPr>
      <w:r w:rsidRPr="00812C32">
        <w:rPr>
          <w:rFonts w:ascii="仿宋" w:eastAsia="仿宋" w:hAnsi="仿宋" w:cs="宋体"/>
          <w:sz w:val="18"/>
          <w:szCs w:val="18"/>
        </w:rPr>
        <w:t>单位：股</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65"/>
        <w:gridCol w:w="881"/>
        <w:gridCol w:w="1253"/>
        <w:gridCol w:w="757"/>
        <w:gridCol w:w="1088"/>
        <w:gridCol w:w="306"/>
        <w:gridCol w:w="1301"/>
        <w:gridCol w:w="571"/>
        <w:gridCol w:w="307"/>
        <w:gridCol w:w="1417"/>
        <w:gridCol w:w="307"/>
      </w:tblGrid>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报告期末普通股股东总数</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10,168</w:t>
            </w:r>
          </w:p>
        </w:tc>
        <w:tc>
          <w:tcPr>
            <w:tcW w:w="636" w:type="pc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年度报告披露日前一个月末普通股股东总数</w:t>
            </w:r>
          </w:p>
        </w:tc>
        <w:tc>
          <w:tcPr>
            <w:tcW w:w="384"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13,817</w:t>
            </w:r>
          </w:p>
        </w:tc>
        <w:tc>
          <w:tcPr>
            <w:tcW w:w="552" w:type="pc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报告期末表决权恢复的优先股股东总数</w:t>
            </w:r>
          </w:p>
        </w:tc>
        <w:tc>
          <w:tcPr>
            <w:tcW w:w="15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w:t>
            </w:r>
          </w:p>
        </w:tc>
        <w:tc>
          <w:tcPr>
            <w:tcW w:w="950"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年度报告披露日前一个月末表决权恢复的优先股股东总数</w:t>
            </w:r>
          </w:p>
        </w:tc>
        <w:tc>
          <w:tcPr>
            <w:tcW w:w="15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w:t>
            </w:r>
          </w:p>
        </w:tc>
        <w:tc>
          <w:tcPr>
            <w:tcW w:w="719" w:type="pc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持有特别表决权股份的股东总数（如有）</w:t>
            </w:r>
          </w:p>
        </w:tc>
        <w:tc>
          <w:tcPr>
            <w:tcW w:w="15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w:t>
            </w:r>
          </w:p>
        </w:tc>
      </w:tr>
      <w:tr w:rsidR="008A2EE2" w:rsidRPr="00812C32" w:rsidTr="00812C32">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前10名股东持股情况</w:t>
            </w:r>
          </w:p>
        </w:tc>
      </w:tr>
      <w:tr w:rsidR="008A2EE2" w:rsidRPr="00812C32" w:rsidTr="00812C32">
        <w:trPr>
          <w:trHeight w:val="240"/>
        </w:trPr>
        <w:tc>
          <w:tcPr>
            <w:tcW w:w="84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股东名称</w:t>
            </w:r>
          </w:p>
        </w:tc>
        <w:tc>
          <w:tcPr>
            <w:tcW w:w="44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股东性质</w:t>
            </w:r>
          </w:p>
        </w:tc>
        <w:tc>
          <w:tcPr>
            <w:tcW w:w="63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持股比例</w:t>
            </w:r>
          </w:p>
        </w:tc>
        <w:tc>
          <w:tcPr>
            <w:tcW w:w="936" w:type="pct"/>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持股数量</w:t>
            </w:r>
          </w:p>
        </w:tc>
        <w:tc>
          <w:tcPr>
            <w:tcW w:w="815" w:type="pct"/>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持有有限售条件的股份数量</w:t>
            </w:r>
          </w:p>
        </w:tc>
        <w:tc>
          <w:tcPr>
            <w:tcW w:w="1320"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质押、标记或冻结情况</w:t>
            </w:r>
          </w:p>
        </w:tc>
      </w:tr>
      <w:tr w:rsidR="008A2EE2" w:rsidRPr="00812C32" w:rsidTr="00812C32">
        <w:trPr>
          <w:trHeight w:val="240"/>
        </w:trPr>
        <w:tc>
          <w:tcPr>
            <w:tcW w:w="84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44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63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936" w:type="pct"/>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815" w:type="pct"/>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A2EE2">
            <w:pPr>
              <w:rPr>
                <w:rFonts w:ascii="仿宋" w:eastAsia="仿宋" w:hAnsi="仿宋"/>
              </w:rPr>
            </w:pPr>
          </w:p>
        </w:tc>
        <w:tc>
          <w:tcPr>
            <w:tcW w:w="446"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股份状态</w:t>
            </w:r>
          </w:p>
        </w:tc>
        <w:tc>
          <w:tcPr>
            <w:tcW w:w="87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jc w:val="center"/>
              <w:rPr>
                <w:rFonts w:ascii="仿宋" w:eastAsia="仿宋" w:hAnsi="仿宋" w:cs="宋体"/>
                <w:sz w:val="18"/>
                <w:szCs w:val="18"/>
              </w:rPr>
            </w:pPr>
            <w:r w:rsidRPr="00812C32">
              <w:rPr>
                <w:rFonts w:ascii="仿宋" w:eastAsia="仿宋" w:hAnsi="仿宋" w:cs="宋体"/>
                <w:sz w:val="18"/>
                <w:szCs w:val="18"/>
              </w:rPr>
              <w:t>数量</w:t>
            </w: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林明玲</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境内自然人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28.43%</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18,751,824.00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18,751,824.00</w:t>
            </w: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深圳市乐成信息咨询管理企业（有限合伙）</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境内非国有法人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6.75%</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4,451,999.00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揭阳奥邦投资咨询有限公司</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境内非国有法人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6.65%</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4,384,240.00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质押</w:t>
            </w: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3,558,215.00</w:t>
            </w: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汕头市励志投资管理合伙企业（有限合伙）</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境内非国有法人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5.47%</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3,606,120.00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马学沛</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境内自然人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5.47%</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3,606,120.00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3,606,120.00</w:t>
            </w: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共青城东兴博元投资中心（有限合伙）</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境内非国有法人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3.75%</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2,473,801.00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西藏思科瑞股权投资中心（有限合伙）</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境内非国有法人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2.81%</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1,855,800.00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广东省粤科母基金投资管理有限公司－广东粤科华侨创新创业投资中心（有限合伙）</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其他</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2.02%</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1,330,000.00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徐逸云</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境内自然人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1.28%</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846,800.00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845"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张儒平</w:t>
            </w:r>
          </w:p>
        </w:tc>
        <w:tc>
          <w:tcPr>
            <w:tcW w:w="447"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境内自然人</w:t>
            </w:r>
          </w:p>
        </w:tc>
        <w:tc>
          <w:tcPr>
            <w:tcW w:w="636" w:type="pct"/>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0.85%</w:t>
            </w:r>
          </w:p>
        </w:tc>
        <w:tc>
          <w:tcPr>
            <w:tcW w:w="93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jc w:val="right"/>
              <w:rPr>
                <w:rFonts w:ascii="仿宋" w:eastAsia="仿宋" w:hAnsi="仿宋" w:cs="宋体"/>
                <w:sz w:val="18"/>
                <w:szCs w:val="18"/>
              </w:rPr>
            </w:pPr>
            <w:r w:rsidRPr="00812C32">
              <w:rPr>
                <w:rFonts w:ascii="仿宋" w:eastAsia="仿宋" w:hAnsi="仿宋" w:cs="宋体"/>
                <w:sz w:val="18"/>
                <w:szCs w:val="18"/>
              </w:rPr>
              <w:t>561,176.00</w:t>
            </w:r>
          </w:p>
        </w:tc>
        <w:tc>
          <w:tcPr>
            <w:tcW w:w="815"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c>
          <w:tcPr>
            <w:tcW w:w="446"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rPr>
                <w:rFonts w:ascii="仿宋" w:eastAsia="仿宋" w:hAnsi="仿宋" w:cs="宋体"/>
                <w:sz w:val="18"/>
                <w:szCs w:val="18"/>
              </w:rPr>
            </w:pPr>
          </w:p>
        </w:tc>
        <w:tc>
          <w:tcPr>
            <w:tcW w:w="874" w:type="pct"/>
            <w:gridSpan w:val="2"/>
            <w:tcBorders>
              <w:top w:val="single" w:sz="2" w:space="0" w:color="auto"/>
              <w:left w:val="single" w:sz="2" w:space="0" w:color="auto"/>
              <w:bottom w:val="single" w:sz="2" w:space="0" w:color="auto"/>
              <w:right w:val="single" w:sz="2" w:space="0" w:color="auto"/>
            </w:tcBorders>
            <w:vAlign w:val="center"/>
          </w:tcPr>
          <w:p w:rsidR="008A2EE2" w:rsidRPr="00812C32" w:rsidRDefault="008A2EE2">
            <w:pPr>
              <w:spacing w:line="240" w:lineRule="exact"/>
              <w:jc w:val="right"/>
              <w:rPr>
                <w:rFonts w:ascii="仿宋" w:eastAsia="仿宋" w:hAnsi="仿宋" w:cs="宋体"/>
                <w:sz w:val="18"/>
                <w:szCs w:val="18"/>
              </w:rPr>
            </w:pPr>
          </w:p>
        </w:tc>
      </w:tr>
      <w:tr w:rsidR="008A2EE2" w:rsidRPr="00812C32" w:rsidTr="00812C32">
        <w:trPr>
          <w:trHeight w:val="240"/>
        </w:trPr>
        <w:tc>
          <w:tcPr>
            <w:tcW w:w="1292"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上述股东关联关系或一致行动的说明</w:t>
            </w:r>
          </w:p>
        </w:tc>
        <w:tc>
          <w:tcPr>
            <w:tcW w:w="3708" w:type="pct"/>
            <w:gridSpan w:val="9"/>
            <w:tcBorders>
              <w:top w:val="single" w:sz="2" w:space="0" w:color="auto"/>
              <w:left w:val="single" w:sz="2" w:space="0" w:color="auto"/>
              <w:bottom w:val="single" w:sz="2" w:space="0" w:color="auto"/>
              <w:right w:val="single" w:sz="2" w:space="0" w:color="auto"/>
            </w:tcBorders>
            <w:vAlign w:val="center"/>
          </w:tcPr>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普通股前十名股东之间，马学沛与林明玲系夫妻关系，马学沛为汕头市励志投资管理合伙企业（有限合伙）的执行事务合伙人。上述其他股东之间未知是否存在关联关系或属于一致行动人。</w:t>
            </w:r>
          </w:p>
        </w:tc>
      </w:tr>
    </w:tbl>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公司是否具有表决权差异安排</w:t>
      </w:r>
    </w:p>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 xml:space="preserve">□适用 </w:t>
      </w:r>
      <w:r w:rsidRPr="00812C32">
        <w:rPr>
          <w:rFonts w:ascii="仿宋" w:eastAsia="仿宋" w:hAnsi="仿宋" w:cs="宋体"/>
          <w:sz w:val="18"/>
          <w:szCs w:val="18"/>
        </w:rPr>
        <w:sym w:font="Wingdings 2" w:char="F052"/>
      </w:r>
      <w:r w:rsidRPr="00812C32">
        <w:rPr>
          <w:rFonts w:ascii="仿宋" w:eastAsia="仿宋" w:hAnsi="仿宋" w:cs="宋体"/>
          <w:sz w:val="18"/>
          <w:szCs w:val="18"/>
        </w:rPr>
        <w:t>不适用</w:t>
      </w:r>
    </w:p>
    <w:p w:rsidR="008A2EE2" w:rsidRPr="00812C32" w:rsidRDefault="00860FE8">
      <w:pPr>
        <w:keepNext/>
        <w:keepLines/>
        <w:spacing w:before="300" w:after="300" w:line="280" w:lineRule="exact"/>
        <w:outlineLvl w:val="3"/>
        <w:rPr>
          <w:rFonts w:ascii="仿宋" w:eastAsia="仿宋" w:hAnsi="仿宋" w:cs="宋体"/>
          <w:b/>
          <w:bCs/>
          <w:sz w:val="18"/>
          <w:szCs w:val="18"/>
        </w:rPr>
      </w:pPr>
      <w:bookmarkStart w:id="10" w:name="_Toc988898"/>
      <w:r w:rsidRPr="00812C32">
        <w:rPr>
          <w:rFonts w:ascii="仿宋" w:eastAsia="仿宋" w:hAnsi="仿宋" w:cs="宋体"/>
          <w:b/>
          <w:bCs/>
          <w:sz w:val="18"/>
          <w:szCs w:val="18"/>
        </w:rPr>
        <w:t>（2） 公司优先股股东总数及前10名优先股股东持股情况表</w:t>
      </w:r>
      <w:bookmarkEnd w:id="10"/>
    </w:p>
    <w:p w:rsidR="008A2EE2" w:rsidRPr="00812C32" w:rsidRDefault="008A2EE2">
      <w:pPr>
        <w:spacing w:before="40" w:after="40" w:line="0" w:lineRule="atLeast"/>
        <w:rPr>
          <w:rFonts w:ascii="仿宋" w:eastAsia="仿宋" w:hAnsi="仿宋"/>
        </w:rPr>
      </w:pPr>
    </w:p>
    <w:p w:rsidR="008A2EE2" w:rsidRPr="00812C32" w:rsidRDefault="00860FE8">
      <w:pPr>
        <w:spacing w:line="240" w:lineRule="exact"/>
        <w:rPr>
          <w:rFonts w:ascii="仿宋" w:eastAsia="仿宋" w:hAnsi="仿宋" w:cs="宋体"/>
          <w:sz w:val="18"/>
          <w:szCs w:val="18"/>
        </w:rPr>
      </w:pPr>
      <w:r w:rsidRPr="00812C32">
        <w:rPr>
          <w:rFonts w:ascii="仿宋" w:eastAsia="仿宋" w:hAnsi="仿宋" w:cs="宋体"/>
          <w:sz w:val="18"/>
          <w:szCs w:val="18"/>
        </w:rPr>
        <w:t>公司报告期无优先股股东持股情况。</w:t>
      </w:r>
    </w:p>
    <w:p w:rsidR="008A2EE2" w:rsidRPr="00812C32" w:rsidRDefault="00860FE8">
      <w:pPr>
        <w:keepNext/>
        <w:keepLines/>
        <w:spacing w:before="300" w:after="300" w:line="280" w:lineRule="exact"/>
        <w:outlineLvl w:val="3"/>
        <w:rPr>
          <w:rFonts w:ascii="仿宋" w:eastAsia="仿宋" w:hAnsi="仿宋" w:cs="宋体"/>
          <w:b/>
          <w:bCs/>
          <w:sz w:val="18"/>
          <w:szCs w:val="18"/>
        </w:rPr>
      </w:pPr>
      <w:bookmarkStart w:id="11" w:name="_Toc988899"/>
      <w:r w:rsidRPr="00812C32">
        <w:rPr>
          <w:rFonts w:ascii="仿宋" w:eastAsia="仿宋" w:hAnsi="仿宋" w:cs="宋体"/>
          <w:b/>
          <w:bCs/>
          <w:sz w:val="18"/>
          <w:szCs w:val="18"/>
        </w:rPr>
        <w:t>（3） 以方框图形式披露公司与实际控制人之间的产权及控制关系</w:t>
      </w:r>
      <w:bookmarkEnd w:id="11"/>
    </w:p>
    <w:p w:rsidR="008A2EE2" w:rsidRPr="00812C32" w:rsidRDefault="00860FE8" w:rsidP="00812C32">
      <w:pPr>
        <w:spacing w:before="40" w:after="40" w:line="0" w:lineRule="atLeast"/>
        <w:jc w:val="center"/>
        <w:rPr>
          <w:rFonts w:ascii="仿宋" w:eastAsia="仿宋" w:hAnsi="仿宋" w:cs="Times New Roman"/>
        </w:rPr>
      </w:pPr>
      <w:r w:rsidRPr="00812C32">
        <w:rPr>
          <w:rFonts w:ascii="仿宋" w:eastAsia="仿宋" w:hAnsi="仿宋" w:cs="Times New Roman"/>
          <w:noProof/>
        </w:rPr>
        <w:drawing>
          <wp:inline distT="0" distB="0" distL="0" distR="0" wp14:anchorId="65D5946E" wp14:editId="4DAC29E9">
            <wp:extent cx="5181600" cy="218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5181600" cy="2185987"/>
                    </a:xfrm>
                    <a:prstGeom prst="rect">
                      <a:avLst/>
                    </a:prstGeom>
                  </pic:spPr>
                </pic:pic>
              </a:graphicData>
            </a:graphic>
          </wp:inline>
        </w:drawing>
      </w:r>
    </w:p>
    <w:p w:rsidR="008A2EE2" w:rsidRPr="00812C32" w:rsidRDefault="00860FE8">
      <w:pPr>
        <w:pStyle w:val="3"/>
        <w:spacing w:line="280" w:lineRule="exact"/>
        <w:jc w:val="left"/>
        <w:rPr>
          <w:rFonts w:ascii="仿宋" w:eastAsia="仿宋" w:hAnsi="仿宋" w:cs="宋体"/>
          <w:b/>
          <w:bCs/>
        </w:rPr>
      </w:pPr>
      <w:bookmarkStart w:id="12" w:name="_Toc988900"/>
      <w:r w:rsidRPr="00812C32">
        <w:rPr>
          <w:rFonts w:ascii="仿宋" w:eastAsia="仿宋" w:hAnsi="仿宋" w:cs="宋体"/>
          <w:b/>
          <w:bCs/>
        </w:rPr>
        <w:t>5、在年度报告批准报出日存续的债券情况</w:t>
      </w:r>
      <w:bookmarkEnd w:id="12"/>
    </w:p>
    <w:p w:rsidR="008A2EE2" w:rsidRPr="00812C32" w:rsidRDefault="00860FE8">
      <w:pPr>
        <w:spacing w:before="40" w:after="40" w:line="240" w:lineRule="exact"/>
        <w:rPr>
          <w:rFonts w:ascii="仿宋" w:eastAsia="仿宋" w:hAnsi="仿宋" w:cs="宋体"/>
          <w:sz w:val="18"/>
          <w:szCs w:val="18"/>
        </w:rPr>
      </w:pPr>
      <w:r w:rsidRPr="00812C32">
        <w:rPr>
          <w:rFonts w:ascii="仿宋" w:eastAsia="仿宋" w:hAnsi="仿宋" w:cs="宋体"/>
          <w:sz w:val="18"/>
          <w:szCs w:val="18"/>
        </w:rPr>
        <w:t xml:space="preserve">□适用 </w:t>
      </w:r>
      <w:r w:rsidRPr="00812C32">
        <w:rPr>
          <w:rFonts w:ascii="仿宋" w:eastAsia="仿宋" w:hAnsi="仿宋" w:cs="宋体"/>
          <w:sz w:val="18"/>
          <w:szCs w:val="18"/>
        </w:rPr>
        <w:sym w:font="Wingdings 2" w:char="F052"/>
      </w:r>
      <w:r w:rsidRPr="00812C32">
        <w:rPr>
          <w:rFonts w:ascii="仿宋" w:eastAsia="仿宋" w:hAnsi="仿宋" w:cs="宋体"/>
          <w:sz w:val="18"/>
          <w:szCs w:val="18"/>
        </w:rPr>
        <w:t>不适用</w:t>
      </w:r>
    </w:p>
    <w:p w:rsidR="008A2EE2" w:rsidRPr="00812C32" w:rsidRDefault="00860FE8">
      <w:pPr>
        <w:pStyle w:val="2"/>
        <w:spacing w:before="300" w:after="300" w:line="320" w:lineRule="exact"/>
        <w:rPr>
          <w:rFonts w:ascii="仿宋" w:eastAsia="仿宋" w:hAnsi="仿宋" w:cs="宋体"/>
          <w:b/>
          <w:bCs/>
          <w:sz w:val="24"/>
          <w:szCs w:val="24"/>
        </w:rPr>
      </w:pPr>
      <w:bookmarkStart w:id="13" w:name="_Toc988901"/>
      <w:r w:rsidRPr="00812C32">
        <w:rPr>
          <w:rFonts w:ascii="仿宋" w:eastAsia="仿宋" w:hAnsi="仿宋" w:cs="宋体"/>
          <w:b/>
          <w:bCs/>
          <w:sz w:val="24"/>
          <w:szCs w:val="24"/>
        </w:rPr>
        <w:t>三、重要事项</w:t>
      </w:r>
      <w:bookmarkEnd w:id="13"/>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sz w:val="21"/>
          <w:szCs w:val="21"/>
        </w:rPr>
        <w:t>（一）董事会、监事会换届选举及高级管理人员聘任情况</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sz w:val="21"/>
          <w:szCs w:val="21"/>
        </w:rPr>
        <w:t>1.</w:t>
      </w:r>
      <w:r w:rsidRPr="00812C32">
        <w:rPr>
          <w:rFonts w:ascii="仿宋" w:eastAsia="仿宋" w:hAnsi="仿宋" w:hint="eastAsia"/>
          <w:color w:val="000000"/>
          <w:sz w:val="21"/>
          <w:szCs w:val="21"/>
        </w:rPr>
        <w:t xml:space="preserve"> 公司于2022年2月11日召开第二届董事会第二十四次会议，分别审议通过了《关于董事会换届选举暨提名第三届董事会非独立董事候选人的议案》和《关于董事会换届选举暨提名第三届董事会独立董事候选人的议案》。经董事会提名委员会审核，董事会提名林明玲女士、马学沛先生、高俊斌先生、张毅先生、马淦江先生五人为公司第三届董事会非独立董事候选人，提名曹丽梅女士、蔡浩先生、李洁芝女士三人为公司第三届董事会独立董事候选人，其中曹丽梅女士为会计专业人士。</w:t>
      </w:r>
    </w:p>
    <w:p w:rsidR="009472F1" w:rsidRPr="00812C32" w:rsidRDefault="00860FE8">
      <w:pPr>
        <w:pStyle w:val="a3"/>
        <w:spacing w:before="156" w:beforeAutospacing="0" w:after="156" w:afterAutospacing="0"/>
        <w:ind w:firstLine="420"/>
        <w:jc w:val="both"/>
        <w:divId w:val="1888954010"/>
        <w:rPr>
          <w:rFonts w:ascii="仿宋" w:eastAsia="仿宋" w:hAnsi="仿宋"/>
        </w:rPr>
      </w:pPr>
      <w:r w:rsidRPr="00812C32">
        <w:rPr>
          <w:rFonts w:ascii="仿宋" w:eastAsia="仿宋" w:hAnsi="仿宋" w:hint="eastAsia"/>
          <w:color w:val="000000"/>
        </w:rPr>
        <w:t>2.</w:t>
      </w:r>
      <w:r w:rsidRPr="00812C32">
        <w:rPr>
          <w:rFonts w:ascii="仿宋" w:eastAsia="仿宋" w:hAnsi="仿宋" w:cs="Times New Roman"/>
          <w:color w:val="000000"/>
        </w:rPr>
        <w:t xml:space="preserve"> </w:t>
      </w:r>
      <w:r w:rsidRPr="00812C32">
        <w:rPr>
          <w:rFonts w:ascii="仿宋" w:eastAsia="仿宋" w:hAnsi="仿宋" w:hint="eastAsia"/>
          <w:color w:val="000000"/>
          <w:sz w:val="21"/>
          <w:szCs w:val="21"/>
        </w:rPr>
        <w:t>公司于</w:t>
      </w:r>
      <w:r w:rsidRPr="00812C32">
        <w:rPr>
          <w:rFonts w:ascii="仿宋" w:eastAsia="仿宋" w:hAnsi="仿宋" w:cs="Times New Roman"/>
          <w:color w:val="000000"/>
          <w:sz w:val="21"/>
          <w:szCs w:val="21"/>
        </w:rPr>
        <w:t>2022</w:t>
      </w:r>
      <w:r w:rsidRPr="00812C32">
        <w:rPr>
          <w:rFonts w:ascii="仿宋" w:eastAsia="仿宋" w:hAnsi="仿宋" w:hint="eastAsia"/>
          <w:color w:val="000000"/>
          <w:sz w:val="21"/>
          <w:szCs w:val="21"/>
        </w:rPr>
        <w:t>年</w:t>
      </w:r>
      <w:r w:rsidRPr="00812C32">
        <w:rPr>
          <w:rFonts w:ascii="仿宋" w:eastAsia="仿宋" w:hAnsi="仿宋" w:cs="Times New Roman"/>
          <w:color w:val="000000"/>
          <w:sz w:val="21"/>
          <w:szCs w:val="21"/>
        </w:rPr>
        <w:t>2</w:t>
      </w:r>
      <w:r w:rsidRPr="00812C32">
        <w:rPr>
          <w:rFonts w:ascii="仿宋" w:eastAsia="仿宋" w:hAnsi="仿宋" w:hint="eastAsia"/>
          <w:color w:val="000000"/>
          <w:sz w:val="21"/>
          <w:szCs w:val="21"/>
        </w:rPr>
        <w:t>月</w:t>
      </w:r>
      <w:r w:rsidRPr="00812C32">
        <w:rPr>
          <w:rFonts w:ascii="仿宋" w:eastAsia="仿宋" w:hAnsi="仿宋" w:cs="Times New Roman"/>
          <w:color w:val="000000"/>
          <w:sz w:val="21"/>
          <w:szCs w:val="21"/>
        </w:rPr>
        <w:t>11</w:t>
      </w:r>
      <w:r w:rsidRPr="00812C32">
        <w:rPr>
          <w:rFonts w:ascii="仿宋" w:eastAsia="仿宋" w:hAnsi="仿宋" w:hint="eastAsia"/>
          <w:color w:val="000000"/>
          <w:sz w:val="21"/>
          <w:szCs w:val="21"/>
        </w:rPr>
        <w:t>日召开第二届监事会第十五次会议，审议通过了《关于监事会换届选举暨提名第三届监事会非职工代表监事候选人的议案》，同意提名毛晓玲女士为公司第三届监事会非职工代表监事。非职工代表监事候选人需提交公司股东大会审议，通过后将与公司职工代表大会选举产生的职工代表监事共同组成第三届监事会。第三届监事会中职工代表监事比例未低于三分之一，符合法律法规及《公司章程》的相关规定。</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color w:val="000000"/>
          <w:sz w:val="21"/>
          <w:szCs w:val="21"/>
        </w:rPr>
        <w:t>3.2022年3月4日，公司召开第三届董事会第一次会议，审议通过《关于聘任公司高级管理人员的议案》，聘任马学沛先生为总经理，李华青先生为副总经理、董事会秘书、财务总监，陈曼秋女士不再担任副总经理职务。</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color w:val="000000"/>
          <w:sz w:val="21"/>
          <w:szCs w:val="21"/>
        </w:rPr>
        <w:t>2022年10月27日，公司召开第三届董事会第七次会议，审议通过了《关于高级管理人员工作调整暨聘任财务总监的议案》：因工作需要，李华青先生辞任财务总监，后继续担任公司副总经理、董事会秘书职务；公司另聘任陈焕盛先生为财务总监。</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color w:val="000000"/>
          <w:sz w:val="21"/>
          <w:szCs w:val="21"/>
        </w:rPr>
        <w:t>（二）2021年度权益分派</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color w:val="000000"/>
          <w:sz w:val="21"/>
          <w:szCs w:val="21"/>
        </w:rPr>
        <w:t>报告期内，公司实施了2021年度权益分派。公司于2022年4月26日召开第三届董事会第三次会议和第三届监事会第二次会议，并于2022年5月19日召开2021年年度股东大会，审议通过公司2021年年度利润分配方案。分配方案为：以权益分派股权登记日总股本47,112,000股为基数，向全体股东每10股派发现金股利人民币4.00元（含税），合计派发现金股利人民币18,844,800元（含税）；不送红股，剩余未分配利润结转至以后年度；以资本公积金向全体股东每10股转增4股，共计转增18,844,800股，转增后公司总股本为65,956,800股。在董事会及股东大会审议通过后至实施权益分派股权登记日期间，若公司总股本发生变化，公司将按照“现金分红总额、资本公积金转增股本总额固定不变”的原则相应调整。本次权益分派股权登记日为：2022年6月10日，除权除息日为：2022年6月13日，已实施完毕。</w:t>
      </w:r>
    </w:p>
    <w:p w:rsidR="009472F1" w:rsidRPr="00812C32" w:rsidRDefault="00860FE8">
      <w:pPr>
        <w:pStyle w:val="a3"/>
        <w:spacing w:before="0" w:beforeAutospacing="0" w:after="0" w:afterAutospacing="0"/>
        <w:ind w:firstLine="420"/>
        <w:jc w:val="both"/>
        <w:divId w:val="1888954010"/>
        <w:rPr>
          <w:rFonts w:ascii="仿宋" w:eastAsia="仿宋" w:hAnsi="仿宋"/>
          <w:sz w:val="21"/>
          <w:szCs w:val="21"/>
        </w:rPr>
      </w:pPr>
      <w:r w:rsidRPr="00812C32">
        <w:rPr>
          <w:rFonts w:ascii="仿宋" w:eastAsia="仿宋" w:hAnsi="仿宋" w:hint="eastAsia"/>
          <w:color w:val="000000"/>
          <w:sz w:val="21"/>
          <w:szCs w:val="21"/>
        </w:rPr>
        <w:t>（三）关联交易</w:t>
      </w:r>
    </w:p>
    <w:p w:rsidR="009472F1" w:rsidRPr="00812C32" w:rsidRDefault="00860FE8">
      <w:pPr>
        <w:pStyle w:val="a3"/>
        <w:spacing w:before="0" w:beforeAutospacing="0" w:after="0" w:afterAutospacing="0" w:line="240" w:lineRule="atLeast"/>
        <w:ind w:firstLine="420"/>
        <w:divId w:val="1888954010"/>
        <w:rPr>
          <w:rFonts w:ascii="仿宋" w:eastAsia="仿宋" w:hAnsi="仿宋"/>
        </w:rPr>
      </w:pPr>
      <w:r w:rsidRPr="00812C32">
        <w:rPr>
          <w:rFonts w:ascii="仿宋" w:eastAsia="仿宋" w:hAnsi="仿宋" w:hint="eastAsia"/>
          <w:color w:val="000000"/>
          <w:sz w:val="21"/>
          <w:szCs w:val="21"/>
        </w:rPr>
        <w:t>公司根据</w:t>
      </w:r>
      <w:r w:rsidRPr="00812C32">
        <w:rPr>
          <w:rFonts w:ascii="仿宋" w:eastAsia="仿宋" w:hAnsi="仿宋" w:hint="eastAsia"/>
          <w:sz w:val="21"/>
          <w:szCs w:val="21"/>
        </w:rPr>
        <w:t>2022年度经营计划对资金的需求，拟向银行申请总额度不超过人民币30,000.00万元的综合授信额度，并接受由实际控制人马学沛、林明玲夫妇为实际贷款提供连带责任保证担保。该事项经公司于2022年4月26日召开的第三届董事会第四次会议及2022年5月19日召开的2022年年度会议审议通过。</w:t>
      </w:r>
    </w:p>
    <w:p w:rsidR="009472F1" w:rsidRPr="00812C32" w:rsidRDefault="00860FE8">
      <w:pPr>
        <w:pStyle w:val="a3"/>
        <w:spacing w:before="120" w:beforeAutospacing="0" w:after="40" w:afterAutospacing="0"/>
        <w:ind w:firstLine="420"/>
        <w:divId w:val="1888954010"/>
        <w:rPr>
          <w:rFonts w:ascii="仿宋" w:eastAsia="仿宋" w:hAnsi="仿宋" w:cs="Times New Roman"/>
          <w:sz w:val="18"/>
          <w:szCs w:val="18"/>
        </w:rPr>
      </w:pPr>
      <w:r w:rsidRPr="00812C32">
        <w:rPr>
          <w:rFonts w:ascii="仿宋" w:eastAsia="仿宋" w:hAnsi="仿宋" w:cs="Times New Roman" w:hint="eastAsia"/>
          <w:color w:val="000000"/>
          <w:sz w:val="21"/>
          <w:szCs w:val="21"/>
        </w:rPr>
        <w:t>报告期内，实际发生的贷款及关联担保情况如下：</w:t>
      </w:r>
    </w:p>
    <w:p w:rsidR="009472F1" w:rsidRPr="00812C32" w:rsidRDefault="00860FE8">
      <w:pPr>
        <w:pStyle w:val="a3"/>
        <w:spacing w:before="120" w:beforeAutospacing="0" w:after="40" w:afterAutospacing="0"/>
        <w:ind w:firstLine="420"/>
        <w:divId w:val="1888954010"/>
        <w:rPr>
          <w:rFonts w:ascii="仿宋" w:eastAsia="仿宋" w:hAnsi="仿宋" w:cs="Times New Roman"/>
          <w:sz w:val="18"/>
          <w:szCs w:val="18"/>
        </w:rPr>
      </w:pPr>
      <w:r w:rsidRPr="00812C32">
        <w:rPr>
          <w:rFonts w:ascii="仿宋" w:eastAsia="仿宋" w:hAnsi="仿宋" w:cs="Times New Roman" w:hint="eastAsia"/>
          <w:color w:val="000000"/>
          <w:sz w:val="21"/>
          <w:szCs w:val="21"/>
        </w:rPr>
        <w:t>（1）实际控制人林明玲、马学沛夫妇与中国建设银行股份有限银行汕头市分行签订《最高额保证合同》，担保方式为连带保证，担保范围为债权人与债务人自2019年11月1日至2024年12月31日期间内的所有债权，担保责任最高限额为4,800.00万元，担保期限为债务履行期限届满之日起三年。</w:t>
      </w:r>
    </w:p>
    <w:p w:rsidR="009472F1" w:rsidRPr="00812C32" w:rsidRDefault="00860FE8">
      <w:pPr>
        <w:pStyle w:val="a3"/>
        <w:spacing w:before="120" w:beforeAutospacing="0" w:after="40" w:afterAutospacing="0"/>
        <w:ind w:firstLine="420"/>
        <w:divId w:val="1888954010"/>
        <w:rPr>
          <w:rFonts w:ascii="仿宋" w:eastAsia="仿宋" w:hAnsi="仿宋" w:cs="Times New Roman"/>
          <w:sz w:val="18"/>
          <w:szCs w:val="18"/>
        </w:rPr>
      </w:pPr>
      <w:r w:rsidRPr="00812C32">
        <w:rPr>
          <w:rFonts w:ascii="仿宋" w:eastAsia="仿宋" w:hAnsi="仿宋" w:cs="Times New Roman"/>
          <w:color w:val="000000"/>
          <w:sz w:val="21"/>
          <w:szCs w:val="21"/>
        </w:rPr>
        <w:t>2022</w:t>
      </w:r>
      <w:r w:rsidRPr="00812C32">
        <w:rPr>
          <w:rFonts w:ascii="仿宋" w:eastAsia="仿宋" w:hAnsi="仿宋" w:cs="Times New Roman" w:hint="eastAsia"/>
          <w:color w:val="000000"/>
          <w:sz w:val="21"/>
          <w:szCs w:val="21"/>
        </w:rPr>
        <w:t>年7月22日，公司向中国建设银行股份有限公司汕头市分行实际借款200万元，并于2022年11月21日还清。</w:t>
      </w:r>
    </w:p>
    <w:p w:rsidR="009472F1" w:rsidRPr="00812C32" w:rsidRDefault="00860FE8">
      <w:pPr>
        <w:pStyle w:val="a3"/>
        <w:spacing w:before="120" w:beforeAutospacing="0" w:after="40" w:afterAutospacing="0"/>
        <w:ind w:firstLine="420"/>
        <w:divId w:val="1888954010"/>
        <w:rPr>
          <w:rFonts w:ascii="仿宋" w:eastAsia="仿宋" w:hAnsi="仿宋" w:cs="Times New Roman"/>
          <w:sz w:val="18"/>
          <w:szCs w:val="18"/>
        </w:rPr>
      </w:pPr>
      <w:r w:rsidRPr="00812C32">
        <w:rPr>
          <w:rFonts w:ascii="仿宋" w:eastAsia="仿宋" w:hAnsi="仿宋" w:cs="Times New Roman" w:hint="eastAsia"/>
          <w:color w:val="000000"/>
          <w:sz w:val="21"/>
          <w:szCs w:val="21"/>
        </w:rPr>
        <w:t>（2）实际控制人林明玲、马学沛夫妇与中国工商银行股份有限公司汕头安平支行签订最高额保证合同，最高额保证项下保证责任的最高限额人民币3,800万元整，保证期间2020年7月</w:t>
      </w:r>
      <w:r w:rsidRPr="00812C32">
        <w:rPr>
          <w:rFonts w:ascii="仿宋" w:eastAsia="仿宋" w:hAnsi="仿宋" w:cs="Times New Roman"/>
          <w:color w:val="000000"/>
          <w:sz w:val="21"/>
          <w:szCs w:val="21"/>
        </w:rPr>
        <w:t>20</w:t>
      </w:r>
      <w:r w:rsidRPr="00812C32">
        <w:rPr>
          <w:rFonts w:ascii="仿宋" w:eastAsia="仿宋" w:hAnsi="仿宋" w:cs="Times New Roman" w:hint="eastAsia"/>
          <w:color w:val="000000"/>
          <w:sz w:val="21"/>
          <w:szCs w:val="21"/>
        </w:rPr>
        <w:t>日至</w:t>
      </w:r>
      <w:r w:rsidRPr="00812C32">
        <w:rPr>
          <w:rFonts w:ascii="仿宋" w:eastAsia="仿宋" w:hAnsi="仿宋" w:cs="Times New Roman"/>
          <w:color w:val="000000"/>
          <w:sz w:val="21"/>
          <w:szCs w:val="21"/>
        </w:rPr>
        <w:t>2022</w:t>
      </w:r>
      <w:r w:rsidRPr="00812C32">
        <w:rPr>
          <w:rFonts w:ascii="仿宋" w:eastAsia="仿宋" w:hAnsi="仿宋" w:cs="Times New Roman" w:hint="eastAsia"/>
          <w:color w:val="000000"/>
          <w:sz w:val="21"/>
          <w:szCs w:val="21"/>
        </w:rPr>
        <w:t>年</w:t>
      </w:r>
      <w:r w:rsidRPr="00812C32">
        <w:rPr>
          <w:rFonts w:ascii="仿宋" w:eastAsia="仿宋" w:hAnsi="仿宋" w:cs="Times New Roman"/>
          <w:color w:val="000000"/>
          <w:sz w:val="21"/>
          <w:szCs w:val="21"/>
        </w:rPr>
        <w:t>7</w:t>
      </w:r>
      <w:r w:rsidRPr="00812C32">
        <w:rPr>
          <w:rFonts w:ascii="仿宋" w:eastAsia="仿宋" w:hAnsi="仿宋" w:cs="Times New Roman" w:hint="eastAsia"/>
          <w:color w:val="000000"/>
          <w:sz w:val="21"/>
          <w:szCs w:val="21"/>
        </w:rPr>
        <w:t>月</w:t>
      </w:r>
      <w:r w:rsidRPr="00812C32">
        <w:rPr>
          <w:rFonts w:ascii="仿宋" w:eastAsia="仿宋" w:hAnsi="仿宋" w:cs="Times New Roman"/>
          <w:color w:val="000000"/>
          <w:sz w:val="21"/>
          <w:szCs w:val="21"/>
        </w:rPr>
        <w:t>20</w:t>
      </w:r>
      <w:r w:rsidRPr="00812C32">
        <w:rPr>
          <w:rFonts w:ascii="仿宋" w:eastAsia="仿宋" w:hAnsi="仿宋" w:cs="Times New Roman" w:hint="eastAsia"/>
          <w:color w:val="000000"/>
          <w:sz w:val="21"/>
          <w:szCs w:val="21"/>
        </w:rPr>
        <w:t>日。</w:t>
      </w:r>
    </w:p>
    <w:p w:rsidR="009472F1" w:rsidRDefault="00860FE8" w:rsidP="006F488F">
      <w:pPr>
        <w:pStyle w:val="a3"/>
        <w:spacing w:before="120" w:beforeAutospacing="0" w:after="40" w:afterAutospacing="0"/>
        <w:ind w:firstLine="420"/>
        <w:divId w:val="1888954010"/>
        <w:rPr>
          <w:sz w:val="21"/>
          <w:szCs w:val="21"/>
        </w:rPr>
      </w:pPr>
      <w:r w:rsidRPr="00812C32">
        <w:rPr>
          <w:rFonts w:ascii="仿宋" w:eastAsia="仿宋" w:hAnsi="仿宋" w:cs="Times New Roman" w:hint="eastAsia"/>
          <w:color w:val="000000"/>
          <w:sz w:val="21"/>
          <w:szCs w:val="21"/>
        </w:rPr>
        <w:t>2022年6月8日，公司向中国工商银行股份有限公司汕头安平支行借款200万元，2023年5月26日到期。</w:t>
      </w:r>
    </w:p>
    <w:p w:rsidR="00603620" w:rsidRDefault="00603620" w:rsidP="00603620">
      <w:pPr>
        <w:autoSpaceDE w:val="0"/>
        <w:autoSpaceDN w:val="0"/>
        <w:adjustRightInd w:val="0"/>
        <w:spacing w:line="360" w:lineRule="auto"/>
        <w:ind w:firstLineChars="200" w:firstLine="480"/>
        <w:jc w:val="right"/>
        <w:divId w:val="1888954010"/>
        <w:rPr>
          <w:rFonts w:ascii="仿宋" w:eastAsia="仿宋" w:hAnsi="仿宋" w:cs="宋体"/>
          <w:kern w:val="0"/>
          <w:sz w:val="24"/>
          <w:szCs w:val="24"/>
          <w:lang w:val="zh-CN"/>
        </w:rPr>
      </w:pPr>
      <w:r>
        <w:rPr>
          <w:rFonts w:ascii="仿宋" w:eastAsia="仿宋" w:hAnsi="仿宋" w:cs="宋体" w:hint="eastAsia"/>
          <w:kern w:val="0"/>
          <w:sz w:val="24"/>
          <w:szCs w:val="24"/>
          <w:lang w:val="zh-CN"/>
        </w:rPr>
        <w:t>广东天亿马信息产业股份有限公司</w:t>
      </w:r>
    </w:p>
    <w:p w:rsidR="00603620" w:rsidRDefault="00603620" w:rsidP="00603620">
      <w:pPr>
        <w:autoSpaceDE w:val="0"/>
        <w:autoSpaceDN w:val="0"/>
        <w:adjustRightInd w:val="0"/>
        <w:spacing w:line="360" w:lineRule="auto"/>
        <w:ind w:firstLineChars="200" w:firstLine="480"/>
        <w:jc w:val="right"/>
        <w:divId w:val="1888954010"/>
        <w:rPr>
          <w:rFonts w:ascii="仿宋" w:eastAsia="仿宋" w:hAnsi="仿宋" w:cs="宋体"/>
          <w:kern w:val="0"/>
          <w:sz w:val="24"/>
          <w:szCs w:val="24"/>
          <w:lang w:val="zh-CN"/>
        </w:rPr>
      </w:pPr>
      <w:r>
        <w:rPr>
          <w:rFonts w:ascii="仿宋" w:eastAsia="仿宋" w:hAnsi="仿宋" w:cs="宋体" w:hint="eastAsia"/>
          <w:kern w:val="0"/>
          <w:sz w:val="24"/>
          <w:szCs w:val="24"/>
          <w:lang w:val="zh-CN"/>
        </w:rPr>
        <w:t>董事会</w:t>
      </w:r>
    </w:p>
    <w:p w:rsidR="00603620" w:rsidRDefault="00603620" w:rsidP="00603620">
      <w:pPr>
        <w:autoSpaceDE w:val="0"/>
        <w:autoSpaceDN w:val="0"/>
        <w:adjustRightInd w:val="0"/>
        <w:spacing w:line="360" w:lineRule="auto"/>
        <w:ind w:firstLineChars="200" w:firstLine="480"/>
        <w:jc w:val="right"/>
        <w:divId w:val="1888954010"/>
        <w:rPr>
          <w:rFonts w:ascii="仿宋" w:eastAsia="仿宋" w:hAnsi="仿宋" w:cs="Times New Roman"/>
          <w:kern w:val="0"/>
          <w:sz w:val="24"/>
          <w:szCs w:val="24"/>
          <w:lang w:val="zh-CN"/>
        </w:rPr>
      </w:pPr>
      <w:r>
        <w:rPr>
          <w:rFonts w:ascii="仿宋" w:eastAsia="仿宋" w:hAnsi="仿宋" w:cs="宋体" w:hint="eastAsia"/>
          <w:kern w:val="0"/>
          <w:sz w:val="24"/>
          <w:szCs w:val="24"/>
          <w:lang w:val="zh-CN"/>
        </w:rPr>
        <w:t>2023年4月20日</w:t>
      </w:r>
    </w:p>
    <w:p w:rsidR="00603620" w:rsidRPr="00812C32" w:rsidRDefault="00603620" w:rsidP="006F488F">
      <w:pPr>
        <w:pStyle w:val="a3"/>
        <w:spacing w:before="120" w:beforeAutospacing="0" w:after="40" w:afterAutospacing="0"/>
        <w:ind w:firstLine="420"/>
        <w:divId w:val="1888954010"/>
        <w:rPr>
          <w:rFonts w:ascii="仿宋" w:eastAsia="仿宋" w:hAnsi="仿宋"/>
          <w:sz w:val="21"/>
          <w:szCs w:val="21"/>
        </w:rPr>
      </w:pPr>
    </w:p>
    <w:sectPr w:rsidR="00603620" w:rsidRPr="00812C32">
      <w:headerReference w:type="default" r:id="rId10"/>
      <w:footerReference w:type="default" r:id="rId11"/>
      <w:pgSz w:w="11905" w:h="16840"/>
      <w:pgMar w:top="850" w:right="1134" w:bottom="85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E8" w:rsidRDefault="00860FE8">
      <w:r>
        <w:separator/>
      </w:r>
    </w:p>
  </w:endnote>
  <w:endnote w:type="continuationSeparator" w:id="0">
    <w:p w:rsidR="00860FE8" w:rsidRDefault="0086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E2" w:rsidRDefault="00860FE8">
    <w:pPr>
      <w:pStyle w:val="fotter1"/>
    </w:pPr>
    <w:r>
      <w:fldChar w:fldCharType="begin"/>
    </w:r>
    <w:r>
      <w:instrText>PAGE   \* MERGEFORMAT</w:instrText>
    </w:r>
    <w:r>
      <w:fldChar w:fldCharType="separate"/>
    </w:r>
    <w:r w:rsidR="006D3E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E8" w:rsidRDefault="00860FE8">
      <w:r>
        <w:separator/>
      </w:r>
    </w:p>
  </w:footnote>
  <w:footnote w:type="continuationSeparator" w:id="0">
    <w:p w:rsidR="00860FE8" w:rsidRDefault="0086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E2" w:rsidRDefault="00860FE8">
    <w:pPr>
      <w:pStyle w:val="Header1"/>
      <w:pBdr>
        <w:bottom w:val="single" w:sz="6" w:space="1" w:color="auto"/>
      </w:pBdr>
    </w:pPr>
    <w:r>
      <w:t>广东天亿马信息产业股份有限公司2022年年度报告摘要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8A2EE2"/>
    <w:rsid w:val="00343471"/>
    <w:rsid w:val="005500CA"/>
    <w:rsid w:val="00603620"/>
    <w:rsid w:val="006D3E02"/>
    <w:rsid w:val="006F488F"/>
    <w:rsid w:val="00812C32"/>
    <w:rsid w:val="00851DDE"/>
    <w:rsid w:val="00860FE8"/>
    <w:rsid w:val="008A2EE2"/>
    <w:rsid w:val="009472F1"/>
    <w:rsid w:val="00AC59E6"/>
    <w:rsid w:val="00C0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Balloon Text"/>
    <w:basedOn w:val="a"/>
    <w:link w:val="Char"/>
    <w:uiPriority w:val="99"/>
    <w:semiHidden/>
    <w:unhideWhenUsed/>
    <w:rsid w:val="00812C32"/>
    <w:rPr>
      <w:sz w:val="18"/>
      <w:szCs w:val="18"/>
    </w:rPr>
  </w:style>
  <w:style w:type="character" w:customStyle="1" w:styleId="Char">
    <w:name w:val="批注框文本 Char"/>
    <w:basedOn w:val="a0"/>
    <w:link w:val="a4"/>
    <w:uiPriority w:val="99"/>
    <w:semiHidden/>
    <w:rsid w:val="00812C32"/>
    <w:rPr>
      <w:sz w:val="18"/>
      <w:szCs w:val="18"/>
    </w:rPr>
  </w:style>
  <w:style w:type="paragraph" w:styleId="a5">
    <w:name w:val="header"/>
    <w:basedOn w:val="a"/>
    <w:link w:val="Char0"/>
    <w:uiPriority w:val="99"/>
    <w:unhideWhenUsed/>
    <w:rsid w:val="00343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3471"/>
    <w:rPr>
      <w:sz w:val="18"/>
      <w:szCs w:val="18"/>
    </w:rPr>
  </w:style>
  <w:style w:type="paragraph" w:styleId="a6">
    <w:name w:val="footer"/>
    <w:basedOn w:val="a"/>
    <w:link w:val="Char1"/>
    <w:uiPriority w:val="99"/>
    <w:unhideWhenUsed/>
    <w:rsid w:val="00343471"/>
    <w:pPr>
      <w:tabs>
        <w:tab w:val="center" w:pos="4153"/>
        <w:tab w:val="right" w:pos="8306"/>
      </w:tabs>
      <w:snapToGrid w:val="0"/>
    </w:pPr>
    <w:rPr>
      <w:sz w:val="18"/>
      <w:szCs w:val="18"/>
    </w:rPr>
  </w:style>
  <w:style w:type="character" w:customStyle="1" w:styleId="Char1">
    <w:name w:val="页脚 Char"/>
    <w:basedOn w:val="a0"/>
    <w:link w:val="a6"/>
    <w:uiPriority w:val="99"/>
    <w:rsid w:val="003434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Balloon Text"/>
    <w:basedOn w:val="a"/>
    <w:link w:val="Char"/>
    <w:uiPriority w:val="99"/>
    <w:semiHidden/>
    <w:unhideWhenUsed/>
    <w:rsid w:val="00812C32"/>
    <w:rPr>
      <w:sz w:val="18"/>
      <w:szCs w:val="18"/>
    </w:rPr>
  </w:style>
  <w:style w:type="character" w:customStyle="1" w:styleId="Char">
    <w:name w:val="批注框文本 Char"/>
    <w:basedOn w:val="a0"/>
    <w:link w:val="a4"/>
    <w:uiPriority w:val="99"/>
    <w:semiHidden/>
    <w:rsid w:val="00812C32"/>
    <w:rPr>
      <w:sz w:val="18"/>
      <w:szCs w:val="18"/>
    </w:rPr>
  </w:style>
  <w:style w:type="paragraph" w:styleId="a5">
    <w:name w:val="header"/>
    <w:basedOn w:val="a"/>
    <w:link w:val="Char0"/>
    <w:uiPriority w:val="99"/>
    <w:unhideWhenUsed/>
    <w:rsid w:val="00343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3471"/>
    <w:rPr>
      <w:sz w:val="18"/>
      <w:szCs w:val="18"/>
    </w:rPr>
  </w:style>
  <w:style w:type="paragraph" w:styleId="a6">
    <w:name w:val="footer"/>
    <w:basedOn w:val="a"/>
    <w:link w:val="Char1"/>
    <w:uiPriority w:val="99"/>
    <w:unhideWhenUsed/>
    <w:rsid w:val="00343471"/>
    <w:pPr>
      <w:tabs>
        <w:tab w:val="center" w:pos="4153"/>
        <w:tab w:val="right" w:pos="8306"/>
      </w:tabs>
      <w:snapToGrid w:val="0"/>
    </w:pPr>
    <w:rPr>
      <w:sz w:val="18"/>
      <w:szCs w:val="18"/>
    </w:rPr>
  </w:style>
  <w:style w:type="character" w:customStyle="1" w:styleId="Char1">
    <w:name w:val="页脚 Char"/>
    <w:basedOn w:val="a0"/>
    <w:link w:val="a6"/>
    <w:uiPriority w:val="99"/>
    <w:rsid w:val="00343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7468">
      <w:bodyDiv w:val="1"/>
      <w:marLeft w:val="0"/>
      <w:marRight w:val="0"/>
      <w:marTop w:val="0"/>
      <w:marBottom w:val="0"/>
      <w:divBdr>
        <w:top w:val="none" w:sz="0" w:space="0" w:color="auto"/>
        <w:left w:val="none" w:sz="0" w:space="0" w:color="auto"/>
        <w:bottom w:val="none" w:sz="0" w:space="0" w:color="auto"/>
        <w:right w:val="none" w:sz="0" w:space="0" w:color="auto"/>
      </w:divBdr>
    </w:div>
    <w:div w:id="1888954010">
      <w:bodyDiv w:val="1"/>
      <w:marLeft w:val="0"/>
      <w:marRight w:val="0"/>
      <w:marTop w:val="0"/>
      <w:marBottom w:val="0"/>
      <w:divBdr>
        <w:top w:val="none" w:sz="0" w:space="0" w:color="auto"/>
        <w:left w:val="none" w:sz="0" w:space="0" w:color="auto"/>
        <w:bottom w:val="none" w:sz="0" w:space="0" w:color="auto"/>
        <w:right w:val="none" w:sz="0" w:space="0" w:color="auto"/>
      </w:divBdr>
      <w:divsChild>
        <w:div w:id="1822891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A0084F2-2905-4920-A896-C901393D25BF}">
  <ds:schemaRefs>
    <ds:schemaRef ds:uri="http://www.yonyou.com/datasource"/>
  </ds:schemaRefs>
</ds:datastoreItem>
</file>

<file path=customXml/itemProps2.xml><?xml version="1.0" encoding="utf-8"?>
<ds:datastoreItem xmlns:ds="http://schemas.openxmlformats.org/officeDocument/2006/customXml" ds:itemID="{15A75ADF-2E27-42F1-9904-8988BCEE6A1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791</Words>
  <Characters>4511</Characters>
  <Application>Microsoft Office Word</Application>
  <DocSecurity>0</DocSecurity>
  <Lines>37</Lines>
  <Paragraphs>10</Paragraphs>
  <ScaleCrop>false</ScaleCrop>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10</cp:revision>
  <dcterms:created xsi:type="dcterms:W3CDTF">2023-04-19T09:48:00Z</dcterms:created>
  <dcterms:modified xsi:type="dcterms:W3CDTF">2023-04-19T09:54:00Z</dcterms:modified>
</cp:coreProperties>
</file>