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982" w:rsidRDefault="006E7B69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五矿证券有限公司</w:t>
      </w:r>
    </w:p>
    <w:p w:rsidR="00DE6982" w:rsidRDefault="006E7B69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关于广东天亿马信息产业股份有限公司</w:t>
      </w:r>
    </w:p>
    <w:p w:rsidR="00DE6982" w:rsidRDefault="006E7B69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bookmarkStart w:id="0" w:name="_Hlk101478632"/>
      <w:r>
        <w:rPr>
          <w:rFonts w:ascii="黑体" w:eastAsia="黑体" w:hAnsi="黑体" w:cs="黑体" w:hint="eastAsia"/>
          <w:b/>
          <w:bCs/>
          <w:sz w:val="28"/>
          <w:szCs w:val="36"/>
        </w:rPr>
        <w:t>预计2023年度日常性关联交易</w:t>
      </w:r>
      <w:bookmarkEnd w:id="0"/>
      <w:r>
        <w:rPr>
          <w:rFonts w:ascii="黑体" w:eastAsia="黑体" w:hAnsi="黑体" w:cs="黑体" w:hint="eastAsia"/>
          <w:b/>
          <w:bCs/>
          <w:sz w:val="28"/>
          <w:szCs w:val="36"/>
        </w:rPr>
        <w:t>的核查意见</w:t>
      </w:r>
    </w:p>
    <w:p w:rsidR="00DE6982" w:rsidRDefault="006E7B69">
      <w:pPr>
        <w:spacing w:beforeLines="50" w:before="156" w:line="360" w:lineRule="auto"/>
        <w:ind w:firstLineChars="200" w:firstLine="480"/>
        <w:rPr>
          <w:sz w:val="24"/>
          <w:szCs w:val="32"/>
        </w:rPr>
      </w:pPr>
      <w:r>
        <w:rPr>
          <w:rFonts w:ascii="Times New Roman" w:eastAsia="宋体" w:hAnsi="Times New Roman" w:cs="Times New Roman"/>
          <w:sz w:val="24"/>
        </w:rPr>
        <w:t>五矿证券有限</w:t>
      </w:r>
      <w:r>
        <w:rPr>
          <w:rFonts w:asciiTheme="minorEastAsia" w:hAnsiTheme="minorEastAsia" w:cs="Times New Roman" w:hint="eastAsia"/>
          <w:sz w:val="24"/>
        </w:rPr>
        <w:t>公司（以下简称“五矿证券”或“保荐机构”）作为广东天亿马信息产业股份有限公司（以下简称“天亿马”或“公司”）首次公开发行股票并在创业板上市的保荐机构，根据《证券发行上市保荐业务管理办法》《深圳证券交易所创业板股票上市规则》《深圳证券交易所上市公司自律监管指引第2号——创业板上市公司规范运作》《深圳证券交易所上市公司自律监管指引第13号——保荐业务》等相关规定</w:t>
      </w:r>
      <w:r>
        <w:rPr>
          <w:rFonts w:ascii="Times New Roman" w:eastAsia="宋体" w:hAnsi="Times New Roman" w:cs="Times New Roman"/>
          <w:sz w:val="24"/>
        </w:rPr>
        <w:t>履行持续督导职责</w:t>
      </w:r>
      <w:r>
        <w:rPr>
          <w:rFonts w:ascii="Times New Roman" w:eastAsia="宋体" w:hAnsi="Times New Roman" w:cs="Times New Roman"/>
          <w:sz w:val="24"/>
          <w:szCs w:val="32"/>
        </w:rPr>
        <w:t>，对天亿马</w:t>
      </w:r>
      <w:r>
        <w:rPr>
          <w:rFonts w:ascii="Times New Roman" w:eastAsia="宋体" w:hAnsi="Times New Roman" w:cs="Times New Roman" w:hint="eastAsia"/>
          <w:sz w:val="24"/>
          <w:szCs w:val="32"/>
        </w:rPr>
        <w:t>关于预计</w:t>
      </w:r>
      <w:r>
        <w:rPr>
          <w:rFonts w:ascii="Times New Roman" w:eastAsia="宋体" w:hAnsi="Times New Roman" w:cs="Times New Roman" w:hint="eastAsia"/>
          <w:sz w:val="24"/>
          <w:szCs w:val="32"/>
        </w:rPr>
        <w:t>2023</w:t>
      </w:r>
      <w:r>
        <w:rPr>
          <w:rFonts w:ascii="Times New Roman" w:eastAsia="宋体" w:hAnsi="Times New Roman" w:cs="Times New Roman" w:hint="eastAsia"/>
          <w:sz w:val="24"/>
          <w:szCs w:val="32"/>
        </w:rPr>
        <w:t>年度日常性关联交易</w:t>
      </w:r>
      <w:r>
        <w:rPr>
          <w:rFonts w:hint="eastAsia"/>
          <w:sz w:val="24"/>
          <w:szCs w:val="32"/>
        </w:rPr>
        <w:t>事项进行</w:t>
      </w:r>
      <w:r>
        <w:rPr>
          <w:rFonts w:hint="eastAsia"/>
        </w:rPr>
        <w:t>了</w:t>
      </w:r>
      <w:r>
        <w:rPr>
          <w:rFonts w:hint="eastAsia"/>
          <w:sz w:val="24"/>
        </w:rPr>
        <w:t>专项核查</w:t>
      </w:r>
      <w:r>
        <w:rPr>
          <w:rFonts w:hint="eastAsia"/>
          <w:sz w:val="24"/>
          <w:szCs w:val="32"/>
        </w:rPr>
        <w:t>，核查情况及意见如下：</w:t>
      </w:r>
    </w:p>
    <w:p w:rsidR="00DE6982" w:rsidRDefault="006E7B69">
      <w:pPr>
        <w:numPr>
          <w:ilvl w:val="0"/>
          <w:numId w:val="1"/>
        </w:numPr>
        <w:spacing w:beforeLines="50" w:before="156" w:line="360" w:lineRule="auto"/>
        <w:ind w:firstLineChars="200" w:firstLine="562"/>
        <w:outlineLvl w:val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日常关联交易基本情况</w:t>
      </w:r>
    </w:p>
    <w:p w:rsidR="00DE6982" w:rsidRDefault="006E7B69">
      <w:pPr>
        <w:numPr>
          <w:ilvl w:val="0"/>
          <w:numId w:val="2"/>
        </w:numPr>
        <w:spacing w:beforeLines="50" w:before="156" w:line="360" w:lineRule="auto"/>
        <w:ind w:left="629"/>
        <w:outlineLvl w:val="1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日常关联交易履行的审议程序</w:t>
      </w:r>
    </w:p>
    <w:p w:rsidR="00DE6982" w:rsidRDefault="006E7B69">
      <w:pPr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202</w:t>
      </w:r>
      <w:r>
        <w:rPr>
          <w:rFonts w:ascii="Times New Roman" w:hAnsi="Times New Roman" w:cs="Times New Roman" w:hint="eastAsia"/>
          <w:sz w:val="24"/>
          <w:szCs w:val="32"/>
        </w:rPr>
        <w:t>3</w:t>
      </w:r>
      <w:r>
        <w:rPr>
          <w:rFonts w:ascii="Times New Roman" w:hAnsi="Times New Roman" w:cs="Times New Roman"/>
          <w:sz w:val="24"/>
          <w:szCs w:val="32"/>
        </w:rPr>
        <w:t>年</w:t>
      </w:r>
      <w:r>
        <w:rPr>
          <w:rFonts w:ascii="Times New Roman" w:hAnsi="Times New Roman" w:cs="Times New Roman"/>
          <w:sz w:val="24"/>
          <w:szCs w:val="32"/>
        </w:rPr>
        <w:t>4</w:t>
      </w:r>
      <w:r>
        <w:rPr>
          <w:rFonts w:ascii="Times New Roman" w:hAnsi="Times New Roman" w:cs="Times New Roman"/>
          <w:sz w:val="24"/>
          <w:szCs w:val="32"/>
        </w:rPr>
        <w:t>月</w:t>
      </w:r>
      <w:r>
        <w:rPr>
          <w:rFonts w:ascii="Times New Roman" w:hAnsi="Times New Roman" w:cs="Times New Roman" w:hint="eastAsia"/>
          <w:sz w:val="24"/>
          <w:szCs w:val="32"/>
        </w:rPr>
        <w:t>18</w:t>
      </w:r>
      <w:r>
        <w:rPr>
          <w:rFonts w:ascii="Times New Roman" w:hAnsi="Times New Roman" w:cs="Times New Roman"/>
          <w:sz w:val="24"/>
          <w:szCs w:val="32"/>
        </w:rPr>
        <w:t>日，</w:t>
      </w:r>
      <w:r>
        <w:rPr>
          <w:rFonts w:ascii="Times New Roman" w:hAnsi="Times New Roman" w:cs="Times New Roman" w:hint="eastAsia"/>
          <w:sz w:val="24"/>
          <w:szCs w:val="32"/>
        </w:rPr>
        <w:t>公司召开第三届董事会第十一次会议，审议</w:t>
      </w:r>
      <w:r>
        <w:rPr>
          <w:rFonts w:ascii="Times New Roman" w:hAnsi="Times New Roman" w:cs="Times New Roman"/>
          <w:sz w:val="24"/>
          <w:szCs w:val="32"/>
        </w:rPr>
        <w:t>通过</w:t>
      </w:r>
      <w:r>
        <w:rPr>
          <w:rFonts w:ascii="Times New Roman" w:hAnsi="Times New Roman" w:cs="Times New Roman" w:hint="eastAsia"/>
          <w:sz w:val="24"/>
          <w:szCs w:val="32"/>
        </w:rPr>
        <w:t>了《关于预计</w:t>
      </w:r>
      <w:r>
        <w:rPr>
          <w:rFonts w:ascii="Times New Roman" w:hAnsi="Times New Roman" w:cs="Times New Roman" w:hint="eastAsia"/>
          <w:sz w:val="24"/>
          <w:szCs w:val="32"/>
        </w:rPr>
        <w:t>2023</w:t>
      </w:r>
      <w:r>
        <w:rPr>
          <w:rFonts w:ascii="Times New Roman" w:hAnsi="Times New Roman" w:cs="Times New Roman" w:hint="eastAsia"/>
          <w:sz w:val="24"/>
          <w:szCs w:val="32"/>
        </w:rPr>
        <w:t>年度日常性关联交易的议案》，关联董事林明玲、马学沛、马淦江在审议本议案时按照有关规定进行了回避表决。该关联交易事项已经过公司独立董事事前认可，并出具了认可意见。同日，公司召开第三届监事会第十次会议，</w:t>
      </w:r>
      <w:r>
        <w:rPr>
          <w:rFonts w:ascii="Times New Roman" w:hAnsi="Times New Roman" w:cs="Times New Roman"/>
          <w:sz w:val="24"/>
          <w:szCs w:val="32"/>
        </w:rPr>
        <w:t>审议</w:t>
      </w:r>
      <w:r>
        <w:rPr>
          <w:rFonts w:ascii="Times New Roman" w:hAnsi="Times New Roman" w:cs="Times New Roman" w:hint="eastAsia"/>
          <w:sz w:val="24"/>
          <w:szCs w:val="32"/>
        </w:rPr>
        <w:t>通过《关于预计</w:t>
      </w:r>
      <w:r>
        <w:rPr>
          <w:rFonts w:ascii="Times New Roman" w:hAnsi="Times New Roman" w:cs="Times New Roman" w:hint="eastAsia"/>
          <w:sz w:val="24"/>
          <w:szCs w:val="32"/>
        </w:rPr>
        <w:t>2023</w:t>
      </w:r>
      <w:r>
        <w:rPr>
          <w:rFonts w:ascii="Times New Roman" w:hAnsi="Times New Roman" w:cs="Times New Roman" w:hint="eastAsia"/>
          <w:sz w:val="24"/>
          <w:szCs w:val="32"/>
        </w:rPr>
        <w:t>年度日常性关联交易的议案》。因预计</w:t>
      </w:r>
      <w:r>
        <w:rPr>
          <w:rFonts w:ascii="Times New Roman" w:hAnsi="Times New Roman" w:cs="Times New Roman" w:hint="eastAsia"/>
          <w:sz w:val="24"/>
          <w:szCs w:val="32"/>
        </w:rPr>
        <w:t>2023</w:t>
      </w:r>
      <w:r>
        <w:rPr>
          <w:rFonts w:ascii="Times New Roman" w:hAnsi="Times New Roman" w:cs="Times New Roman" w:hint="eastAsia"/>
          <w:sz w:val="24"/>
          <w:szCs w:val="32"/>
        </w:rPr>
        <w:t>年度交易总金额在董事会审议范围内，本议案无需提交股东大会审议。</w:t>
      </w:r>
    </w:p>
    <w:p w:rsidR="00DE6982" w:rsidRDefault="006E7B69">
      <w:pPr>
        <w:numPr>
          <w:ilvl w:val="0"/>
          <w:numId w:val="2"/>
        </w:numPr>
        <w:spacing w:beforeLines="50" w:before="156" w:line="360" w:lineRule="auto"/>
        <w:ind w:left="629"/>
        <w:outlineLvl w:val="1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2023</w:t>
      </w:r>
      <w:r>
        <w:rPr>
          <w:rFonts w:hint="eastAsia"/>
          <w:b/>
          <w:bCs/>
          <w:sz w:val="24"/>
          <w:szCs w:val="32"/>
        </w:rPr>
        <w:t>年度日常关联交易的预计情况</w:t>
      </w:r>
    </w:p>
    <w:p w:rsidR="00DE6982" w:rsidRDefault="006E7B6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公司</w:t>
      </w:r>
      <w:r>
        <w:rPr>
          <w:rFonts w:ascii="Times New Roman" w:hAnsi="Times New Roman" w:cs="Times New Roman" w:hint="eastAsia"/>
          <w:sz w:val="24"/>
          <w:szCs w:val="32"/>
        </w:rPr>
        <w:t>2023</w:t>
      </w:r>
      <w:r>
        <w:rPr>
          <w:rFonts w:ascii="Times New Roman" w:hAnsi="Times New Roman" w:cs="Times New Roman" w:hint="eastAsia"/>
          <w:sz w:val="24"/>
          <w:szCs w:val="32"/>
        </w:rPr>
        <w:t>年度与关联方日常关联交易预计发生额为</w:t>
      </w:r>
      <w:r>
        <w:rPr>
          <w:rFonts w:ascii="Times New Roman" w:hAnsi="Times New Roman" w:cs="Times New Roman" w:hint="eastAsia"/>
          <w:sz w:val="24"/>
          <w:szCs w:val="32"/>
        </w:rPr>
        <w:t>1,000,000.00</w:t>
      </w:r>
      <w:r>
        <w:rPr>
          <w:rFonts w:ascii="Times New Roman" w:hAnsi="Times New Roman" w:cs="Times New Roman" w:hint="eastAsia"/>
          <w:sz w:val="24"/>
          <w:szCs w:val="32"/>
        </w:rPr>
        <w:t>元，具体情况如下：</w:t>
      </w:r>
    </w:p>
    <w:p w:rsidR="00DE6982" w:rsidRDefault="006E7B69">
      <w:pPr>
        <w:adjustRightInd w:val="0"/>
        <w:snapToGri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单位：元</w:t>
      </w:r>
    </w:p>
    <w:tbl>
      <w:tblPr>
        <w:tblW w:w="499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2076"/>
        <w:gridCol w:w="1023"/>
        <w:gridCol w:w="1215"/>
        <w:gridCol w:w="2091"/>
      </w:tblGrid>
      <w:tr w:rsidR="00DE6982">
        <w:trPr>
          <w:trHeight w:val="408"/>
        </w:trPr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关联交易类别</w:t>
            </w:r>
          </w:p>
        </w:tc>
        <w:tc>
          <w:tcPr>
            <w:tcW w:w="1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关联人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关联交易内容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关联交易定价原则</w:t>
            </w:r>
          </w:p>
        </w:tc>
        <w:tc>
          <w:tcPr>
            <w:tcW w:w="12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预计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年发生金额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或合同签订金额</w:t>
            </w:r>
          </w:p>
        </w:tc>
      </w:tr>
      <w:tr w:rsidR="00DE6982">
        <w:trPr>
          <w:trHeight w:val="583"/>
        </w:trPr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购买原材料、燃料和动力、接受劳务</w:t>
            </w:r>
          </w:p>
        </w:tc>
        <w:tc>
          <w:tcPr>
            <w:tcW w:w="1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2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</w:tr>
      <w:tr w:rsidR="00DE6982">
        <w:trPr>
          <w:trHeight w:val="343"/>
        </w:trPr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出售产品、商品、提供劳务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汕头潮阳融和村镇银行股份有限公司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运维服务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按照市场价格水平</w:t>
            </w:r>
          </w:p>
        </w:tc>
        <w:tc>
          <w:tcPr>
            <w:tcW w:w="12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500,000.00</w:t>
            </w:r>
          </w:p>
        </w:tc>
      </w:tr>
      <w:tr w:rsidR="00DE6982">
        <w:trPr>
          <w:trHeight w:val="355"/>
        </w:trPr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委托关联人销售产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品、商品</w:t>
            </w:r>
          </w:p>
        </w:tc>
        <w:tc>
          <w:tcPr>
            <w:tcW w:w="1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-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2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</w:tr>
      <w:tr w:rsidR="00DE6982">
        <w:trPr>
          <w:trHeight w:val="605"/>
        </w:trPr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接受关联人委托代为销售其产品、商品</w:t>
            </w:r>
          </w:p>
        </w:tc>
        <w:tc>
          <w:tcPr>
            <w:tcW w:w="1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2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</w:tr>
      <w:tr w:rsidR="00DE6982">
        <w:trPr>
          <w:trHeight w:val="330"/>
        </w:trPr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汕头潮阳融和村镇银行股份有限公司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利息收入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按照市场利率水平</w:t>
            </w:r>
          </w:p>
        </w:tc>
        <w:tc>
          <w:tcPr>
            <w:tcW w:w="12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500,000.00</w:t>
            </w:r>
          </w:p>
        </w:tc>
      </w:tr>
      <w:tr w:rsidR="00DE6982">
        <w:trPr>
          <w:trHeight w:val="330"/>
        </w:trPr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1,000,000.00</w:t>
            </w:r>
          </w:p>
        </w:tc>
      </w:tr>
    </w:tbl>
    <w:p w:rsidR="00DE6982" w:rsidRDefault="006E7B69">
      <w:pPr>
        <w:numPr>
          <w:ilvl w:val="0"/>
          <w:numId w:val="2"/>
        </w:numPr>
        <w:spacing w:beforeLines="50" w:before="156" w:line="360" w:lineRule="auto"/>
        <w:ind w:left="629"/>
        <w:outlineLvl w:val="1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2022</w:t>
      </w:r>
      <w:r>
        <w:rPr>
          <w:rFonts w:hint="eastAsia"/>
          <w:b/>
          <w:bCs/>
          <w:sz w:val="24"/>
          <w:szCs w:val="32"/>
        </w:rPr>
        <w:t>年度日常关联交易实际情况</w:t>
      </w:r>
    </w:p>
    <w:p w:rsidR="00DE6982" w:rsidRDefault="006E7B69">
      <w:pPr>
        <w:spacing w:beforeLines="50" w:before="156"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0"/>
        </w:rPr>
      </w:pPr>
      <w:r>
        <w:rPr>
          <w:rFonts w:ascii="宋体" w:eastAsia="宋体" w:hAnsi="宋体" w:cs="宋体" w:hint="eastAsia"/>
          <w:sz w:val="24"/>
          <w:szCs w:val="32"/>
        </w:rPr>
        <w:t>公</w:t>
      </w:r>
      <w:r>
        <w:rPr>
          <w:rFonts w:ascii="Times New Roman" w:eastAsia="宋体" w:hAnsi="Times New Roman" w:cs="Times New Roman"/>
          <w:sz w:val="24"/>
          <w:szCs w:val="32"/>
        </w:rPr>
        <w:t>司</w:t>
      </w:r>
      <w:r>
        <w:rPr>
          <w:rFonts w:ascii="Times New Roman" w:eastAsia="宋体" w:hAnsi="Times New Roman" w:cs="Times New Roman"/>
          <w:sz w:val="24"/>
          <w:szCs w:val="32"/>
        </w:rPr>
        <w:t>202</w:t>
      </w:r>
      <w:r>
        <w:rPr>
          <w:rFonts w:ascii="Times New Roman" w:eastAsia="宋体" w:hAnsi="Times New Roman" w:cs="Times New Roman" w:hint="eastAsia"/>
          <w:sz w:val="24"/>
          <w:szCs w:val="32"/>
        </w:rPr>
        <w:t>2</w:t>
      </w:r>
      <w:r>
        <w:rPr>
          <w:rFonts w:ascii="Times New Roman" w:eastAsia="宋体" w:hAnsi="Times New Roman" w:cs="Times New Roman"/>
          <w:sz w:val="24"/>
          <w:szCs w:val="32"/>
        </w:rPr>
        <w:t>年度</w:t>
      </w:r>
      <w:r>
        <w:rPr>
          <w:rFonts w:ascii="宋体" w:eastAsia="宋体" w:hAnsi="宋体" w:cs="宋体" w:hint="eastAsia"/>
          <w:sz w:val="24"/>
          <w:szCs w:val="32"/>
        </w:rPr>
        <w:t>与关联方日常</w:t>
      </w:r>
      <w:r>
        <w:rPr>
          <w:rFonts w:ascii="Times New Roman" w:eastAsia="宋体" w:hAnsi="Times New Roman" w:cs="Times New Roman"/>
          <w:sz w:val="24"/>
          <w:szCs w:val="32"/>
        </w:rPr>
        <w:t>交易金额为</w:t>
      </w:r>
      <w:r>
        <w:rPr>
          <w:rFonts w:ascii="Times New Roman" w:eastAsia="宋体" w:hAnsi="Times New Roman" w:cs="Times New Roman" w:hint="eastAsia"/>
          <w:sz w:val="24"/>
          <w:szCs w:val="32"/>
        </w:rPr>
        <w:t>500,000.00</w:t>
      </w:r>
      <w:r>
        <w:rPr>
          <w:rFonts w:ascii="Times New Roman" w:eastAsia="宋体" w:hAnsi="Times New Roman" w:cs="Times New Roman" w:hint="eastAsia"/>
          <w:sz w:val="24"/>
          <w:szCs w:val="32"/>
        </w:rPr>
        <w:t>元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，具</w:t>
      </w:r>
      <w:r>
        <w:rPr>
          <w:rFonts w:ascii="宋体" w:eastAsia="宋体" w:hAnsi="宋体" w:cs="宋体" w:hint="eastAsia"/>
          <w:kern w:val="0"/>
          <w:sz w:val="24"/>
          <w:szCs w:val="20"/>
        </w:rPr>
        <w:t>体明细如下：</w:t>
      </w:r>
    </w:p>
    <w:p w:rsidR="00DE6982" w:rsidRDefault="006E7B69">
      <w:pPr>
        <w:adjustRightInd w:val="0"/>
        <w:snapToGrid w:val="0"/>
        <w:jc w:val="righ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单位：元</w:t>
      </w: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989"/>
        <w:gridCol w:w="1539"/>
        <w:gridCol w:w="1627"/>
        <w:gridCol w:w="1315"/>
      </w:tblGrid>
      <w:tr w:rsidR="00DE6982">
        <w:trPr>
          <w:trHeight w:val="545"/>
        </w:trPr>
        <w:tc>
          <w:tcPr>
            <w:tcW w:w="12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Style w:val="font41"/>
                <w:rFonts w:hint="default"/>
                <w:b/>
                <w:bCs/>
                <w:sz w:val="21"/>
                <w:szCs w:val="21"/>
                <w:lang w:bidi="ar"/>
              </w:rPr>
              <w:t>关联交易类别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Style w:val="font41"/>
                <w:rFonts w:hint="default"/>
                <w:b/>
                <w:bCs/>
                <w:sz w:val="21"/>
                <w:szCs w:val="21"/>
                <w:lang w:bidi="ar"/>
              </w:rPr>
              <w:t>关联方</w:t>
            </w: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Style w:val="font41"/>
                <w:rFonts w:hint="default"/>
                <w:b/>
                <w:bCs/>
                <w:sz w:val="21"/>
                <w:szCs w:val="21"/>
                <w:lang w:bidi="ar"/>
              </w:rPr>
              <w:t>主要交易内容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Style w:val="font41"/>
                <w:rFonts w:hint="default"/>
                <w:b/>
                <w:bCs/>
                <w:sz w:val="21"/>
                <w:szCs w:val="21"/>
                <w:lang w:bidi="ar"/>
              </w:rPr>
              <w:t>实际发生金额</w:t>
            </w:r>
          </w:p>
        </w:tc>
        <w:tc>
          <w:tcPr>
            <w:tcW w:w="7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Style w:val="font41"/>
                <w:rFonts w:hint="default"/>
                <w:b/>
                <w:bCs/>
                <w:sz w:val="21"/>
                <w:szCs w:val="21"/>
                <w:lang w:bidi="ar"/>
              </w:rPr>
            </w:pPr>
            <w:r>
              <w:rPr>
                <w:rStyle w:val="font41"/>
                <w:rFonts w:hint="default"/>
                <w:b/>
                <w:bCs/>
                <w:sz w:val="21"/>
                <w:szCs w:val="21"/>
                <w:lang w:bidi="ar"/>
              </w:rPr>
              <w:t>预计金额</w:t>
            </w:r>
          </w:p>
        </w:tc>
      </w:tr>
      <w:tr w:rsidR="00DE6982">
        <w:trPr>
          <w:trHeight w:val="610"/>
        </w:trPr>
        <w:tc>
          <w:tcPr>
            <w:tcW w:w="12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购买原材料、燃料和动力、接受劳务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</w:tr>
      <w:tr w:rsidR="00DE6982">
        <w:trPr>
          <w:trHeight w:val="613"/>
        </w:trPr>
        <w:tc>
          <w:tcPr>
            <w:tcW w:w="12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出售产品、商品、提供劳务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汕头潮阳融和村镇银行股份有限公司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运维服务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547.17</w:t>
            </w:r>
          </w:p>
        </w:tc>
        <w:tc>
          <w:tcPr>
            <w:tcW w:w="7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注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1]-</w:t>
            </w:r>
          </w:p>
        </w:tc>
      </w:tr>
      <w:tr w:rsidR="00DE6982">
        <w:trPr>
          <w:trHeight w:val="416"/>
        </w:trPr>
        <w:tc>
          <w:tcPr>
            <w:tcW w:w="12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委托关联人销售产品、商品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</w:tr>
      <w:tr w:rsidR="00DE6982">
        <w:trPr>
          <w:trHeight w:val="546"/>
        </w:trPr>
        <w:tc>
          <w:tcPr>
            <w:tcW w:w="12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接受关联人委托代为销售其产品、商品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</w:tr>
      <w:tr w:rsidR="00DE6982">
        <w:trPr>
          <w:trHeight w:val="330"/>
        </w:trPr>
        <w:tc>
          <w:tcPr>
            <w:tcW w:w="12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汕头潮阳融和村镇银行股份有限公司</w:t>
            </w: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利息收入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171,012.98</w:t>
            </w:r>
          </w:p>
        </w:tc>
        <w:tc>
          <w:tcPr>
            <w:tcW w:w="7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500,000.00</w:t>
            </w:r>
          </w:p>
        </w:tc>
      </w:tr>
      <w:tr w:rsidR="00DE6982">
        <w:trPr>
          <w:trHeight w:val="330"/>
        </w:trPr>
        <w:tc>
          <w:tcPr>
            <w:tcW w:w="12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合计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DE698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171,560.15</w:t>
            </w:r>
          </w:p>
        </w:tc>
        <w:tc>
          <w:tcPr>
            <w:tcW w:w="7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6982" w:rsidRDefault="006E7B69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500,000.00</w:t>
            </w:r>
          </w:p>
        </w:tc>
      </w:tr>
    </w:tbl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 w:hint="eastAsia"/>
          <w:sz w:val="24"/>
          <w:szCs w:val="22"/>
        </w:rPr>
        <w:t>注</w:t>
      </w:r>
      <w:r>
        <w:rPr>
          <w:rFonts w:ascii="Times New Roman" w:eastAsia="宋体" w:hAnsi="Times New Roman" w:cs="Times New Roman" w:hint="eastAsia"/>
          <w:sz w:val="24"/>
          <w:szCs w:val="22"/>
        </w:rPr>
        <w:t>1</w:t>
      </w:r>
      <w:r>
        <w:rPr>
          <w:rFonts w:ascii="Times New Roman" w:eastAsia="宋体" w:hAnsi="Times New Roman" w:cs="Times New Roman" w:hint="eastAsia"/>
          <w:sz w:val="24"/>
          <w:szCs w:val="22"/>
        </w:rPr>
        <w:t>：交易金额属总经理审批范围，发生时未对外披露。</w:t>
      </w:r>
    </w:p>
    <w:p w:rsidR="00DE6982" w:rsidRDefault="006E7B69">
      <w:pPr>
        <w:numPr>
          <w:ilvl w:val="0"/>
          <w:numId w:val="1"/>
        </w:numPr>
        <w:spacing w:beforeLines="50" w:before="156" w:line="360" w:lineRule="auto"/>
        <w:ind w:firstLineChars="200" w:firstLine="562"/>
        <w:outlineLvl w:val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关联方介绍和关联信息</w:t>
      </w:r>
    </w:p>
    <w:p w:rsidR="00DE6982" w:rsidRDefault="006E7B69">
      <w:pPr>
        <w:numPr>
          <w:ilvl w:val="0"/>
          <w:numId w:val="3"/>
        </w:numPr>
        <w:spacing w:beforeLines="50" w:before="156" w:line="360" w:lineRule="auto"/>
        <w:ind w:left="629"/>
        <w:outlineLvl w:val="1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关联方基本情况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t>关联方名称：汕头潮阳融和村镇银行股份有限公司</w:t>
      </w:r>
      <w:r>
        <w:rPr>
          <w:rFonts w:ascii="Times New Roman" w:eastAsia="宋体" w:hAnsi="Times New Roman" w:cs="Times New Roman" w:hint="eastAsia"/>
          <w:sz w:val="24"/>
          <w:szCs w:val="22"/>
        </w:rPr>
        <w:t>（简称“融和村镇银行”）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t>法定代表人：朱炳坚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t>成立时间：</w:t>
      </w:r>
      <w:r>
        <w:rPr>
          <w:rFonts w:ascii="Times New Roman" w:eastAsia="宋体" w:hAnsi="Times New Roman" w:cs="Times New Roman"/>
          <w:sz w:val="24"/>
          <w:szCs w:val="22"/>
        </w:rPr>
        <w:t>2015</w:t>
      </w:r>
      <w:r>
        <w:rPr>
          <w:rFonts w:ascii="Times New Roman" w:eastAsia="宋体" w:hAnsi="Times New Roman" w:cs="Times New Roman"/>
          <w:sz w:val="24"/>
          <w:szCs w:val="22"/>
        </w:rPr>
        <w:t>年</w:t>
      </w:r>
      <w:r>
        <w:rPr>
          <w:rFonts w:ascii="Times New Roman" w:eastAsia="宋体" w:hAnsi="Times New Roman" w:cs="Times New Roman"/>
          <w:sz w:val="24"/>
          <w:szCs w:val="22"/>
        </w:rPr>
        <w:t>11</w:t>
      </w:r>
      <w:r>
        <w:rPr>
          <w:rFonts w:ascii="Times New Roman" w:eastAsia="宋体" w:hAnsi="Times New Roman" w:cs="Times New Roman"/>
          <w:sz w:val="24"/>
          <w:szCs w:val="22"/>
        </w:rPr>
        <w:t>月</w:t>
      </w:r>
      <w:r>
        <w:rPr>
          <w:rFonts w:ascii="Times New Roman" w:eastAsia="宋体" w:hAnsi="Times New Roman" w:cs="Times New Roman"/>
          <w:sz w:val="24"/>
          <w:szCs w:val="22"/>
        </w:rPr>
        <w:t>05</w:t>
      </w:r>
      <w:r>
        <w:rPr>
          <w:rFonts w:ascii="Times New Roman" w:eastAsia="宋体" w:hAnsi="Times New Roman" w:cs="Times New Roman"/>
          <w:sz w:val="24"/>
          <w:szCs w:val="22"/>
        </w:rPr>
        <w:t>日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t>注册资本：</w:t>
      </w:r>
      <w:r>
        <w:rPr>
          <w:rFonts w:ascii="Times New Roman" w:eastAsia="宋体" w:hAnsi="Times New Roman" w:cs="Times New Roman"/>
          <w:sz w:val="24"/>
          <w:szCs w:val="22"/>
        </w:rPr>
        <w:t>10000</w:t>
      </w:r>
      <w:r>
        <w:rPr>
          <w:rFonts w:ascii="Times New Roman" w:eastAsia="宋体" w:hAnsi="Times New Roman" w:cs="Times New Roman"/>
          <w:sz w:val="24"/>
          <w:szCs w:val="22"/>
        </w:rPr>
        <w:t>万元人民币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t>统一社会信用代码：</w:t>
      </w:r>
      <w:r>
        <w:rPr>
          <w:rFonts w:ascii="Times New Roman" w:eastAsia="宋体" w:hAnsi="Times New Roman" w:cs="Times New Roman"/>
          <w:sz w:val="24"/>
          <w:szCs w:val="22"/>
        </w:rPr>
        <w:t>91440500MA4UJGTB3H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t>住所：汕头市潮阳区棉北街道平北居委</w:t>
      </w:r>
      <w:r>
        <w:rPr>
          <w:rFonts w:ascii="Times New Roman" w:eastAsia="宋体" w:hAnsi="Times New Roman" w:cs="Times New Roman"/>
          <w:sz w:val="24"/>
          <w:szCs w:val="22"/>
        </w:rPr>
        <w:t>324</w:t>
      </w:r>
      <w:r>
        <w:rPr>
          <w:rFonts w:ascii="Times New Roman" w:eastAsia="宋体" w:hAnsi="Times New Roman" w:cs="Times New Roman"/>
          <w:sz w:val="24"/>
          <w:szCs w:val="22"/>
        </w:rPr>
        <w:t>国道棉北段东侧潮庭华府</w:t>
      </w:r>
      <w:r>
        <w:rPr>
          <w:rFonts w:ascii="Times New Roman" w:eastAsia="宋体" w:hAnsi="Times New Roman" w:cs="Times New Roman"/>
          <w:sz w:val="24"/>
          <w:szCs w:val="22"/>
        </w:rPr>
        <w:t>A1</w:t>
      </w:r>
      <w:r>
        <w:rPr>
          <w:rFonts w:ascii="Times New Roman" w:eastAsia="宋体" w:hAnsi="Times New Roman" w:cs="Times New Roman"/>
          <w:sz w:val="24"/>
          <w:szCs w:val="22"/>
        </w:rPr>
        <w:t>幢</w:t>
      </w:r>
      <w:r>
        <w:rPr>
          <w:rFonts w:ascii="Times New Roman" w:eastAsia="宋体" w:hAnsi="Times New Roman" w:cs="Times New Roman"/>
          <w:sz w:val="24"/>
          <w:szCs w:val="22"/>
        </w:rPr>
        <w:t>07</w:t>
      </w:r>
      <w:r>
        <w:rPr>
          <w:rFonts w:ascii="Times New Roman" w:eastAsia="宋体" w:hAnsi="Times New Roman" w:cs="Times New Roman"/>
          <w:sz w:val="24"/>
          <w:szCs w:val="22"/>
        </w:rPr>
        <w:t>商铺、</w:t>
      </w:r>
      <w:r>
        <w:rPr>
          <w:rFonts w:ascii="Times New Roman" w:eastAsia="宋体" w:hAnsi="Times New Roman" w:cs="Times New Roman"/>
          <w:sz w:val="24"/>
          <w:szCs w:val="22"/>
        </w:rPr>
        <w:t>07</w:t>
      </w:r>
      <w:r>
        <w:rPr>
          <w:rFonts w:ascii="Times New Roman" w:eastAsia="宋体" w:hAnsi="Times New Roman" w:cs="Times New Roman"/>
          <w:sz w:val="24"/>
          <w:szCs w:val="22"/>
        </w:rPr>
        <w:t>商铺附层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lastRenderedPageBreak/>
        <w:t>主营业务：经营中国银行业监督管理委员会依照有关法律、行政法规和其他规定批准的业务，经营范围以批准文件所列的为准。</w:t>
      </w:r>
      <w:r>
        <w:rPr>
          <w:rFonts w:ascii="Times New Roman" w:eastAsia="宋体" w:hAnsi="Times New Roman" w:cs="Times New Roman"/>
          <w:sz w:val="24"/>
          <w:szCs w:val="22"/>
        </w:rPr>
        <w:t>(</w:t>
      </w:r>
      <w:r>
        <w:rPr>
          <w:rFonts w:ascii="Times New Roman" w:eastAsia="宋体" w:hAnsi="Times New Roman" w:cs="Times New Roman"/>
          <w:sz w:val="24"/>
          <w:szCs w:val="22"/>
        </w:rPr>
        <w:t>依法须经批准的项目，经相关部门批准后方可开展经营活动</w:t>
      </w:r>
      <w:r>
        <w:rPr>
          <w:rFonts w:ascii="Times New Roman" w:eastAsia="宋体" w:hAnsi="Times New Roman" w:cs="Times New Roman"/>
          <w:sz w:val="24"/>
          <w:szCs w:val="22"/>
        </w:rPr>
        <w:t>)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t>关联关系：关联董事林明玲持有融和村镇银行</w:t>
      </w:r>
      <w:r>
        <w:rPr>
          <w:rFonts w:ascii="Times New Roman" w:eastAsia="宋体" w:hAnsi="Times New Roman" w:cs="Times New Roman"/>
          <w:sz w:val="24"/>
          <w:szCs w:val="22"/>
        </w:rPr>
        <w:t>5%</w:t>
      </w:r>
      <w:r>
        <w:rPr>
          <w:rFonts w:ascii="Times New Roman" w:eastAsia="宋体" w:hAnsi="Times New Roman" w:cs="Times New Roman"/>
          <w:sz w:val="24"/>
          <w:szCs w:val="22"/>
        </w:rPr>
        <w:t>股权</w:t>
      </w:r>
      <w:r>
        <w:rPr>
          <w:rFonts w:ascii="Times New Roman" w:eastAsia="宋体" w:hAnsi="Times New Roman" w:cs="Times New Roman"/>
          <w:sz w:val="24"/>
          <w:szCs w:val="22"/>
        </w:rPr>
        <w:t>,</w:t>
      </w:r>
      <w:r>
        <w:rPr>
          <w:rFonts w:ascii="Times New Roman" w:eastAsia="宋体" w:hAnsi="Times New Roman" w:cs="Times New Roman"/>
          <w:sz w:val="24"/>
          <w:szCs w:val="22"/>
        </w:rPr>
        <w:t>同时马学沛与林明玲系夫妻关系，马学沛与马淦江为叔侄关系。</w:t>
      </w:r>
    </w:p>
    <w:p w:rsidR="00DE6982" w:rsidRDefault="006E7B69">
      <w:pPr>
        <w:numPr>
          <w:ilvl w:val="0"/>
          <w:numId w:val="3"/>
        </w:numPr>
        <w:spacing w:beforeLines="50" w:before="156" w:line="360" w:lineRule="auto"/>
        <w:ind w:left="629"/>
        <w:outlineLvl w:val="1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关联交易主要内容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 w:hint="eastAsia"/>
          <w:sz w:val="24"/>
          <w:szCs w:val="22"/>
        </w:rPr>
        <w:t>公司参考</w:t>
      </w:r>
      <w:r>
        <w:rPr>
          <w:rFonts w:ascii="Times New Roman" w:eastAsia="宋体" w:hAnsi="Times New Roman" w:cs="Times New Roman" w:hint="eastAsia"/>
          <w:sz w:val="24"/>
          <w:szCs w:val="22"/>
        </w:rPr>
        <w:t>2022</w:t>
      </w:r>
      <w:r>
        <w:rPr>
          <w:rFonts w:ascii="Times New Roman" w:eastAsia="宋体" w:hAnsi="Times New Roman" w:cs="Times New Roman" w:hint="eastAsia"/>
          <w:sz w:val="24"/>
          <w:szCs w:val="22"/>
        </w:rPr>
        <w:t>年度关联交易的实际情况，预计</w:t>
      </w:r>
      <w:r>
        <w:rPr>
          <w:rFonts w:ascii="Times New Roman" w:eastAsia="宋体" w:hAnsi="Times New Roman" w:cs="Times New Roman" w:hint="eastAsia"/>
          <w:sz w:val="24"/>
          <w:szCs w:val="22"/>
        </w:rPr>
        <w:t>2023</w:t>
      </w:r>
      <w:r>
        <w:rPr>
          <w:rFonts w:ascii="Times New Roman" w:eastAsia="宋体" w:hAnsi="Times New Roman" w:cs="Times New Roman" w:hint="eastAsia"/>
          <w:sz w:val="24"/>
          <w:szCs w:val="22"/>
        </w:rPr>
        <w:t>年度为融和村镇银行提供运维服务业务收入不超过人民币</w:t>
      </w:r>
      <w:r>
        <w:rPr>
          <w:rFonts w:ascii="Times New Roman" w:eastAsia="宋体" w:hAnsi="Times New Roman" w:cs="Times New Roman" w:hint="eastAsia"/>
          <w:sz w:val="24"/>
          <w:szCs w:val="22"/>
        </w:rPr>
        <w:t>50.00</w:t>
      </w:r>
      <w:r>
        <w:rPr>
          <w:rFonts w:ascii="Times New Roman" w:eastAsia="宋体" w:hAnsi="Times New Roman" w:cs="Times New Roman" w:hint="eastAsia"/>
          <w:sz w:val="24"/>
          <w:szCs w:val="22"/>
        </w:rPr>
        <w:t>万元（含本数），办理存款业务获得的利息收入不超过人民币</w:t>
      </w:r>
      <w:r>
        <w:rPr>
          <w:rFonts w:ascii="Times New Roman" w:eastAsia="宋体" w:hAnsi="Times New Roman" w:cs="Times New Roman" w:hint="eastAsia"/>
          <w:sz w:val="24"/>
          <w:szCs w:val="22"/>
        </w:rPr>
        <w:t>50.00</w:t>
      </w:r>
      <w:r>
        <w:rPr>
          <w:rFonts w:ascii="Times New Roman" w:eastAsia="宋体" w:hAnsi="Times New Roman" w:cs="Times New Roman" w:hint="eastAsia"/>
          <w:sz w:val="24"/>
          <w:szCs w:val="22"/>
        </w:rPr>
        <w:t>万元（含本数），合计不超过人民币</w:t>
      </w:r>
      <w:r>
        <w:rPr>
          <w:rFonts w:ascii="Times New Roman" w:eastAsia="宋体" w:hAnsi="Times New Roman" w:cs="Times New Roman" w:hint="eastAsia"/>
          <w:sz w:val="24"/>
          <w:szCs w:val="22"/>
        </w:rPr>
        <w:t>100.00</w:t>
      </w:r>
      <w:r>
        <w:rPr>
          <w:rFonts w:ascii="Times New Roman" w:eastAsia="宋体" w:hAnsi="Times New Roman" w:cs="Times New Roman" w:hint="eastAsia"/>
          <w:sz w:val="24"/>
          <w:szCs w:val="22"/>
        </w:rPr>
        <w:t>万元（含本数），存款利率依据当期市场利率水平</w:t>
      </w:r>
      <w:r>
        <w:rPr>
          <w:rFonts w:ascii="Times New Roman" w:eastAsia="宋体" w:hAnsi="Times New Roman" w:cs="Times New Roman"/>
          <w:sz w:val="24"/>
          <w:szCs w:val="22"/>
        </w:rPr>
        <w:t>，属于正常的商业行为。</w:t>
      </w:r>
      <w:r>
        <w:rPr>
          <w:rFonts w:ascii="Times New Roman" w:eastAsia="宋体" w:hAnsi="Times New Roman" w:cs="Times New Roman" w:hint="eastAsia"/>
          <w:sz w:val="24"/>
          <w:szCs w:val="22"/>
        </w:rPr>
        <w:t>在预计的</w:t>
      </w:r>
      <w:r>
        <w:rPr>
          <w:rFonts w:ascii="Times New Roman" w:eastAsia="宋体" w:hAnsi="Times New Roman" w:cs="Times New Roman" w:hint="eastAsia"/>
          <w:sz w:val="24"/>
          <w:szCs w:val="22"/>
        </w:rPr>
        <w:t>2023</w:t>
      </w:r>
      <w:r>
        <w:rPr>
          <w:rFonts w:ascii="Times New Roman" w:eastAsia="宋体" w:hAnsi="Times New Roman" w:cs="Times New Roman" w:hint="eastAsia"/>
          <w:sz w:val="24"/>
          <w:szCs w:val="22"/>
        </w:rPr>
        <w:t>年度日常性关联交易范围内，由公司经营管理层根据业务开展的需要签署相关协议。</w:t>
      </w:r>
    </w:p>
    <w:p w:rsidR="00DE6982" w:rsidRDefault="006E7B69">
      <w:pPr>
        <w:numPr>
          <w:ilvl w:val="0"/>
          <w:numId w:val="3"/>
        </w:numPr>
        <w:spacing w:beforeLines="50" w:before="156" w:line="360" w:lineRule="auto"/>
        <w:ind w:left="629"/>
        <w:outlineLvl w:val="1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履约能力分析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 w:hint="eastAsia"/>
          <w:sz w:val="24"/>
          <w:szCs w:val="22"/>
        </w:rPr>
        <w:t>融和村镇银行成立于</w:t>
      </w:r>
      <w:r>
        <w:rPr>
          <w:rFonts w:ascii="Times New Roman" w:eastAsia="宋体" w:hAnsi="Times New Roman" w:cs="Times New Roman" w:hint="eastAsia"/>
          <w:sz w:val="24"/>
          <w:szCs w:val="22"/>
        </w:rPr>
        <w:t>2</w:t>
      </w:r>
      <w:r>
        <w:rPr>
          <w:rFonts w:ascii="Times New Roman" w:eastAsia="宋体" w:hAnsi="Times New Roman" w:cs="Times New Roman"/>
          <w:sz w:val="24"/>
          <w:szCs w:val="22"/>
        </w:rPr>
        <w:t>015</w:t>
      </w:r>
      <w:r>
        <w:rPr>
          <w:rFonts w:ascii="Times New Roman" w:eastAsia="宋体" w:hAnsi="Times New Roman" w:cs="Times New Roman" w:hint="eastAsia"/>
          <w:sz w:val="24"/>
          <w:szCs w:val="22"/>
        </w:rPr>
        <w:t>年，第一大股东为江门农村商业银行股份有限公司，注册资本为</w:t>
      </w:r>
      <w:r>
        <w:rPr>
          <w:rFonts w:ascii="Times New Roman" w:eastAsia="宋体" w:hAnsi="Times New Roman" w:cs="Times New Roman" w:hint="eastAsia"/>
          <w:sz w:val="24"/>
          <w:szCs w:val="22"/>
        </w:rPr>
        <w:t>10,000</w:t>
      </w:r>
      <w:r>
        <w:rPr>
          <w:rFonts w:ascii="Times New Roman" w:eastAsia="宋体" w:hAnsi="Times New Roman" w:cs="Times New Roman" w:hint="eastAsia"/>
          <w:sz w:val="24"/>
          <w:szCs w:val="22"/>
        </w:rPr>
        <w:t>万元人民币，具有一定的经营规模，具备良好的财务状况，不存在不能履行合同的情形，亦不是失信被执行人。</w:t>
      </w:r>
    </w:p>
    <w:p w:rsidR="00DE6982" w:rsidRDefault="006E7B69">
      <w:pPr>
        <w:numPr>
          <w:ilvl w:val="0"/>
          <w:numId w:val="1"/>
        </w:numPr>
        <w:spacing w:beforeLines="50" w:before="156" w:line="360" w:lineRule="auto"/>
        <w:ind w:firstLineChars="200" w:firstLine="562"/>
        <w:outlineLvl w:val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关联交易的必要性及对公司的影响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 w:hint="eastAsia"/>
          <w:sz w:val="24"/>
          <w:szCs w:val="22"/>
        </w:rPr>
        <w:t>公司与融和村镇银行的关联交易基于正常的业务往来，符合公司经营发展的需要。关联交易中存款的利率水平参照当期市场利率水平，不存在损害股东，特别是中小股东利益的情形。公司及关联方在业务、资产、人员、机构等方面保持独立，上述关联交易不会对公司的独立性构成影响。</w:t>
      </w:r>
    </w:p>
    <w:p w:rsidR="00DE6982" w:rsidRDefault="006E7B69">
      <w:pPr>
        <w:numPr>
          <w:ilvl w:val="0"/>
          <w:numId w:val="1"/>
        </w:numPr>
        <w:spacing w:beforeLines="50" w:before="156" w:line="360" w:lineRule="auto"/>
        <w:ind w:firstLineChars="200" w:firstLine="562"/>
        <w:outlineLvl w:val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保荐机构核查意见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t>经核查，保荐机构认为：公司</w:t>
      </w:r>
      <w:r>
        <w:rPr>
          <w:rFonts w:ascii="Times New Roman" w:eastAsia="宋体" w:hAnsi="Times New Roman" w:cs="Times New Roman"/>
          <w:sz w:val="24"/>
          <w:szCs w:val="22"/>
        </w:rPr>
        <w:t>202</w:t>
      </w:r>
      <w:r>
        <w:rPr>
          <w:rFonts w:ascii="Times New Roman" w:eastAsia="宋体" w:hAnsi="Times New Roman" w:cs="Times New Roman" w:hint="eastAsia"/>
          <w:sz w:val="24"/>
          <w:szCs w:val="22"/>
        </w:rPr>
        <w:t>3</w:t>
      </w:r>
      <w:r>
        <w:rPr>
          <w:rFonts w:ascii="Times New Roman" w:eastAsia="宋体" w:hAnsi="Times New Roman" w:cs="Times New Roman"/>
          <w:sz w:val="24"/>
          <w:szCs w:val="22"/>
        </w:rPr>
        <w:t>年度关联交易预计符合公司正常经营活动所需，没有损害公司及公司非关联股东的利益。公司</w:t>
      </w:r>
      <w:r>
        <w:rPr>
          <w:rFonts w:ascii="Times New Roman" w:eastAsia="宋体" w:hAnsi="Times New Roman" w:cs="Times New Roman"/>
          <w:sz w:val="24"/>
          <w:szCs w:val="22"/>
        </w:rPr>
        <w:t>202</w:t>
      </w:r>
      <w:r>
        <w:rPr>
          <w:rFonts w:ascii="Times New Roman" w:eastAsia="宋体" w:hAnsi="Times New Roman" w:cs="Times New Roman" w:hint="eastAsia"/>
          <w:sz w:val="24"/>
          <w:szCs w:val="22"/>
        </w:rPr>
        <w:t>3</w:t>
      </w:r>
      <w:r>
        <w:rPr>
          <w:rFonts w:ascii="Times New Roman" w:eastAsia="宋体" w:hAnsi="Times New Roman" w:cs="Times New Roman"/>
          <w:sz w:val="24"/>
          <w:szCs w:val="22"/>
        </w:rPr>
        <w:t>年度日常关联交易预计的事项已经过公司董事会、监事会审议通过，关联董事予以回避表决，独立董事对上述议案进行了事前认可并发表了明确同意的独立意见。上述预计日常关</w:t>
      </w:r>
      <w:r>
        <w:rPr>
          <w:rFonts w:ascii="Times New Roman" w:eastAsia="宋体" w:hAnsi="Times New Roman" w:cs="Times New Roman"/>
          <w:sz w:val="24"/>
          <w:szCs w:val="22"/>
        </w:rPr>
        <w:lastRenderedPageBreak/>
        <w:t>联交易事项的决策程序符合《</w:t>
      </w:r>
      <w:r>
        <w:rPr>
          <w:rFonts w:ascii="Times New Roman" w:eastAsia="宋体" w:hAnsi="Times New Roman" w:cs="Times New Roman" w:hint="eastAsia"/>
          <w:sz w:val="24"/>
          <w:szCs w:val="22"/>
        </w:rPr>
        <w:t>深圳证券交易所创业板股票上市规则</w:t>
      </w:r>
      <w:r>
        <w:rPr>
          <w:rFonts w:ascii="Times New Roman" w:eastAsia="宋体" w:hAnsi="Times New Roman" w:cs="Times New Roman"/>
          <w:sz w:val="24"/>
          <w:szCs w:val="22"/>
        </w:rPr>
        <w:t>》《深圳证券交易所上市公司自律监管指引第</w:t>
      </w:r>
      <w:r>
        <w:rPr>
          <w:rFonts w:ascii="Times New Roman" w:eastAsia="宋体" w:hAnsi="Times New Roman" w:cs="Times New Roman"/>
          <w:sz w:val="24"/>
          <w:szCs w:val="22"/>
        </w:rPr>
        <w:t>2</w:t>
      </w:r>
      <w:r>
        <w:rPr>
          <w:rFonts w:ascii="Times New Roman" w:eastAsia="宋体" w:hAnsi="Times New Roman" w:cs="Times New Roman"/>
          <w:sz w:val="24"/>
          <w:szCs w:val="22"/>
        </w:rPr>
        <w:t>号</w:t>
      </w:r>
      <w:r>
        <w:rPr>
          <w:rFonts w:ascii="Times New Roman" w:eastAsia="宋体" w:hAnsi="Times New Roman" w:cs="Times New Roman"/>
          <w:sz w:val="24"/>
          <w:szCs w:val="22"/>
        </w:rPr>
        <w:t>——</w:t>
      </w:r>
      <w:r>
        <w:rPr>
          <w:rFonts w:ascii="Times New Roman" w:eastAsia="宋体" w:hAnsi="Times New Roman" w:cs="Times New Roman"/>
          <w:sz w:val="24"/>
          <w:szCs w:val="22"/>
        </w:rPr>
        <w:t>创业板上市公司规范运作》等规则及《公司章程》的规定。</w:t>
      </w:r>
    </w:p>
    <w:p w:rsidR="00DE6982" w:rsidRDefault="006E7B69" w:rsidP="006E7B6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2"/>
        </w:rPr>
      </w:pPr>
      <w:r>
        <w:rPr>
          <w:rFonts w:ascii="Times New Roman" w:eastAsia="宋体" w:hAnsi="Times New Roman" w:cs="Times New Roman"/>
          <w:sz w:val="24"/>
          <w:szCs w:val="22"/>
        </w:rPr>
        <w:t>综上，保荐机构对广东天亿马信息产业股份有限公司</w:t>
      </w:r>
      <w:r>
        <w:rPr>
          <w:rFonts w:ascii="Times New Roman" w:eastAsia="宋体" w:hAnsi="Times New Roman" w:cs="Times New Roman" w:hint="eastAsia"/>
          <w:sz w:val="24"/>
          <w:szCs w:val="22"/>
        </w:rPr>
        <w:t>预计</w:t>
      </w:r>
      <w:r>
        <w:rPr>
          <w:rFonts w:ascii="Times New Roman" w:eastAsia="宋体" w:hAnsi="Times New Roman" w:cs="Times New Roman" w:hint="eastAsia"/>
          <w:sz w:val="24"/>
          <w:szCs w:val="22"/>
        </w:rPr>
        <w:t>2023</w:t>
      </w:r>
      <w:r>
        <w:rPr>
          <w:rFonts w:ascii="Times New Roman" w:eastAsia="宋体" w:hAnsi="Times New Roman" w:cs="Times New Roman" w:hint="eastAsia"/>
          <w:sz w:val="24"/>
          <w:szCs w:val="22"/>
        </w:rPr>
        <w:t>年度日常性关联交易事项</w:t>
      </w:r>
      <w:r>
        <w:rPr>
          <w:rFonts w:ascii="Times New Roman" w:eastAsia="宋体" w:hAnsi="Times New Roman" w:cs="Times New Roman"/>
          <w:sz w:val="24"/>
          <w:szCs w:val="22"/>
        </w:rPr>
        <w:t>无</w:t>
      </w:r>
      <w:r>
        <w:rPr>
          <w:rFonts w:ascii="Times New Roman" w:eastAsia="宋体" w:hAnsi="Times New Roman" w:cs="Times New Roman" w:hint="eastAsia"/>
          <w:sz w:val="24"/>
          <w:szCs w:val="22"/>
        </w:rPr>
        <w:t>异议</w:t>
      </w:r>
      <w:r>
        <w:rPr>
          <w:rFonts w:ascii="Times New Roman" w:eastAsia="宋体" w:hAnsi="Times New Roman" w:cs="Times New Roman"/>
          <w:sz w:val="24"/>
          <w:szCs w:val="22"/>
        </w:rPr>
        <w:t>。</w:t>
      </w:r>
    </w:p>
    <w:p w:rsidR="00DE6982" w:rsidRDefault="00DE6982">
      <w:pPr>
        <w:spacing w:beforeLines="50" w:before="156" w:line="360" w:lineRule="auto"/>
        <w:rPr>
          <w:rFonts w:ascii="Times New Roman" w:eastAsia="宋体" w:hAnsi="Times New Roman" w:cs="Times New Roman"/>
          <w:sz w:val="24"/>
        </w:rPr>
        <w:sectPr w:rsidR="00DE69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6982" w:rsidRDefault="006E7B69">
      <w:pPr>
        <w:spacing w:beforeLines="50" w:before="156"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lastRenderedPageBreak/>
        <w:t>（本页无正文，为《五矿证券有限公司关于广东天亿马信息产业股份有限公司预计</w:t>
      </w:r>
      <w:r>
        <w:rPr>
          <w:rFonts w:ascii="Times New Roman" w:eastAsia="宋体" w:hAnsi="Times New Roman" w:cs="Times New Roman" w:hint="eastAsia"/>
          <w:sz w:val="24"/>
        </w:rPr>
        <w:t>2023</w:t>
      </w:r>
      <w:r>
        <w:rPr>
          <w:rFonts w:ascii="Times New Roman" w:eastAsia="宋体" w:hAnsi="Times New Roman" w:cs="Times New Roman" w:hint="eastAsia"/>
          <w:sz w:val="24"/>
        </w:rPr>
        <w:t>年度日常性关联交易的核查意见》之签章页）</w:t>
      </w:r>
    </w:p>
    <w:p w:rsidR="00DE6982" w:rsidRDefault="00DE6982">
      <w:pPr>
        <w:spacing w:beforeLines="50" w:before="156" w:line="360" w:lineRule="auto"/>
        <w:rPr>
          <w:rFonts w:ascii="Times New Roman" w:eastAsia="宋体" w:hAnsi="Times New Roman" w:cs="Times New Roman"/>
          <w:sz w:val="24"/>
        </w:rPr>
      </w:pPr>
    </w:p>
    <w:p w:rsidR="00DE6982" w:rsidRDefault="00DE6982">
      <w:pPr>
        <w:spacing w:beforeLines="50" w:before="156" w:line="360" w:lineRule="auto"/>
        <w:rPr>
          <w:rFonts w:ascii="Times New Roman" w:eastAsia="宋体" w:hAnsi="Times New Roman" w:cs="Times New Roman"/>
          <w:sz w:val="24"/>
        </w:rPr>
      </w:pPr>
    </w:p>
    <w:p w:rsidR="00DE6982" w:rsidRDefault="00DE6982">
      <w:pPr>
        <w:spacing w:beforeLines="50" w:before="156" w:line="360" w:lineRule="auto"/>
        <w:rPr>
          <w:rFonts w:ascii="Times New Roman" w:eastAsia="宋体" w:hAnsi="Times New Roman" w:cs="Times New Roman"/>
          <w:sz w:val="24"/>
        </w:rPr>
      </w:pPr>
    </w:p>
    <w:p w:rsidR="00DE6982" w:rsidRDefault="006E7B69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保荐代表人：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</w:t>
      </w:r>
      <w:r>
        <w:rPr>
          <w:rFonts w:ascii="Times New Roman" w:eastAsia="宋体" w:hAnsi="Times New Roman" w:cs="Times New Roman" w:hint="eastAsia"/>
          <w:sz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 </w:t>
      </w:r>
      <w:r>
        <w:rPr>
          <w:rFonts w:ascii="Times New Roman" w:eastAsia="宋体" w:hAnsi="Times New Roman" w:cs="Times New Roman" w:hint="eastAsia"/>
          <w:sz w:val="24"/>
        </w:rPr>
        <w:t xml:space="preserve">       </w:t>
      </w:r>
    </w:p>
    <w:p w:rsidR="00DE6982" w:rsidRDefault="006E7B69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 xml:space="preserve">                  </w:t>
      </w:r>
      <w:r>
        <w:rPr>
          <w:rFonts w:ascii="Times New Roman" w:eastAsia="宋体" w:hAnsi="Times New Roman" w:cs="Times New Roman" w:hint="eastAsia"/>
          <w:sz w:val="24"/>
        </w:rPr>
        <w:t>温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波</w:t>
      </w:r>
      <w:r>
        <w:rPr>
          <w:rFonts w:ascii="Times New Roman" w:eastAsia="宋体" w:hAnsi="Times New Roman" w:cs="Times New Roman" w:hint="eastAsia"/>
          <w:sz w:val="24"/>
        </w:rPr>
        <w:t xml:space="preserve">               </w:t>
      </w:r>
      <w:r>
        <w:rPr>
          <w:rFonts w:ascii="Times New Roman" w:eastAsia="宋体" w:hAnsi="Times New Roman" w:cs="Times New Roman" w:hint="eastAsia"/>
          <w:sz w:val="24"/>
        </w:rPr>
        <w:t>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平</w:t>
      </w:r>
    </w:p>
    <w:p w:rsidR="00DE6982" w:rsidRDefault="00DE6982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DE6982" w:rsidRDefault="00DE6982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DE6982" w:rsidRDefault="00DE6982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DE6982" w:rsidRDefault="00DE6982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DE6982" w:rsidRDefault="00DE6982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DE6982" w:rsidRDefault="00DE6982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DE6982" w:rsidRDefault="006E7B69">
      <w:pPr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五矿证券有限公司</w:t>
      </w:r>
    </w:p>
    <w:p w:rsidR="00DE6982" w:rsidRDefault="006E7B69">
      <w:pPr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2023</w:t>
      </w:r>
      <w:r>
        <w:rPr>
          <w:rFonts w:ascii="Times New Roman" w:eastAsia="宋体" w:hAnsi="Times New Roman" w:cs="Times New Roman" w:hint="eastAsia"/>
          <w:sz w:val="24"/>
        </w:rPr>
        <w:t>年</w:t>
      </w:r>
      <w:r>
        <w:rPr>
          <w:rFonts w:ascii="Times New Roman" w:eastAsia="宋体" w:hAnsi="Times New Roman" w:cs="Times New Roman" w:hint="eastAsia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月</w:t>
      </w:r>
      <w:r>
        <w:rPr>
          <w:rFonts w:ascii="Times New Roman" w:eastAsia="宋体" w:hAnsi="Times New Roman" w:cs="Times New Roman" w:hint="eastAsia"/>
          <w:sz w:val="24"/>
        </w:rPr>
        <w:t>20</w:t>
      </w:r>
      <w:r>
        <w:rPr>
          <w:rFonts w:ascii="Times New Roman" w:eastAsia="宋体" w:hAnsi="Times New Roman" w:cs="Times New Roman" w:hint="eastAsia"/>
          <w:sz w:val="24"/>
        </w:rPr>
        <w:t>日</w:t>
      </w:r>
    </w:p>
    <w:sectPr w:rsidR="00DE6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B69" w:rsidRDefault="006E7B69" w:rsidP="006E7B69">
      <w:r>
        <w:separator/>
      </w:r>
    </w:p>
  </w:endnote>
  <w:endnote w:type="continuationSeparator" w:id="0">
    <w:p w:rsidR="006E7B69" w:rsidRDefault="006E7B69" w:rsidP="006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B69" w:rsidRDefault="006E7B69" w:rsidP="006E7B69">
      <w:r>
        <w:separator/>
      </w:r>
    </w:p>
  </w:footnote>
  <w:footnote w:type="continuationSeparator" w:id="0">
    <w:p w:rsidR="006E7B69" w:rsidRDefault="006E7B69" w:rsidP="006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C640A0"/>
    <w:multiLevelType w:val="singleLevel"/>
    <w:tmpl w:val="D8C640A0"/>
    <w:lvl w:ilvl="0">
      <w:start w:val="1"/>
      <w:numFmt w:val="chineseCounting"/>
      <w:suff w:val="space"/>
      <w:lvlText w:val="（%1）"/>
      <w:lvlJc w:val="left"/>
      <w:pPr>
        <w:ind w:left="630"/>
      </w:pPr>
      <w:rPr>
        <w:rFonts w:hint="eastAsia"/>
      </w:rPr>
    </w:lvl>
  </w:abstractNum>
  <w:abstractNum w:abstractNumId="1" w15:restartNumberingAfterBreak="0">
    <w:nsid w:val="DA0C4DB0"/>
    <w:multiLevelType w:val="singleLevel"/>
    <w:tmpl w:val="DA0C4DB0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 w15:restartNumberingAfterBreak="0">
    <w:nsid w:val="FECD4092"/>
    <w:multiLevelType w:val="singleLevel"/>
    <w:tmpl w:val="FECD4092"/>
    <w:lvl w:ilvl="0">
      <w:start w:val="1"/>
      <w:numFmt w:val="chineseCounting"/>
      <w:suff w:val="space"/>
      <w:lvlText w:val="（%1）"/>
      <w:lvlJc w:val="left"/>
      <w:pPr>
        <w:ind w:left="630"/>
      </w:pPr>
      <w:rPr>
        <w:rFonts w:hint="eastAsia"/>
      </w:rPr>
    </w:lvl>
  </w:abstractNum>
  <w:num w:numId="1" w16cid:durableId="1690764131">
    <w:abstractNumId w:val="1"/>
  </w:num>
  <w:num w:numId="2" w16cid:durableId="1860897234">
    <w:abstractNumId w:val="0"/>
  </w:num>
  <w:num w:numId="3" w16cid:durableId="876042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gxMGIwMzIyNjMwYWI1NjUzNzBmYjFkNzBkMzU1ZDcifQ=="/>
  </w:docVars>
  <w:rsids>
    <w:rsidRoot w:val="66002BD9"/>
    <w:rsid w:val="00024818"/>
    <w:rsid w:val="00024BA9"/>
    <w:rsid w:val="000527E5"/>
    <w:rsid w:val="000536BD"/>
    <w:rsid w:val="00073B98"/>
    <w:rsid w:val="00077778"/>
    <w:rsid w:val="000D5565"/>
    <w:rsid w:val="000E0398"/>
    <w:rsid w:val="0026037E"/>
    <w:rsid w:val="002768F9"/>
    <w:rsid w:val="002C7EF8"/>
    <w:rsid w:val="002F3F0D"/>
    <w:rsid w:val="003174DB"/>
    <w:rsid w:val="00470DE4"/>
    <w:rsid w:val="004B00C6"/>
    <w:rsid w:val="004B5DA5"/>
    <w:rsid w:val="004F5B07"/>
    <w:rsid w:val="0053594E"/>
    <w:rsid w:val="005572A3"/>
    <w:rsid w:val="005970BC"/>
    <w:rsid w:val="00601B85"/>
    <w:rsid w:val="006737CC"/>
    <w:rsid w:val="006E7B69"/>
    <w:rsid w:val="006F2D92"/>
    <w:rsid w:val="00843752"/>
    <w:rsid w:val="00843826"/>
    <w:rsid w:val="008A0EC3"/>
    <w:rsid w:val="008B51CB"/>
    <w:rsid w:val="008C2785"/>
    <w:rsid w:val="00917F7D"/>
    <w:rsid w:val="009D0F34"/>
    <w:rsid w:val="009F1719"/>
    <w:rsid w:val="00A41316"/>
    <w:rsid w:val="00AD6544"/>
    <w:rsid w:val="00B11B95"/>
    <w:rsid w:val="00B30046"/>
    <w:rsid w:val="00B32201"/>
    <w:rsid w:val="00B631BE"/>
    <w:rsid w:val="00C3462B"/>
    <w:rsid w:val="00C939E0"/>
    <w:rsid w:val="00C93A48"/>
    <w:rsid w:val="00CF314B"/>
    <w:rsid w:val="00D91411"/>
    <w:rsid w:val="00DE6982"/>
    <w:rsid w:val="00E11F51"/>
    <w:rsid w:val="00EF219E"/>
    <w:rsid w:val="013F696E"/>
    <w:rsid w:val="017C38BE"/>
    <w:rsid w:val="07E13D6B"/>
    <w:rsid w:val="14457480"/>
    <w:rsid w:val="176127D3"/>
    <w:rsid w:val="18F17B89"/>
    <w:rsid w:val="194B373A"/>
    <w:rsid w:val="1F2B5FF9"/>
    <w:rsid w:val="1F637E51"/>
    <w:rsid w:val="22EF3933"/>
    <w:rsid w:val="283E1EB5"/>
    <w:rsid w:val="3069477A"/>
    <w:rsid w:val="31B935FE"/>
    <w:rsid w:val="336B0809"/>
    <w:rsid w:val="365711F6"/>
    <w:rsid w:val="39227BBC"/>
    <w:rsid w:val="3A5D453C"/>
    <w:rsid w:val="3B7E2F1A"/>
    <w:rsid w:val="3D517ED9"/>
    <w:rsid w:val="3D6E1622"/>
    <w:rsid w:val="3E021D6A"/>
    <w:rsid w:val="42292222"/>
    <w:rsid w:val="46E634EE"/>
    <w:rsid w:val="4A5B2F2E"/>
    <w:rsid w:val="502A74C9"/>
    <w:rsid w:val="53567F17"/>
    <w:rsid w:val="56B21D1F"/>
    <w:rsid w:val="58562F86"/>
    <w:rsid w:val="5AE40D1D"/>
    <w:rsid w:val="62001726"/>
    <w:rsid w:val="63C65464"/>
    <w:rsid w:val="66002BD9"/>
    <w:rsid w:val="68891DE6"/>
    <w:rsid w:val="6A952428"/>
    <w:rsid w:val="70580DD0"/>
    <w:rsid w:val="71296971"/>
    <w:rsid w:val="72556331"/>
    <w:rsid w:val="74A04002"/>
    <w:rsid w:val="7D2A49EF"/>
    <w:rsid w:val="7D8D41A0"/>
    <w:rsid w:val="7D96563A"/>
    <w:rsid w:val="7E9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1FB3E"/>
  <w15:docId w15:val="{12B5EF04-EAE4-4AEE-9BD7-5ABDB093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1BEA54E1-F994-42D0-987D-1180DCB185DA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D5EDEF16-6D03-492F-8AB4-52803E1A3E7D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 GAO</dc:creator>
  <cp:lastModifiedBy>杨吕欣</cp:lastModifiedBy>
  <cp:revision>25</cp:revision>
  <dcterms:created xsi:type="dcterms:W3CDTF">2022-04-19T14:17:00Z</dcterms:created>
  <dcterms:modified xsi:type="dcterms:W3CDTF">2023-04-19T09:06:00Z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8E036F7B26124F88B060ABBE57AB6ED8</vt:lpwstr>
  </property>
</Properties>
</file>